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FDE300" w14:textId="4A65A70D" w:rsidR="00EC6F8D" w:rsidRPr="001C6031" w:rsidRDefault="00EC6F8D" w:rsidP="005F7CB2">
      <w:pPr>
        <w:spacing w:before="1440"/>
        <w:jc w:val="center"/>
        <w:rPr>
          <w:rFonts w:ascii="Arial" w:hAnsi="Arial" w:cs="Arial"/>
          <w:b/>
          <w:sz w:val="22"/>
          <w:szCs w:val="22"/>
        </w:rPr>
      </w:pPr>
      <w:r>
        <w:rPr>
          <w:rFonts w:ascii="Arial" w:hAnsi="Arial"/>
          <w:b/>
          <w:sz w:val="22"/>
          <w:szCs w:val="22"/>
        </w:rPr>
        <w:t>CONVENTION POUR LA SAUVEGARDE DU</w:t>
      </w:r>
      <w:bookmarkStart w:id="0" w:name="_GoBack"/>
      <w:bookmarkEnd w:id="0"/>
      <w:r>
        <w:rPr>
          <w:rFonts w:ascii="Arial" w:hAnsi="Arial"/>
          <w:b/>
          <w:sz w:val="22"/>
          <w:szCs w:val="22"/>
        </w:rPr>
        <w:br/>
        <w:t>PATRIMOINE CULTUREL IMMATÉRIEL</w:t>
      </w:r>
    </w:p>
    <w:p w14:paraId="2CFA454D" w14:textId="77777777" w:rsidR="00EC6F8D" w:rsidRPr="001C6031" w:rsidRDefault="00EC6F8D" w:rsidP="005F7CB2">
      <w:pPr>
        <w:spacing w:before="1200"/>
        <w:jc w:val="center"/>
        <w:rPr>
          <w:rFonts w:ascii="Arial" w:hAnsi="Arial" w:cs="Arial"/>
          <w:b/>
          <w:sz w:val="22"/>
          <w:szCs w:val="22"/>
        </w:rPr>
      </w:pPr>
      <w:r>
        <w:rPr>
          <w:rFonts w:ascii="Arial" w:hAnsi="Arial"/>
          <w:b/>
          <w:sz w:val="22"/>
          <w:szCs w:val="22"/>
        </w:rPr>
        <w:t>COMITÉ INTERGOUVERNEMENTAL DE</w:t>
      </w:r>
      <w:r>
        <w:rPr>
          <w:rFonts w:ascii="Arial" w:hAnsi="Arial"/>
          <w:b/>
          <w:sz w:val="22"/>
          <w:szCs w:val="22"/>
        </w:rPr>
        <w:br/>
        <w:t>SAUVEGARDE DU PATRIMOINE CULTUREL IMMATÉRIEL</w:t>
      </w:r>
    </w:p>
    <w:p w14:paraId="3AB60ED3" w14:textId="77777777" w:rsidR="003B045A" w:rsidRDefault="003B045A" w:rsidP="00364DB9">
      <w:pPr>
        <w:spacing w:before="840"/>
        <w:jc w:val="center"/>
        <w:rPr>
          <w:rFonts w:ascii="Arial" w:hAnsi="Arial" w:cs="Arial"/>
          <w:b/>
          <w:sz w:val="22"/>
          <w:szCs w:val="22"/>
        </w:rPr>
      </w:pPr>
      <w:r>
        <w:rPr>
          <w:rFonts w:ascii="Arial" w:hAnsi="Arial"/>
          <w:b/>
          <w:sz w:val="22"/>
          <w:szCs w:val="22"/>
        </w:rPr>
        <w:t>Réunion du Bureau</w:t>
      </w:r>
    </w:p>
    <w:p w14:paraId="61E4EC93" w14:textId="21F5CAC2" w:rsidR="003B045A" w:rsidRDefault="003B045A" w:rsidP="00BD52E2">
      <w:pPr>
        <w:jc w:val="center"/>
        <w:rPr>
          <w:rFonts w:ascii="Arial" w:hAnsi="Arial" w:cs="Arial"/>
          <w:b/>
          <w:sz w:val="22"/>
          <w:szCs w:val="22"/>
        </w:rPr>
      </w:pPr>
      <w:r>
        <w:rPr>
          <w:rFonts w:ascii="Arial" w:hAnsi="Arial"/>
          <w:b/>
          <w:sz w:val="22"/>
          <w:szCs w:val="22"/>
        </w:rPr>
        <w:t>Siège de l</w:t>
      </w:r>
      <w:r w:rsidR="00ED6BBD">
        <w:rPr>
          <w:rFonts w:ascii="Arial" w:hAnsi="Arial"/>
          <w:b/>
          <w:sz w:val="22"/>
          <w:szCs w:val="22"/>
        </w:rPr>
        <w:t>’</w:t>
      </w:r>
      <w:r>
        <w:rPr>
          <w:rFonts w:ascii="Arial" w:hAnsi="Arial"/>
          <w:b/>
          <w:sz w:val="22"/>
          <w:szCs w:val="22"/>
        </w:rPr>
        <w:t>UNESCO, Paris, Salle VI</w:t>
      </w:r>
    </w:p>
    <w:p w14:paraId="211A0D86" w14:textId="71D332BA" w:rsidR="00EC6F8D" w:rsidRPr="001C6031" w:rsidRDefault="003B045A" w:rsidP="00715C47">
      <w:pPr>
        <w:jc w:val="center"/>
        <w:rPr>
          <w:rFonts w:ascii="Arial" w:hAnsi="Arial" w:cs="Arial"/>
          <w:b/>
          <w:sz w:val="22"/>
          <w:szCs w:val="22"/>
        </w:rPr>
      </w:pPr>
      <w:r>
        <w:rPr>
          <w:rFonts w:ascii="Arial" w:hAnsi="Arial"/>
          <w:b/>
          <w:sz w:val="22"/>
          <w:szCs w:val="22"/>
        </w:rPr>
        <w:t>7 juin 2018, 10h00 - 13h00.</w:t>
      </w:r>
    </w:p>
    <w:p w14:paraId="7F858892" w14:textId="6D704253" w:rsidR="00EC6F8D" w:rsidRPr="001C6031" w:rsidRDefault="00A74D6C" w:rsidP="00826FE8">
      <w:pPr>
        <w:pStyle w:val="Sansinterligne2"/>
        <w:spacing w:before="1200" w:after="1200"/>
        <w:jc w:val="center"/>
        <w:rPr>
          <w:rFonts w:ascii="Arial" w:hAnsi="Arial" w:cs="Arial"/>
          <w:b/>
          <w:sz w:val="22"/>
          <w:szCs w:val="22"/>
          <w:u w:val="single"/>
        </w:rPr>
      </w:pPr>
      <w:r>
        <w:rPr>
          <w:rFonts w:ascii="Arial" w:hAnsi="Arial"/>
          <w:b/>
          <w:sz w:val="22"/>
          <w:szCs w:val="22"/>
          <w:u w:val="single"/>
        </w:rPr>
        <w:t>RAPPORT SUR L</w:t>
      </w:r>
      <w:r w:rsidR="00ED6BBD">
        <w:rPr>
          <w:rFonts w:ascii="Arial" w:hAnsi="Arial"/>
          <w:b/>
          <w:sz w:val="22"/>
          <w:szCs w:val="22"/>
          <w:u w:val="single"/>
        </w:rPr>
        <w:t>’</w:t>
      </w:r>
      <w:r>
        <w:rPr>
          <w:rFonts w:ascii="Arial" w:hAnsi="Arial"/>
          <w:b/>
          <w:sz w:val="22"/>
          <w:szCs w:val="22"/>
          <w:u w:val="single"/>
        </w:rPr>
        <w:t>EXÉCUTION DU PLAN DE DÉPENSES</w:t>
      </w:r>
      <w:r>
        <w:rPr>
          <w:rFonts w:ascii="Arial" w:hAnsi="Arial"/>
          <w:b/>
          <w:sz w:val="22"/>
          <w:szCs w:val="22"/>
          <w:u w:val="single"/>
        </w:rPr>
        <w:br/>
        <w:t>POUR LES « AUTRES FONCTIONS DU COMITÉ »</w:t>
      </w:r>
      <w:r>
        <w:rPr>
          <w:rFonts w:ascii="Arial" w:hAnsi="Arial"/>
          <w:b/>
          <w:sz w:val="22"/>
          <w:szCs w:val="22"/>
          <w:u w:val="single"/>
        </w:rPr>
        <w:br/>
      </w:r>
      <w:r>
        <w:rPr>
          <w:rFonts w:ascii="Arial" w:hAnsi="Arial"/>
          <w:b/>
          <w:caps/>
          <w:sz w:val="22"/>
          <w:szCs w:val="22"/>
          <w:u w:val="single"/>
        </w:rPr>
        <w:t>1</w:t>
      </w:r>
      <w:r>
        <w:rPr>
          <w:rFonts w:ascii="Arial" w:hAnsi="Arial"/>
          <w:b/>
          <w:caps/>
          <w:sz w:val="22"/>
          <w:szCs w:val="22"/>
          <w:u w:val="single"/>
          <w:vertAlign w:val="superscript"/>
        </w:rPr>
        <w:t>er</w:t>
      </w:r>
      <w:r>
        <w:rPr>
          <w:rFonts w:ascii="Arial" w:hAnsi="Arial"/>
          <w:b/>
          <w:caps/>
          <w:sz w:val="22"/>
          <w:szCs w:val="22"/>
          <w:u w:val="single"/>
        </w:rPr>
        <w:t> janvier 2016 – 31 décembre 2017</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DD6C76" w14:paraId="6AD616F9" w14:textId="77777777" w:rsidTr="00EC6F8D">
        <w:trPr>
          <w:jc w:val="center"/>
        </w:trPr>
        <w:tc>
          <w:tcPr>
            <w:tcW w:w="5670" w:type="dxa"/>
            <w:vAlign w:val="center"/>
          </w:tcPr>
          <w:p w14:paraId="50147088" w14:textId="77777777" w:rsidR="00EC6F8D" w:rsidRPr="001C6031" w:rsidRDefault="00EC6F8D" w:rsidP="005F7CB2">
            <w:pPr>
              <w:pStyle w:val="Sansinterligne1"/>
              <w:spacing w:before="200" w:after="200"/>
              <w:jc w:val="center"/>
              <w:rPr>
                <w:rFonts w:ascii="Arial" w:hAnsi="Arial" w:cs="Arial"/>
                <w:b/>
                <w:sz w:val="22"/>
                <w:szCs w:val="22"/>
              </w:rPr>
            </w:pPr>
            <w:r>
              <w:rPr>
                <w:rFonts w:ascii="Arial" w:hAnsi="Arial"/>
                <w:b/>
                <w:sz w:val="22"/>
                <w:szCs w:val="22"/>
              </w:rPr>
              <w:t>Résumé</w:t>
            </w:r>
          </w:p>
          <w:p w14:paraId="6AC38BC6" w14:textId="331B54EE" w:rsidR="00EC6F8D" w:rsidRPr="001C6031" w:rsidRDefault="00882DAE">
            <w:pPr>
              <w:pStyle w:val="NoSpacing"/>
              <w:spacing w:before="120" w:after="120"/>
              <w:jc w:val="both"/>
              <w:rPr>
                <w:rFonts w:ascii="Arial" w:hAnsi="Arial" w:cs="Arial"/>
                <w:sz w:val="22"/>
                <w:szCs w:val="22"/>
              </w:rPr>
            </w:pPr>
            <w:r>
              <w:rPr>
                <w:rFonts w:ascii="Arial" w:hAnsi="Arial"/>
                <w:sz w:val="22"/>
                <w:szCs w:val="22"/>
              </w:rPr>
              <w:t>Le Plan d</w:t>
            </w:r>
            <w:r w:rsidR="00ED6BBD">
              <w:rPr>
                <w:rFonts w:ascii="Arial" w:hAnsi="Arial"/>
                <w:sz w:val="22"/>
                <w:szCs w:val="22"/>
              </w:rPr>
              <w:t>’</w:t>
            </w:r>
            <w:r>
              <w:rPr>
                <w:rFonts w:ascii="Arial" w:hAnsi="Arial"/>
                <w:sz w:val="22"/>
                <w:szCs w:val="22"/>
              </w:rPr>
              <w:t>utilisation des ressources du Fonds du patrimoine culturel immatériel approuvé par l</w:t>
            </w:r>
            <w:r w:rsidR="00ED6BBD">
              <w:rPr>
                <w:rFonts w:ascii="Arial" w:hAnsi="Arial"/>
                <w:sz w:val="22"/>
                <w:szCs w:val="22"/>
              </w:rPr>
              <w:t>’</w:t>
            </w:r>
            <w:r>
              <w:rPr>
                <w:rFonts w:ascii="Arial" w:hAnsi="Arial"/>
                <w:sz w:val="22"/>
                <w:szCs w:val="22"/>
              </w:rPr>
              <w:t>Assemblée générale pour la période du 1</w:t>
            </w:r>
            <w:r>
              <w:rPr>
                <w:rFonts w:ascii="Arial" w:hAnsi="Arial"/>
                <w:sz w:val="22"/>
                <w:szCs w:val="22"/>
                <w:vertAlign w:val="superscript"/>
              </w:rPr>
              <w:t>er</w:t>
            </w:r>
            <w:r>
              <w:rPr>
                <w:rFonts w:ascii="Arial" w:hAnsi="Arial"/>
                <w:sz w:val="22"/>
                <w:szCs w:val="22"/>
              </w:rPr>
              <w:t> janvier 2016 au 31 décembre 2017 stipulait l</w:t>
            </w:r>
            <w:r w:rsidR="00ED6BBD">
              <w:rPr>
                <w:rFonts w:ascii="Arial" w:hAnsi="Arial"/>
                <w:sz w:val="22"/>
                <w:szCs w:val="22"/>
              </w:rPr>
              <w:t>’</w:t>
            </w:r>
            <w:r>
              <w:rPr>
                <w:rFonts w:ascii="Arial" w:hAnsi="Arial"/>
                <w:sz w:val="22"/>
                <w:szCs w:val="22"/>
              </w:rPr>
              <w:t>allocation de 20 % des ressources aux « autres fonctions du Comité » décrites à l</w:t>
            </w:r>
            <w:r w:rsidR="00ED6BBD">
              <w:rPr>
                <w:rFonts w:ascii="Arial" w:hAnsi="Arial"/>
                <w:sz w:val="22"/>
                <w:szCs w:val="22"/>
              </w:rPr>
              <w:t>’</w:t>
            </w:r>
            <w:r>
              <w:rPr>
                <w:rFonts w:ascii="Arial" w:hAnsi="Arial"/>
                <w:sz w:val="22"/>
                <w:szCs w:val="22"/>
              </w:rPr>
              <w:t>article 7 de la Convention et dans les Directives opérationnelles. Exerçant le pouvoir que lui a délégué le Comité, le Bureau a décidé de l</w:t>
            </w:r>
            <w:r w:rsidR="00ED6BBD">
              <w:rPr>
                <w:rFonts w:ascii="Arial" w:hAnsi="Arial"/>
                <w:sz w:val="22"/>
                <w:szCs w:val="22"/>
              </w:rPr>
              <w:t>’</w:t>
            </w:r>
            <w:r>
              <w:rPr>
                <w:rFonts w:ascii="Arial" w:hAnsi="Arial"/>
                <w:sz w:val="22"/>
                <w:szCs w:val="22"/>
              </w:rPr>
              <w:t>utilisation de ces fonds et a demandé au Secrétariat d</w:t>
            </w:r>
            <w:r w:rsidR="00ED6BBD">
              <w:rPr>
                <w:rFonts w:ascii="Arial" w:hAnsi="Arial"/>
                <w:sz w:val="22"/>
                <w:szCs w:val="22"/>
              </w:rPr>
              <w:t>’</w:t>
            </w:r>
            <w:r>
              <w:rPr>
                <w:rFonts w:ascii="Arial" w:hAnsi="Arial"/>
                <w:sz w:val="22"/>
                <w:szCs w:val="22"/>
              </w:rPr>
              <w:t>élaborer un rapport sur l</w:t>
            </w:r>
            <w:r w:rsidR="00ED6BBD">
              <w:rPr>
                <w:rFonts w:ascii="Arial" w:hAnsi="Arial"/>
                <w:sz w:val="22"/>
                <w:szCs w:val="22"/>
              </w:rPr>
              <w:t>’</w:t>
            </w:r>
            <w:r>
              <w:rPr>
                <w:rFonts w:ascii="Arial" w:hAnsi="Arial"/>
                <w:sz w:val="22"/>
                <w:szCs w:val="22"/>
              </w:rPr>
              <w:t>avancement de la mise en œuvre et sur la façon dont les fonds sont dépensés. Le présent document propose un rapport de mise en œuvre pour la période du 1</w:t>
            </w:r>
            <w:r>
              <w:rPr>
                <w:rFonts w:ascii="Arial" w:hAnsi="Arial"/>
                <w:sz w:val="22"/>
                <w:szCs w:val="22"/>
                <w:vertAlign w:val="superscript"/>
              </w:rPr>
              <w:t>er</w:t>
            </w:r>
            <w:r>
              <w:rPr>
                <w:rFonts w:ascii="Arial" w:hAnsi="Arial"/>
                <w:sz w:val="22"/>
                <w:szCs w:val="22"/>
              </w:rPr>
              <w:t> janvier 2016 au 31 décembre 2017.</w:t>
            </w:r>
          </w:p>
        </w:tc>
      </w:tr>
    </w:tbl>
    <w:p w14:paraId="323C4BD0" w14:textId="77777777" w:rsidR="00350080" w:rsidRPr="001C6031" w:rsidRDefault="00655736" w:rsidP="005F7CB2">
      <w:pPr>
        <w:pStyle w:val="COMPara"/>
        <w:jc w:val="both"/>
      </w:pPr>
      <w:r>
        <w:br w:type="page"/>
      </w:r>
    </w:p>
    <w:p w14:paraId="6439456C" w14:textId="5F719664" w:rsidR="003E346A" w:rsidRPr="003E346A" w:rsidRDefault="003E346A" w:rsidP="00B973F3">
      <w:pPr>
        <w:pStyle w:val="Heading4"/>
        <w:ind w:left="567" w:hanging="567"/>
      </w:pPr>
      <w:r>
        <w:lastRenderedPageBreak/>
        <w:t>Contexte</w:t>
      </w:r>
    </w:p>
    <w:p w14:paraId="49A5552B" w14:textId="093FA034" w:rsidR="007729FF" w:rsidRPr="00C410E4" w:rsidRDefault="007729FF">
      <w:pPr>
        <w:pStyle w:val="5GAparabodytext"/>
        <w:rPr>
          <w:rStyle w:val="hps"/>
          <w:rFonts w:cs="Times New Roman"/>
          <w:b/>
          <w:caps/>
          <w:szCs w:val="24"/>
        </w:rPr>
      </w:pPr>
      <w:r>
        <w:t xml:space="preserve">Dans sa </w:t>
      </w:r>
      <w:hyperlink r:id="rId8" w:history="1">
        <w:r>
          <w:rPr>
            <w:rStyle w:val="Hyperlink"/>
          </w:rPr>
          <w:t>résolution 6.GA 9</w:t>
        </w:r>
      </w:hyperlink>
      <w:r>
        <w:t>, l</w:t>
      </w:r>
      <w:r w:rsidR="00ED6BBD">
        <w:t>’</w:t>
      </w:r>
      <w:r>
        <w:t>Assemblée générale a approuvé un Plan d</w:t>
      </w:r>
      <w:r w:rsidR="00ED6BBD">
        <w:t>’</w:t>
      </w:r>
      <w:r>
        <w:t>utilisation des ressources du Fonds du patrimoine culturel immatériel [ci-après le Fonds] pour la période du 1</w:t>
      </w:r>
      <w:r>
        <w:rPr>
          <w:vertAlign w:val="superscript"/>
        </w:rPr>
        <w:t>er</w:t>
      </w:r>
      <w:r>
        <w:t> janvier 2016 au 31 décembre 2017. Ce plan a consacré 20 % du budget (1 590 746 dollars des États-Unis) aux « autres fonctions du Comité », décrites à l</w:t>
      </w:r>
      <w:r w:rsidR="00ED6BBD">
        <w:t>’</w:t>
      </w:r>
      <w:r>
        <w:t>article 7 de la Convention et dans les Directives opérationnelles. Par délégation de pouvoir du Comité (</w:t>
      </w:r>
      <w:hyperlink r:id="rId9" w:history="1">
        <w:r>
          <w:rPr>
            <w:rStyle w:val="Hyperlink"/>
          </w:rPr>
          <w:t>décision 10.COM 8</w:t>
        </w:r>
      </w:hyperlink>
      <w:r>
        <w:t>), le Bureau a été invité à prendre une décision concernant une proposition spécifique préparée par le Secrétariat pour l</w:t>
      </w:r>
      <w:r w:rsidR="00ED6BBD">
        <w:t>’</w:t>
      </w:r>
      <w:r>
        <w:t>utilisation des fonds de cette catégorie pour la période susmentionnée (</w:t>
      </w:r>
      <w:hyperlink r:id="rId10" w:history="1">
        <w:r>
          <w:rPr>
            <w:rStyle w:val="Hyperlink"/>
          </w:rPr>
          <w:t>décision 11.COM 2.BUR 2.1</w:t>
        </w:r>
      </w:hyperlink>
      <w:r>
        <w:t>)</w:t>
      </w:r>
      <w:r w:rsidR="003C1A1C" w:rsidRPr="001C6031">
        <w:rPr>
          <w:rStyle w:val="FootnoteReference"/>
        </w:rPr>
        <w:footnoteReference w:id="1"/>
      </w:r>
      <w:r>
        <w:t xml:space="preserve">. Dans cette même décision, </w:t>
      </w:r>
      <w:r>
        <w:rPr>
          <w:rStyle w:val="hps"/>
        </w:rPr>
        <w:t>le Bureau a demandé au Secrétariat de « rendre compte de l</w:t>
      </w:r>
      <w:r w:rsidR="00ED6BBD">
        <w:rPr>
          <w:rStyle w:val="hps"/>
        </w:rPr>
        <w:t>’</w:t>
      </w:r>
      <w:r>
        <w:rPr>
          <w:rStyle w:val="hps"/>
        </w:rPr>
        <w:t>avancement de la mise en œuvre et de la façon dont les fonds sont dépensés ». Conformément au 38C/5 et au changement d</w:t>
      </w:r>
      <w:r w:rsidR="00ED6BBD">
        <w:rPr>
          <w:rStyle w:val="hps"/>
        </w:rPr>
        <w:t>’</w:t>
      </w:r>
      <w:r>
        <w:rPr>
          <w:rStyle w:val="hps"/>
        </w:rPr>
        <w:t>orientation de l</w:t>
      </w:r>
      <w:r w:rsidR="00ED6BBD">
        <w:rPr>
          <w:rStyle w:val="hps"/>
        </w:rPr>
        <w:t>’</w:t>
      </w:r>
      <w:r>
        <w:rPr>
          <w:rStyle w:val="hps"/>
        </w:rPr>
        <w:t>Organisation, qui vise désormais à intégrer les principes de gestion et de budgétisation axées sur les résultats, le Bureau a approuvé, à cette occasion, une proposition intégrant un cadre de résultats, avec des dotations financières pour chaque résultat.</w:t>
      </w:r>
    </w:p>
    <w:p w14:paraId="150C387F" w14:textId="1672638D" w:rsidR="00556F04" w:rsidRDefault="005D229E">
      <w:pPr>
        <w:pStyle w:val="5GAparabodytext"/>
      </w:pPr>
      <w:r>
        <w:t>Le présent document vise à informer les États parties des progrès accomplis dans la mise en œuvre du plan de dépenses adopté en juin 2016 pour l</w:t>
      </w:r>
      <w:r w:rsidR="00ED6BBD">
        <w:t>’</w:t>
      </w:r>
      <w:r>
        <w:t>exercice biennal 2016-2017. Plus précisément, il évalue la mise en œuvre du programme pour chaque résultat escompté et analyse les principaux défis à relever pour obtenir les produits approuvés par le Bureau.</w:t>
      </w:r>
    </w:p>
    <w:p w14:paraId="72DB5218" w14:textId="4204FCF3" w:rsidR="00A2086A" w:rsidRPr="002B7C8E" w:rsidRDefault="00477226">
      <w:pPr>
        <w:pStyle w:val="5GAparabodytext"/>
      </w:pPr>
      <w:r>
        <w:t>Les fonds alloués par l</w:t>
      </w:r>
      <w:r w:rsidR="00ED6BBD">
        <w:t>’</w:t>
      </w:r>
      <w:r>
        <w:t>Assemblée générale aux « autres fonctions du Comité » sont indispensables pour permettre au Comité d</w:t>
      </w:r>
      <w:r w:rsidR="00ED6BBD">
        <w:t>’</w:t>
      </w:r>
      <w:r>
        <w:t>exercer effectivement son mandat au-delà de la stricte organisation de ses sessions, de l</w:t>
      </w:r>
      <w:r w:rsidR="00ED6BBD">
        <w:t>’</w:t>
      </w:r>
      <w:r>
        <w:t>examen des candidatures soumises par les États parties et de la prise des décisions s</w:t>
      </w:r>
      <w:r w:rsidR="00ED6BBD">
        <w:t>’</w:t>
      </w:r>
      <w:r>
        <w:t>y rapportant. En résumé, les fonds consacrés à cette ligne budgétaire pour l</w:t>
      </w:r>
      <w:r w:rsidR="00ED6BBD">
        <w:t>’</w:t>
      </w:r>
      <w:r>
        <w:t>exercice biennal 2016-2017 ont permis l</w:t>
      </w:r>
      <w:r w:rsidR="00ED6BBD">
        <w:t>’</w:t>
      </w:r>
      <w:r>
        <w:t xml:space="preserve">amélioration régulière de la </w:t>
      </w:r>
      <w:r>
        <w:rPr>
          <w:b/>
        </w:rPr>
        <w:t>gestion des connaissances et de l</w:t>
      </w:r>
      <w:r w:rsidR="00ED6BBD">
        <w:rPr>
          <w:b/>
        </w:rPr>
        <w:t>’</w:t>
      </w:r>
      <w:r>
        <w:rPr>
          <w:b/>
        </w:rPr>
        <w:t>information</w:t>
      </w:r>
      <w:r>
        <w:t xml:space="preserve"> (Résultat escompté 1) et ont fourni un soutien essentiel pour répondre à un certain nombre de besoins transversaux du </w:t>
      </w:r>
      <w:r>
        <w:rPr>
          <w:b/>
        </w:rPr>
        <w:t>programme de renforcement des capacités</w:t>
      </w:r>
      <w:r>
        <w:t xml:space="preserve"> (Résultat escompté 2). De plus, face à la nécessité d</w:t>
      </w:r>
      <w:r w:rsidR="00ED6BBD">
        <w:t>’</w:t>
      </w:r>
      <w:r>
        <w:t>améliorer le suivi de la mise en œuvre de la Convention, des fonds ont été alloués à cette fin, en vue de l</w:t>
      </w:r>
      <w:r w:rsidR="00ED6BBD">
        <w:t>’</w:t>
      </w:r>
      <w:r>
        <w:t>élaboration d</w:t>
      </w:r>
      <w:r w:rsidR="00ED6BBD">
        <w:t>’</w:t>
      </w:r>
      <w:r>
        <w:t xml:space="preserve">un </w:t>
      </w:r>
      <w:r>
        <w:rPr>
          <w:b/>
        </w:rPr>
        <w:t>cadre global de résultats</w:t>
      </w:r>
      <w:r>
        <w:t xml:space="preserve"> pour la Convention (Résultat escompté 3). Enfin, le Secrétariat a pu lancer des </w:t>
      </w:r>
      <w:r>
        <w:rPr>
          <w:b/>
        </w:rPr>
        <w:t>actions de sensibilisation et de communication</w:t>
      </w:r>
      <w:r>
        <w:t xml:space="preserve"> afin d</w:t>
      </w:r>
      <w:r w:rsidR="00ED6BBD">
        <w:t>’</w:t>
      </w:r>
      <w:r>
        <w:t>améliorer la compréhension de la Convention et d</w:t>
      </w:r>
      <w:r w:rsidR="00ED6BBD">
        <w:t>’</w:t>
      </w:r>
      <w:r>
        <w:t>accroître sa visibilité (Résultat escompté 4). Les détails concernant les activités menées par le Secrétariat dans le cadre de chaque résultat escompté figurent dans le document de travail « Rapport du Secrétariat sur ses activités », présenté lors de la septième session de l</w:t>
      </w:r>
      <w:r w:rsidR="00ED6BBD">
        <w:t>’</w:t>
      </w:r>
      <w:r>
        <w:t>Assemblée générale (</w:t>
      </w:r>
      <w:hyperlink r:id="rId11" w:history="1">
        <w:r w:rsidRPr="00E26B1E">
          <w:rPr>
            <w:rStyle w:val="Hyperlink"/>
          </w:rPr>
          <w:t>ITH/18/7.GA/7</w:t>
        </w:r>
      </w:hyperlink>
      <w:r w:rsidRPr="00857FF5">
        <w:t>) et couvrant la mê</w:t>
      </w:r>
      <w:r>
        <w:t>me période.</w:t>
      </w:r>
    </w:p>
    <w:p w14:paraId="67ADAE88" w14:textId="006A0A7E" w:rsidR="00B47893" w:rsidRDefault="00E57F64">
      <w:pPr>
        <w:pStyle w:val="5GAparabodytext"/>
      </w:pPr>
      <w:r>
        <w:t>Pendant l</w:t>
      </w:r>
      <w:r w:rsidR="00ED6BBD">
        <w:t>’</w:t>
      </w:r>
      <w:r>
        <w:t xml:space="preserve">exercice biennal 38 C/5, les dépenses enregistrées au titre des « autres fonctions du </w:t>
      </w:r>
      <w:r>
        <w:rPr>
          <w:rStyle w:val="hps"/>
        </w:rPr>
        <w:t>Comité</w:t>
      </w:r>
      <w:r>
        <w:t> » se sont élevées à 1 476 390,21 dollars des États-Unis, soit 92,8 % du budget total approuvé et une augmentation de 2,6 % par rapport à l</w:t>
      </w:r>
      <w:r w:rsidR="00ED6BBD">
        <w:t>’</w:t>
      </w:r>
      <w:r>
        <w:t>exercice biennal précédent. La tendance positive observée pour cette section du Fonds pendant l</w:t>
      </w:r>
      <w:r w:rsidR="00ED6BBD">
        <w:t>’</w:t>
      </w:r>
      <w:r>
        <w:t>exercice biennal précédent s</w:t>
      </w:r>
      <w:r w:rsidR="00ED6BBD">
        <w:t>’</w:t>
      </w:r>
      <w:r>
        <w:t>est donc poursuivie. Une analyse de son évolution au cours des quatre derniers exercices (Figure 1) montre qu</w:t>
      </w:r>
      <w:r w:rsidR="00ED6BBD">
        <w:t>’</w:t>
      </w:r>
      <w:r>
        <w:t>une augmentation continue de l</w:t>
      </w:r>
      <w:r w:rsidR="00ED6BBD">
        <w:t>’</w:t>
      </w:r>
      <w:r>
        <w:t>allocation totale donne toujours lieu à une augmentation équivalente du montant des fonds mis en œuvre. Le taux de dépense est donc élevé et stable (habituellement supérieur à 90 %), et cela pourrait être un signe de l</w:t>
      </w:r>
      <w:r w:rsidR="00ED6BBD">
        <w:t>’</w:t>
      </w:r>
      <w:r>
        <w:t>importance et de l</w:t>
      </w:r>
      <w:r w:rsidR="00ED6BBD">
        <w:t>’</w:t>
      </w:r>
      <w:r>
        <w:t>utilité de cette partie du Fonds pour une mise en œuvre efficace de la Convention de 2003.</w:t>
      </w:r>
    </w:p>
    <w:p w14:paraId="3777724C" w14:textId="7349282E" w:rsidR="002F7D7E" w:rsidRPr="00E57F64" w:rsidRDefault="00000098" w:rsidP="007656F8">
      <w:pPr>
        <w:pStyle w:val="5GAparabodytext"/>
        <w:numPr>
          <w:ilvl w:val="0"/>
          <w:numId w:val="0"/>
        </w:numPr>
        <w:ind w:left="567"/>
      </w:pPr>
      <w:r>
        <w:rPr>
          <w:noProof/>
          <w:lang w:eastAsia="fr-FR"/>
        </w:rPr>
        <w:lastRenderedPageBreak/>
        <w:drawing>
          <wp:inline distT="0" distB="0" distL="0" distR="0" wp14:anchorId="58977381" wp14:editId="54A6BC12">
            <wp:extent cx="5760000" cy="2743200"/>
            <wp:effectExtent l="0" t="0" r="1270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82E0EF6" w14:textId="07BD760D" w:rsidR="00FE57B6" w:rsidRDefault="00FE57B6" w:rsidP="00C410E4">
      <w:pPr>
        <w:pStyle w:val="Paragraph"/>
        <w:numPr>
          <w:ilvl w:val="0"/>
          <w:numId w:val="0"/>
        </w:numPr>
        <w:spacing w:after="120"/>
        <w:ind w:left="567"/>
        <w:rPr>
          <w:sz w:val="18"/>
          <w:szCs w:val="18"/>
        </w:rPr>
      </w:pPr>
      <w:r>
        <w:rPr>
          <w:b/>
          <w:sz w:val="18"/>
          <w:szCs w:val="18"/>
        </w:rPr>
        <w:t xml:space="preserve">Figure </w:t>
      </w:r>
      <w:r w:rsidRPr="0027119A">
        <w:rPr>
          <w:b/>
          <w:i/>
          <w:sz w:val="18"/>
          <w:szCs w:val="18"/>
        </w:rPr>
        <w:fldChar w:fldCharType="begin"/>
      </w:r>
      <w:r w:rsidRPr="0027119A">
        <w:rPr>
          <w:b/>
          <w:sz w:val="18"/>
          <w:szCs w:val="18"/>
        </w:rPr>
        <w:instrText xml:space="preserve"> SEQ Figure \* ARABIC </w:instrText>
      </w:r>
      <w:r w:rsidRPr="0027119A">
        <w:rPr>
          <w:b/>
          <w:i/>
          <w:sz w:val="18"/>
          <w:szCs w:val="18"/>
        </w:rPr>
        <w:fldChar w:fldCharType="separate"/>
      </w:r>
      <w:r w:rsidR="002763E0">
        <w:rPr>
          <w:b/>
          <w:noProof/>
          <w:sz w:val="18"/>
          <w:szCs w:val="18"/>
        </w:rPr>
        <w:t>1</w:t>
      </w:r>
      <w:r w:rsidRPr="0027119A">
        <w:rPr>
          <w:b/>
          <w:i/>
          <w:sz w:val="18"/>
          <w:szCs w:val="18"/>
        </w:rPr>
        <w:fldChar w:fldCharType="end"/>
      </w:r>
      <w:r>
        <w:rPr>
          <w:sz w:val="18"/>
          <w:szCs w:val="18"/>
        </w:rPr>
        <w:t> : Évolution de la mise en œuvre des « autres fonctions du Comité » au cours des quatre derniers exercices biennaux</w:t>
      </w:r>
    </w:p>
    <w:p w14:paraId="2F4C80B7" w14:textId="3DF18B62" w:rsidR="00A74D6C" w:rsidRDefault="00A74D6C" w:rsidP="00826FE8">
      <w:pPr>
        <w:pStyle w:val="Heading4"/>
        <w:ind w:left="567" w:hanging="567"/>
      </w:pPr>
      <w:r>
        <w:t>Évaluation par résultat escompté</w:t>
      </w:r>
    </w:p>
    <w:tbl>
      <w:tblPr>
        <w:tblW w:w="4996" w:type="pct"/>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3877"/>
        <w:gridCol w:w="1878"/>
      </w:tblGrid>
      <w:tr w:rsidR="00285CCF" w:rsidRPr="001C6031" w14:paraId="7B1620B8" w14:textId="77777777" w:rsidTr="00E26B1E">
        <w:tc>
          <w:tcPr>
            <w:tcW w:w="2009" w:type="pct"/>
            <w:shd w:val="clear" w:color="auto" w:fill="C6D9F1"/>
            <w:vAlign w:val="center"/>
          </w:tcPr>
          <w:p w14:paraId="68168AB9" w14:textId="77777777" w:rsidR="00285CCF" w:rsidRPr="001C6031" w:rsidRDefault="00285CCF" w:rsidP="00ED6BBD">
            <w:pPr>
              <w:keepNext/>
              <w:spacing w:before="120" w:after="120"/>
              <w:jc w:val="center"/>
              <w:rPr>
                <w:rFonts w:ascii="Arial" w:eastAsia="Calibri" w:hAnsi="Arial" w:cs="Arial"/>
                <w:b/>
                <w:sz w:val="20"/>
                <w:szCs w:val="20"/>
              </w:rPr>
            </w:pPr>
            <w:r>
              <w:rPr>
                <w:rFonts w:ascii="Arial" w:hAnsi="Arial"/>
                <w:b/>
                <w:sz w:val="20"/>
                <w:szCs w:val="20"/>
              </w:rPr>
              <w:t>Allocation</w:t>
            </w:r>
          </w:p>
        </w:tc>
        <w:tc>
          <w:tcPr>
            <w:tcW w:w="2015" w:type="pct"/>
            <w:shd w:val="clear" w:color="auto" w:fill="C6D9F1"/>
            <w:vAlign w:val="center"/>
          </w:tcPr>
          <w:p w14:paraId="43D4BDAA" w14:textId="77777777" w:rsidR="00285CCF" w:rsidRPr="001C6031" w:rsidRDefault="00285CCF" w:rsidP="001F4AB8">
            <w:pPr>
              <w:keepNext/>
              <w:spacing w:before="120" w:after="120"/>
              <w:jc w:val="center"/>
              <w:rPr>
                <w:rFonts w:ascii="Arial" w:eastAsia="Calibri" w:hAnsi="Arial" w:cs="Arial"/>
                <w:b/>
                <w:sz w:val="20"/>
                <w:szCs w:val="20"/>
              </w:rPr>
            </w:pPr>
            <w:r>
              <w:rPr>
                <w:rFonts w:ascii="Arial" w:hAnsi="Arial"/>
                <w:b/>
                <w:sz w:val="20"/>
                <w:szCs w:val="20"/>
              </w:rPr>
              <w:t>Dépenses</w:t>
            </w:r>
          </w:p>
        </w:tc>
        <w:tc>
          <w:tcPr>
            <w:tcW w:w="976" w:type="pct"/>
            <w:shd w:val="clear" w:color="auto" w:fill="C6D9F1"/>
            <w:vAlign w:val="center"/>
          </w:tcPr>
          <w:p w14:paraId="537CF028" w14:textId="77777777" w:rsidR="00285CCF" w:rsidRPr="001C6031" w:rsidRDefault="00285CCF">
            <w:pPr>
              <w:keepNext/>
              <w:spacing w:before="120" w:after="120"/>
              <w:jc w:val="center"/>
              <w:rPr>
                <w:rFonts w:ascii="Arial" w:eastAsia="Calibri" w:hAnsi="Arial" w:cs="Arial"/>
                <w:b/>
                <w:sz w:val="20"/>
                <w:szCs w:val="20"/>
              </w:rPr>
            </w:pPr>
            <w:r>
              <w:rPr>
                <w:rFonts w:ascii="Arial" w:hAnsi="Arial"/>
                <w:b/>
                <w:sz w:val="20"/>
                <w:szCs w:val="20"/>
              </w:rPr>
              <w:t>Taux de dépense (%)</w:t>
            </w:r>
          </w:p>
        </w:tc>
      </w:tr>
      <w:tr w:rsidR="00285CCF" w:rsidRPr="001C6031" w14:paraId="76873211" w14:textId="77777777" w:rsidTr="00B973F3">
        <w:tc>
          <w:tcPr>
            <w:tcW w:w="2009" w:type="pct"/>
            <w:shd w:val="clear" w:color="auto" w:fill="auto"/>
          </w:tcPr>
          <w:p w14:paraId="1AF22C28" w14:textId="3B70D1A9" w:rsidR="00285CCF" w:rsidRPr="001C6031" w:rsidRDefault="0076712C" w:rsidP="00473C13">
            <w:pPr>
              <w:keepNext/>
              <w:spacing w:before="120" w:after="120"/>
              <w:jc w:val="center"/>
              <w:rPr>
                <w:rFonts w:ascii="Arial" w:eastAsia="Calibri" w:hAnsi="Arial" w:cs="Arial"/>
                <w:sz w:val="20"/>
                <w:szCs w:val="20"/>
              </w:rPr>
            </w:pPr>
            <w:r>
              <w:rPr>
                <w:rFonts w:ascii="Arial" w:hAnsi="Arial"/>
                <w:sz w:val="20"/>
                <w:szCs w:val="20"/>
              </w:rPr>
              <w:t>1 590 746</w:t>
            </w:r>
            <w:r w:rsidR="00285CCF">
              <w:rPr>
                <w:rStyle w:val="FootnoteReference"/>
                <w:rFonts w:ascii="Arial" w:eastAsia="Calibri" w:hAnsi="Arial" w:cs="Arial"/>
                <w:sz w:val="20"/>
                <w:szCs w:val="20"/>
                <w:lang w:val="en-GB"/>
              </w:rPr>
              <w:footnoteReference w:id="2"/>
            </w:r>
          </w:p>
        </w:tc>
        <w:tc>
          <w:tcPr>
            <w:tcW w:w="2015" w:type="pct"/>
            <w:shd w:val="clear" w:color="auto" w:fill="auto"/>
          </w:tcPr>
          <w:p w14:paraId="5794B101" w14:textId="722808B3" w:rsidR="00285CCF" w:rsidRPr="001C6031" w:rsidRDefault="0076712C" w:rsidP="00473C13">
            <w:pPr>
              <w:keepNext/>
              <w:spacing w:before="120" w:after="120"/>
              <w:jc w:val="center"/>
              <w:rPr>
                <w:rFonts w:ascii="Arial" w:eastAsia="Calibri" w:hAnsi="Arial" w:cs="Arial"/>
                <w:sz w:val="20"/>
                <w:szCs w:val="20"/>
              </w:rPr>
            </w:pPr>
            <w:r>
              <w:rPr>
                <w:rFonts w:ascii="Arial" w:hAnsi="Arial"/>
                <w:sz w:val="20"/>
                <w:szCs w:val="20"/>
              </w:rPr>
              <w:t>1 476 390</w:t>
            </w:r>
          </w:p>
        </w:tc>
        <w:tc>
          <w:tcPr>
            <w:tcW w:w="976" w:type="pct"/>
            <w:shd w:val="clear" w:color="auto" w:fill="auto"/>
          </w:tcPr>
          <w:p w14:paraId="7E574F39" w14:textId="056BD5EA" w:rsidR="00285CCF" w:rsidRPr="001C6031" w:rsidRDefault="0076712C" w:rsidP="00473C13">
            <w:pPr>
              <w:keepNext/>
              <w:spacing w:before="120" w:after="120"/>
              <w:jc w:val="center"/>
              <w:rPr>
                <w:rFonts w:ascii="Arial" w:eastAsia="Calibri" w:hAnsi="Arial" w:cs="Arial"/>
                <w:sz w:val="20"/>
                <w:szCs w:val="20"/>
              </w:rPr>
            </w:pPr>
            <w:r>
              <w:rPr>
                <w:rFonts w:ascii="Arial" w:hAnsi="Arial"/>
                <w:sz w:val="20"/>
                <w:szCs w:val="20"/>
              </w:rPr>
              <w:t>92,8 %</w:t>
            </w:r>
          </w:p>
        </w:tc>
      </w:tr>
    </w:tbl>
    <w:p w14:paraId="25F2ACAF" w14:textId="7F21281C" w:rsidR="0076712C" w:rsidRDefault="00A74D6C" w:rsidP="0076712C">
      <w:pPr>
        <w:keepNext/>
        <w:spacing w:before="240" w:after="120"/>
        <w:ind w:left="851" w:hanging="851"/>
        <w:jc w:val="both"/>
        <w:rPr>
          <w:rFonts w:ascii="Arial" w:hAnsi="Arial" w:cs="Arial"/>
          <w:b/>
          <w:bCs/>
          <w:sz w:val="22"/>
          <w:szCs w:val="22"/>
        </w:rPr>
      </w:pPr>
      <w:r>
        <w:rPr>
          <w:rFonts w:ascii="Arial" w:hAnsi="Arial"/>
          <w:b/>
          <w:sz w:val="22"/>
          <w:szCs w:val="22"/>
        </w:rPr>
        <w:t>RE 1 :</w:t>
      </w:r>
      <w:r>
        <w:rPr>
          <w:rFonts w:ascii="Arial" w:hAnsi="Arial"/>
          <w:b/>
          <w:sz w:val="22"/>
          <w:szCs w:val="22"/>
        </w:rPr>
        <w:tab/>
      </w:r>
      <w:r>
        <w:rPr>
          <w:rFonts w:ascii="Arial" w:hAnsi="Arial"/>
          <w:b/>
          <w:bCs/>
          <w:sz w:val="22"/>
          <w:szCs w:val="22"/>
        </w:rPr>
        <w:t>Bonne gouvernance de la Convention de 2003 facilitée par l</w:t>
      </w:r>
      <w:r w:rsidR="00ED6BBD">
        <w:rPr>
          <w:rFonts w:ascii="Arial" w:hAnsi="Arial"/>
          <w:b/>
          <w:bCs/>
          <w:sz w:val="22"/>
          <w:szCs w:val="22"/>
        </w:rPr>
        <w:t>’</w:t>
      </w:r>
      <w:r>
        <w:rPr>
          <w:rFonts w:ascii="Arial" w:hAnsi="Arial"/>
          <w:b/>
          <w:bCs/>
          <w:sz w:val="22"/>
          <w:szCs w:val="22"/>
        </w:rPr>
        <w:t>amélioration des services de gestion des connaissances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5"/>
        <w:gridCol w:w="3876"/>
        <w:gridCol w:w="1877"/>
      </w:tblGrid>
      <w:tr w:rsidR="00A74D6C" w:rsidRPr="001C6031" w14:paraId="48A6B705" w14:textId="77777777" w:rsidTr="00E26B1E">
        <w:tc>
          <w:tcPr>
            <w:tcW w:w="2012" w:type="pct"/>
            <w:shd w:val="clear" w:color="auto" w:fill="C6D9F1"/>
            <w:vAlign w:val="center"/>
          </w:tcPr>
          <w:p w14:paraId="0ECEFF10" w14:textId="77777777" w:rsidR="00A74D6C" w:rsidRPr="001C6031" w:rsidRDefault="00A74D6C" w:rsidP="00ED6BBD">
            <w:pPr>
              <w:keepNext/>
              <w:spacing w:before="120" w:after="120"/>
              <w:jc w:val="center"/>
              <w:rPr>
                <w:rFonts w:ascii="Arial" w:eastAsia="Calibri" w:hAnsi="Arial" w:cs="Arial"/>
                <w:b/>
                <w:sz w:val="20"/>
                <w:szCs w:val="20"/>
              </w:rPr>
            </w:pPr>
            <w:r>
              <w:rPr>
                <w:rFonts w:ascii="Arial" w:hAnsi="Arial"/>
                <w:b/>
                <w:sz w:val="20"/>
                <w:szCs w:val="20"/>
              </w:rPr>
              <w:t>Allocation</w:t>
            </w:r>
          </w:p>
        </w:tc>
        <w:tc>
          <w:tcPr>
            <w:tcW w:w="2013" w:type="pct"/>
            <w:shd w:val="clear" w:color="auto" w:fill="C6D9F1"/>
            <w:vAlign w:val="center"/>
          </w:tcPr>
          <w:p w14:paraId="361BB984" w14:textId="77777777" w:rsidR="00A74D6C" w:rsidRPr="001C6031" w:rsidRDefault="00A74D6C" w:rsidP="001F4AB8">
            <w:pPr>
              <w:spacing w:before="120" w:after="120"/>
              <w:jc w:val="center"/>
              <w:rPr>
                <w:rFonts w:ascii="Arial" w:eastAsia="Calibri" w:hAnsi="Arial" w:cs="Arial"/>
                <w:b/>
                <w:sz w:val="20"/>
                <w:szCs w:val="20"/>
              </w:rPr>
            </w:pPr>
            <w:r>
              <w:rPr>
                <w:rFonts w:ascii="Arial" w:hAnsi="Arial"/>
                <w:b/>
                <w:sz w:val="20"/>
                <w:szCs w:val="20"/>
              </w:rPr>
              <w:t>Dépenses</w:t>
            </w:r>
          </w:p>
        </w:tc>
        <w:tc>
          <w:tcPr>
            <w:tcW w:w="975" w:type="pct"/>
            <w:shd w:val="clear" w:color="auto" w:fill="C6D9F1"/>
            <w:vAlign w:val="center"/>
          </w:tcPr>
          <w:p w14:paraId="60A8D957" w14:textId="77777777" w:rsidR="00A74D6C" w:rsidRPr="001C6031" w:rsidRDefault="00A74D6C">
            <w:pPr>
              <w:spacing w:before="120" w:after="120"/>
              <w:jc w:val="center"/>
              <w:rPr>
                <w:rFonts w:ascii="Arial" w:eastAsia="Calibri" w:hAnsi="Arial" w:cs="Arial"/>
                <w:b/>
                <w:sz w:val="20"/>
                <w:szCs w:val="20"/>
              </w:rPr>
            </w:pPr>
            <w:r>
              <w:rPr>
                <w:rFonts w:ascii="Arial" w:hAnsi="Arial"/>
                <w:b/>
                <w:sz w:val="20"/>
                <w:szCs w:val="20"/>
              </w:rPr>
              <w:t>Taux de dépense (%)</w:t>
            </w:r>
          </w:p>
        </w:tc>
      </w:tr>
      <w:tr w:rsidR="00A74D6C" w:rsidRPr="001C6031" w14:paraId="7DF6C5C1" w14:textId="77777777" w:rsidTr="00B973F3">
        <w:tc>
          <w:tcPr>
            <w:tcW w:w="2012" w:type="pct"/>
            <w:shd w:val="clear" w:color="auto" w:fill="auto"/>
          </w:tcPr>
          <w:p w14:paraId="3EC8218B" w14:textId="04E29FBC" w:rsidR="00A74D6C" w:rsidRPr="001C6031" w:rsidRDefault="0076712C" w:rsidP="00212493">
            <w:pPr>
              <w:spacing w:before="120" w:after="120"/>
              <w:jc w:val="center"/>
              <w:rPr>
                <w:rFonts w:ascii="Arial" w:eastAsia="Calibri" w:hAnsi="Arial" w:cs="Arial"/>
                <w:sz w:val="20"/>
                <w:szCs w:val="20"/>
              </w:rPr>
            </w:pPr>
            <w:r>
              <w:rPr>
                <w:rFonts w:ascii="Arial" w:hAnsi="Arial"/>
                <w:sz w:val="20"/>
                <w:szCs w:val="20"/>
              </w:rPr>
              <w:t>386 900</w:t>
            </w:r>
          </w:p>
        </w:tc>
        <w:tc>
          <w:tcPr>
            <w:tcW w:w="2013" w:type="pct"/>
            <w:shd w:val="clear" w:color="auto" w:fill="auto"/>
          </w:tcPr>
          <w:p w14:paraId="1EBBAC76" w14:textId="0516A792" w:rsidR="00A74D6C" w:rsidRPr="001C6031" w:rsidRDefault="0076712C" w:rsidP="005F7CB2">
            <w:pPr>
              <w:spacing w:before="120" w:after="120"/>
              <w:jc w:val="center"/>
              <w:rPr>
                <w:rFonts w:ascii="Arial" w:eastAsia="Calibri" w:hAnsi="Arial" w:cs="Arial"/>
                <w:sz w:val="20"/>
                <w:szCs w:val="20"/>
              </w:rPr>
            </w:pPr>
            <w:r>
              <w:rPr>
                <w:rFonts w:ascii="Arial" w:hAnsi="Arial"/>
                <w:sz w:val="20"/>
                <w:szCs w:val="20"/>
              </w:rPr>
              <w:t>384 301</w:t>
            </w:r>
          </w:p>
        </w:tc>
        <w:tc>
          <w:tcPr>
            <w:tcW w:w="975" w:type="pct"/>
            <w:shd w:val="clear" w:color="auto" w:fill="auto"/>
          </w:tcPr>
          <w:p w14:paraId="20D3F1FA" w14:textId="08FCA2C5" w:rsidR="00A74D6C" w:rsidRPr="001C6031" w:rsidRDefault="0076712C" w:rsidP="005F7CB2">
            <w:pPr>
              <w:spacing w:before="120" w:after="120"/>
              <w:jc w:val="center"/>
              <w:rPr>
                <w:rFonts w:ascii="Arial" w:eastAsia="Calibri" w:hAnsi="Arial" w:cs="Arial"/>
                <w:sz w:val="20"/>
                <w:szCs w:val="20"/>
              </w:rPr>
            </w:pPr>
            <w:r>
              <w:rPr>
                <w:rFonts w:ascii="Arial" w:hAnsi="Arial"/>
                <w:sz w:val="20"/>
                <w:szCs w:val="20"/>
              </w:rPr>
              <w:t>99,3 %</w:t>
            </w:r>
          </w:p>
        </w:tc>
      </w:tr>
    </w:tbl>
    <w:p w14:paraId="7F0D7751" w14:textId="77777777" w:rsidR="00A74D6C" w:rsidRPr="00B973F3" w:rsidRDefault="00A74D6C" w:rsidP="00B973F3">
      <w:pPr>
        <w:rPr>
          <w:rFonts w:ascii="Arial" w:hAnsi="Arial" w:cs="Arial"/>
          <w:sz w:val="22"/>
          <w:szCs w:val="22"/>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3931"/>
        <w:gridCol w:w="1755"/>
      </w:tblGrid>
      <w:tr w:rsidR="00C2282C" w:rsidRPr="001C6031" w14:paraId="578B2FB9" w14:textId="52FF82AB" w:rsidTr="007656F8">
        <w:trPr>
          <w:tblHeader/>
          <w:jc w:val="center"/>
        </w:trPr>
        <w:tc>
          <w:tcPr>
            <w:tcW w:w="3948" w:type="dxa"/>
            <w:shd w:val="clear" w:color="auto" w:fill="D9D9D9" w:themeFill="background1" w:themeFillShade="D9"/>
            <w:vAlign w:val="center"/>
          </w:tcPr>
          <w:p w14:paraId="42A76885" w14:textId="360CBE0C" w:rsidR="00C2282C" w:rsidRPr="001C6031" w:rsidRDefault="00C2282C" w:rsidP="005F7CB2">
            <w:pPr>
              <w:spacing w:before="60" w:after="60"/>
              <w:jc w:val="center"/>
              <w:rPr>
                <w:rFonts w:ascii="Arial" w:eastAsia="Calibri" w:hAnsi="Arial" w:cs="Arial"/>
                <w:b/>
                <w:sz w:val="20"/>
                <w:szCs w:val="20"/>
              </w:rPr>
            </w:pPr>
            <w:r>
              <w:rPr>
                <w:rFonts w:ascii="Arial" w:hAnsi="Arial"/>
                <w:b/>
                <w:sz w:val="20"/>
                <w:szCs w:val="20"/>
              </w:rPr>
              <w:t>Produit (P)</w:t>
            </w:r>
            <w:r>
              <w:rPr>
                <w:rFonts w:ascii="Arial" w:hAnsi="Arial"/>
                <w:b/>
                <w:sz w:val="20"/>
                <w:szCs w:val="20"/>
              </w:rPr>
              <w:br/>
              <w:t>Indicateurs/Repères (R)</w:t>
            </w:r>
          </w:p>
        </w:tc>
        <w:tc>
          <w:tcPr>
            <w:tcW w:w="3940" w:type="dxa"/>
            <w:shd w:val="clear" w:color="auto" w:fill="D9D9D9" w:themeFill="background1" w:themeFillShade="D9"/>
            <w:vAlign w:val="center"/>
          </w:tcPr>
          <w:p w14:paraId="2B61872A" w14:textId="7AED07E1" w:rsidR="00C2282C" w:rsidRPr="001C6031" w:rsidRDefault="00C2282C" w:rsidP="005F7CB2">
            <w:pPr>
              <w:spacing w:before="60" w:after="60"/>
              <w:jc w:val="center"/>
              <w:rPr>
                <w:rFonts w:ascii="Arial" w:eastAsia="Calibri" w:hAnsi="Arial" w:cs="Arial"/>
                <w:b/>
                <w:sz w:val="20"/>
                <w:szCs w:val="20"/>
              </w:rPr>
            </w:pPr>
            <w:r>
              <w:rPr>
                <w:rFonts w:ascii="Arial" w:hAnsi="Arial"/>
                <w:b/>
                <w:sz w:val="20"/>
                <w:szCs w:val="20"/>
              </w:rPr>
              <w:t>Évaluation des progrès accomplis :</w:t>
            </w:r>
            <w:r>
              <w:rPr>
                <w:rFonts w:ascii="Arial" w:hAnsi="Arial"/>
                <w:b/>
                <w:sz w:val="20"/>
                <w:szCs w:val="20"/>
              </w:rPr>
              <w:br/>
              <w:t>du 01/01/2016 au 31/12/2017</w:t>
            </w:r>
          </w:p>
        </w:tc>
        <w:tc>
          <w:tcPr>
            <w:tcW w:w="1757" w:type="dxa"/>
            <w:shd w:val="clear" w:color="auto" w:fill="D9D9D9" w:themeFill="background1" w:themeFillShade="D9"/>
            <w:vAlign w:val="center"/>
          </w:tcPr>
          <w:p w14:paraId="2F44C006" w14:textId="5FA2E794" w:rsidR="00C2282C" w:rsidRPr="001C6031" w:rsidRDefault="00C2282C" w:rsidP="005F7CB2">
            <w:pPr>
              <w:spacing w:before="60" w:after="60"/>
              <w:jc w:val="center"/>
              <w:rPr>
                <w:rFonts w:ascii="Arial" w:eastAsia="Calibri" w:hAnsi="Arial" w:cs="Arial"/>
                <w:b/>
                <w:sz w:val="20"/>
                <w:szCs w:val="20"/>
              </w:rPr>
            </w:pPr>
            <w:r>
              <w:rPr>
                <w:rFonts w:ascii="Arial" w:hAnsi="Arial"/>
                <w:b/>
                <w:sz w:val="20"/>
                <w:szCs w:val="20"/>
              </w:rPr>
              <w:t>Évaluation de la mise en œuvre</w:t>
            </w:r>
          </w:p>
        </w:tc>
      </w:tr>
      <w:tr w:rsidR="00C2282C" w:rsidRPr="008C6B02" w14:paraId="511449EA" w14:textId="7B878137" w:rsidTr="007656F8">
        <w:trPr>
          <w:jc w:val="center"/>
        </w:trPr>
        <w:tc>
          <w:tcPr>
            <w:tcW w:w="3948" w:type="dxa"/>
            <w:shd w:val="clear" w:color="auto" w:fill="auto"/>
          </w:tcPr>
          <w:p w14:paraId="11B2A167" w14:textId="5E4A59C4" w:rsidR="00C2282C" w:rsidRPr="001C6031" w:rsidRDefault="00C2282C" w:rsidP="005F7CB2">
            <w:pPr>
              <w:spacing w:before="60" w:after="60"/>
              <w:rPr>
                <w:rFonts w:ascii="Arial" w:eastAsia="Calibri" w:hAnsi="Arial" w:cs="Arial"/>
                <w:b/>
                <w:sz w:val="20"/>
                <w:szCs w:val="20"/>
              </w:rPr>
            </w:pPr>
            <w:r>
              <w:rPr>
                <w:rFonts w:ascii="Arial" w:hAnsi="Arial"/>
                <w:b/>
                <w:sz w:val="20"/>
                <w:szCs w:val="20"/>
              </w:rPr>
              <w:t>P :</w:t>
            </w:r>
          </w:p>
          <w:p w14:paraId="3A0A8734" w14:textId="21E3AE99" w:rsidR="001D1004" w:rsidRPr="001D1004" w:rsidRDefault="001D1004" w:rsidP="00B973F3">
            <w:pPr>
              <w:spacing w:before="60" w:after="60"/>
              <w:rPr>
                <w:rFonts w:ascii="Arial" w:eastAsia="Calibri" w:hAnsi="Arial" w:cs="Arial"/>
                <w:sz w:val="20"/>
                <w:szCs w:val="20"/>
              </w:rPr>
            </w:pPr>
            <w:r>
              <w:rPr>
                <w:rFonts w:ascii="Arial" w:hAnsi="Arial"/>
                <w:sz w:val="20"/>
                <w:szCs w:val="20"/>
              </w:rPr>
              <w:t>Accès externe et interne à l</w:t>
            </w:r>
            <w:r w:rsidR="00ED6BBD">
              <w:rPr>
                <w:rFonts w:ascii="Arial" w:hAnsi="Arial"/>
                <w:sz w:val="20"/>
                <w:szCs w:val="20"/>
              </w:rPr>
              <w:t>’</w:t>
            </w:r>
            <w:r>
              <w:rPr>
                <w:rFonts w:ascii="Arial" w:hAnsi="Arial"/>
                <w:sz w:val="20"/>
                <w:szCs w:val="20"/>
              </w:rPr>
              <w:t>information accru et processus, flux de travail et délais de réaction optimisés grâce aux interfaces de suivi</w:t>
            </w:r>
          </w:p>
          <w:p w14:paraId="09962314" w14:textId="22FD3713" w:rsidR="00C2282C" w:rsidRPr="001C6031" w:rsidRDefault="00C2282C" w:rsidP="005F7CB2">
            <w:pPr>
              <w:spacing w:before="60" w:after="60"/>
              <w:rPr>
                <w:rFonts w:ascii="Arial" w:hAnsi="Arial" w:cs="Arial"/>
                <w:b/>
                <w:sz w:val="20"/>
                <w:szCs w:val="20"/>
              </w:rPr>
            </w:pPr>
            <w:r>
              <w:rPr>
                <w:rFonts w:ascii="Arial" w:hAnsi="Arial"/>
                <w:b/>
                <w:sz w:val="20"/>
                <w:szCs w:val="20"/>
              </w:rPr>
              <w:t>R 2016-2017 :</w:t>
            </w:r>
          </w:p>
          <w:p w14:paraId="5FCC6D43" w14:textId="55A1CD48" w:rsidR="00C2282C" w:rsidRPr="00DC1529" w:rsidRDefault="00DC1529" w:rsidP="00B973F3">
            <w:pPr>
              <w:pStyle w:val="ListParagraph"/>
              <w:numPr>
                <w:ilvl w:val="0"/>
                <w:numId w:val="37"/>
              </w:numPr>
              <w:spacing w:before="60" w:after="60"/>
              <w:ind w:left="360"/>
              <w:rPr>
                <w:rFonts w:ascii="Arial" w:eastAsia="Calibri" w:hAnsi="Arial" w:cs="Arial"/>
                <w:sz w:val="20"/>
                <w:szCs w:val="20"/>
              </w:rPr>
            </w:pPr>
            <w:r>
              <w:rPr>
                <w:rFonts w:ascii="Arial" w:hAnsi="Arial"/>
                <w:sz w:val="20"/>
                <w:szCs w:val="20"/>
              </w:rPr>
              <w:t>3 nouvelles interfaces de suivi</w:t>
            </w:r>
          </w:p>
        </w:tc>
        <w:tc>
          <w:tcPr>
            <w:tcW w:w="3940" w:type="dxa"/>
            <w:shd w:val="clear" w:color="auto" w:fill="auto"/>
          </w:tcPr>
          <w:p w14:paraId="0D8DC892" w14:textId="2E3474A3" w:rsidR="00E657AF" w:rsidRDefault="008C6B02" w:rsidP="00B973F3">
            <w:pPr>
              <w:pStyle w:val="ListParagraph"/>
              <w:numPr>
                <w:ilvl w:val="0"/>
                <w:numId w:val="37"/>
              </w:numPr>
              <w:spacing w:before="360" w:after="60"/>
              <w:ind w:left="357" w:hanging="357"/>
              <w:contextualSpacing w:val="0"/>
              <w:rPr>
                <w:rFonts w:ascii="Arial" w:eastAsia="Calibri" w:hAnsi="Arial" w:cs="Arial"/>
                <w:sz w:val="20"/>
                <w:szCs w:val="20"/>
              </w:rPr>
            </w:pPr>
            <w:r>
              <w:rPr>
                <w:rFonts w:ascii="Arial" w:hAnsi="Arial"/>
                <w:sz w:val="20"/>
                <w:szCs w:val="20"/>
              </w:rPr>
              <w:t>Interface publique indiquant les dates limites et le statut des rapports périodiques, pays par pays et élément par élément</w:t>
            </w:r>
          </w:p>
          <w:p w14:paraId="73F703D1" w14:textId="36ADEE10" w:rsidR="008C6B02" w:rsidRDefault="008C6B02" w:rsidP="00B973F3">
            <w:pPr>
              <w:pStyle w:val="ListParagraph"/>
              <w:numPr>
                <w:ilvl w:val="0"/>
                <w:numId w:val="37"/>
              </w:numPr>
              <w:spacing w:before="60" w:after="60"/>
              <w:ind w:left="360"/>
              <w:contextualSpacing w:val="0"/>
              <w:rPr>
                <w:rFonts w:ascii="Arial" w:eastAsia="Calibri" w:hAnsi="Arial" w:cs="Arial"/>
                <w:sz w:val="20"/>
                <w:szCs w:val="20"/>
              </w:rPr>
            </w:pPr>
            <w:r>
              <w:rPr>
                <w:rFonts w:ascii="Arial" w:hAnsi="Arial"/>
                <w:sz w:val="20"/>
                <w:szCs w:val="20"/>
              </w:rPr>
              <w:t>Tableau de bord interne, à l</w:t>
            </w:r>
            <w:r w:rsidR="00ED6BBD">
              <w:rPr>
                <w:rFonts w:ascii="Arial" w:hAnsi="Arial"/>
                <w:sz w:val="20"/>
                <w:szCs w:val="20"/>
              </w:rPr>
              <w:t>’</w:t>
            </w:r>
            <w:r>
              <w:rPr>
                <w:rFonts w:ascii="Arial" w:hAnsi="Arial"/>
                <w:sz w:val="20"/>
                <w:szCs w:val="20"/>
              </w:rPr>
              <w:t>usage des responsables régionaux, synthétisant les tâches statutaires et les tâches liées aux projets</w:t>
            </w:r>
          </w:p>
          <w:p w14:paraId="4088899E" w14:textId="19BA7716" w:rsidR="00630B09" w:rsidRPr="00B973F3" w:rsidRDefault="008C6B02" w:rsidP="00B973F3">
            <w:pPr>
              <w:pStyle w:val="ListParagraph"/>
              <w:numPr>
                <w:ilvl w:val="0"/>
                <w:numId w:val="37"/>
              </w:numPr>
              <w:spacing w:before="60" w:after="60"/>
              <w:ind w:left="360"/>
              <w:contextualSpacing w:val="0"/>
              <w:rPr>
                <w:rFonts w:ascii="Arial" w:eastAsia="Calibri" w:hAnsi="Arial" w:cs="Arial"/>
                <w:sz w:val="20"/>
                <w:szCs w:val="20"/>
              </w:rPr>
            </w:pPr>
            <w:r>
              <w:rPr>
                <w:rFonts w:ascii="Arial" w:hAnsi="Arial"/>
                <w:sz w:val="20"/>
                <w:szCs w:val="20"/>
              </w:rPr>
              <w:t>Affichage des dates de renouvellement de l</w:t>
            </w:r>
            <w:r w:rsidR="00ED6BBD">
              <w:rPr>
                <w:rFonts w:ascii="Arial" w:hAnsi="Arial"/>
                <w:sz w:val="20"/>
                <w:szCs w:val="20"/>
              </w:rPr>
              <w:t>’</w:t>
            </w:r>
            <w:r>
              <w:rPr>
                <w:rFonts w:ascii="Arial" w:hAnsi="Arial"/>
                <w:sz w:val="20"/>
                <w:szCs w:val="20"/>
              </w:rPr>
              <w:t>accréditation des ONG et des rapports d</w:t>
            </w:r>
            <w:r w:rsidR="00ED6BBD">
              <w:rPr>
                <w:rFonts w:ascii="Arial" w:hAnsi="Arial"/>
                <w:sz w:val="20"/>
                <w:szCs w:val="20"/>
              </w:rPr>
              <w:t>’</w:t>
            </w:r>
            <w:r>
              <w:rPr>
                <w:rFonts w:ascii="Arial" w:hAnsi="Arial"/>
                <w:sz w:val="20"/>
                <w:szCs w:val="20"/>
              </w:rPr>
              <w:t>activité soumis.</w:t>
            </w:r>
          </w:p>
        </w:tc>
        <w:tc>
          <w:tcPr>
            <w:tcW w:w="1757" w:type="dxa"/>
          </w:tcPr>
          <w:p w14:paraId="18750F6C" w14:textId="7D3F0A49" w:rsidR="008C6B02" w:rsidRPr="00630B09" w:rsidRDefault="008C6B02" w:rsidP="00B973F3">
            <w:pPr>
              <w:spacing w:before="360" w:after="60"/>
              <w:jc w:val="center"/>
              <w:rPr>
                <w:rFonts w:ascii="Arial" w:eastAsia="Calibri" w:hAnsi="Arial" w:cs="Arial"/>
                <w:sz w:val="20"/>
                <w:szCs w:val="20"/>
              </w:rPr>
            </w:pPr>
            <w:r>
              <w:rPr>
                <w:rFonts w:ascii="Arial" w:hAnsi="Arial"/>
                <w:sz w:val="20"/>
                <w:szCs w:val="20"/>
              </w:rPr>
              <w:t>Accomplie</w:t>
            </w:r>
          </w:p>
        </w:tc>
      </w:tr>
      <w:tr w:rsidR="00C2282C" w:rsidRPr="008C6B02" w14:paraId="64EDC56A" w14:textId="5DDD6033" w:rsidTr="007656F8">
        <w:trPr>
          <w:jc w:val="center"/>
        </w:trPr>
        <w:tc>
          <w:tcPr>
            <w:tcW w:w="3948" w:type="dxa"/>
            <w:shd w:val="clear" w:color="auto" w:fill="auto"/>
          </w:tcPr>
          <w:p w14:paraId="126475D8" w14:textId="1B03DA6E" w:rsidR="00C2282C" w:rsidRPr="001C6031" w:rsidRDefault="00C2282C" w:rsidP="005F7CB2">
            <w:pPr>
              <w:spacing w:before="60" w:after="60"/>
              <w:rPr>
                <w:rFonts w:ascii="Arial" w:eastAsia="Calibri" w:hAnsi="Arial" w:cs="Arial"/>
                <w:b/>
                <w:sz w:val="20"/>
                <w:szCs w:val="20"/>
              </w:rPr>
            </w:pPr>
            <w:r>
              <w:rPr>
                <w:rFonts w:ascii="Arial" w:hAnsi="Arial"/>
                <w:b/>
                <w:sz w:val="20"/>
                <w:szCs w:val="20"/>
              </w:rPr>
              <w:lastRenderedPageBreak/>
              <w:t>P :</w:t>
            </w:r>
          </w:p>
          <w:p w14:paraId="37637265" w14:textId="21775525" w:rsidR="001D1004" w:rsidRPr="001D1004" w:rsidRDefault="001D1004" w:rsidP="00B973F3">
            <w:pPr>
              <w:spacing w:before="60" w:after="60"/>
              <w:rPr>
                <w:rFonts w:ascii="Arial" w:eastAsia="Calibri" w:hAnsi="Arial" w:cs="Arial"/>
                <w:sz w:val="20"/>
                <w:szCs w:val="20"/>
              </w:rPr>
            </w:pPr>
            <w:r>
              <w:rPr>
                <w:rFonts w:ascii="Arial" w:hAnsi="Arial"/>
                <w:sz w:val="20"/>
                <w:szCs w:val="20"/>
              </w:rPr>
              <w:t>Accessibilité et facilité d</w:t>
            </w:r>
            <w:r w:rsidR="00ED6BBD">
              <w:rPr>
                <w:rFonts w:ascii="Arial" w:hAnsi="Arial"/>
                <w:sz w:val="20"/>
                <w:szCs w:val="20"/>
              </w:rPr>
              <w:t>’</w:t>
            </w:r>
            <w:r>
              <w:rPr>
                <w:rFonts w:ascii="Arial" w:hAnsi="Arial"/>
                <w:sz w:val="20"/>
                <w:szCs w:val="20"/>
              </w:rPr>
              <w:t>utilisation des documents et décisions de la Convention améliorées ; meilleure indexation et possibilités de recherche améliorées</w:t>
            </w:r>
          </w:p>
          <w:p w14:paraId="07AEE1DB" w14:textId="77777777" w:rsidR="001D1004" w:rsidRPr="001C6031" w:rsidRDefault="001D1004" w:rsidP="001D1004">
            <w:pPr>
              <w:spacing w:before="60" w:after="60"/>
              <w:rPr>
                <w:rFonts w:ascii="Arial" w:hAnsi="Arial" w:cs="Arial"/>
                <w:b/>
                <w:sz w:val="20"/>
                <w:szCs w:val="20"/>
              </w:rPr>
            </w:pPr>
            <w:r>
              <w:rPr>
                <w:rFonts w:ascii="Arial" w:hAnsi="Arial"/>
                <w:b/>
                <w:sz w:val="20"/>
                <w:szCs w:val="20"/>
              </w:rPr>
              <w:t>R 2016-2017 :</w:t>
            </w:r>
          </w:p>
          <w:p w14:paraId="7792A6DD" w14:textId="2466D583" w:rsidR="00DC1529" w:rsidRDefault="001D1004" w:rsidP="00B973F3">
            <w:pPr>
              <w:pStyle w:val="ListParagraph"/>
              <w:numPr>
                <w:ilvl w:val="0"/>
                <w:numId w:val="37"/>
              </w:numPr>
              <w:spacing w:before="60" w:after="60"/>
              <w:ind w:left="357" w:hanging="357"/>
              <w:contextualSpacing w:val="0"/>
              <w:rPr>
                <w:rFonts w:ascii="Arial" w:eastAsia="Calibri" w:hAnsi="Arial" w:cs="Arial"/>
                <w:sz w:val="20"/>
                <w:szCs w:val="20"/>
              </w:rPr>
            </w:pPr>
            <w:r>
              <w:rPr>
                <w:rFonts w:ascii="Arial" w:hAnsi="Arial"/>
                <w:sz w:val="20"/>
                <w:szCs w:val="20"/>
              </w:rPr>
              <w:t xml:space="preserve">Ajout de 8 documents de décisions mis en ligne dans UNESDOC </w:t>
            </w:r>
          </w:p>
          <w:p w14:paraId="0D390310" w14:textId="7A0A3139" w:rsidR="00C2282C" w:rsidRPr="001C6031" w:rsidRDefault="001D1004" w:rsidP="00AB476F">
            <w:pPr>
              <w:pStyle w:val="ListParagraph"/>
              <w:numPr>
                <w:ilvl w:val="0"/>
                <w:numId w:val="37"/>
              </w:numPr>
              <w:spacing w:before="60" w:after="60"/>
              <w:ind w:left="357" w:hanging="357"/>
              <w:contextualSpacing w:val="0"/>
              <w:rPr>
                <w:rFonts w:ascii="Arial" w:eastAsia="Calibri" w:hAnsi="Arial" w:cs="Arial"/>
                <w:sz w:val="20"/>
                <w:szCs w:val="20"/>
              </w:rPr>
            </w:pPr>
            <w:r>
              <w:rPr>
                <w:rFonts w:ascii="Arial" w:hAnsi="Arial"/>
                <w:sz w:val="20"/>
                <w:szCs w:val="20"/>
              </w:rPr>
              <w:t xml:space="preserve">Référencement de 70 décisions/résolutions supplémentaires dans le </w:t>
            </w:r>
            <w:r w:rsidR="00AB476F">
              <w:rPr>
                <w:rFonts w:ascii="Arial" w:hAnsi="Arial"/>
                <w:sz w:val="20"/>
                <w:szCs w:val="20"/>
              </w:rPr>
              <w:t>KMS</w:t>
            </w:r>
          </w:p>
        </w:tc>
        <w:tc>
          <w:tcPr>
            <w:tcW w:w="3940" w:type="dxa"/>
            <w:shd w:val="clear" w:color="auto" w:fill="auto"/>
          </w:tcPr>
          <w:p w14:paraId="434E5C8C" w14:textId="740F4E2A" w:rsidR="00C2282C" w:rsidRDefault="008C6B02" w:rsidP="00B973F3">
            <w:pPr>
              <w:pStyle w:val="ListParagraph"/>
              <w:numPr>
                <w:ilvl w:val="0"/>
                <w:numId w:val="37"/>
              </w:numPr>
              <w:spacing w:before="360" w:after="60"/>
              <w:ind w:left="357" w:hanging="357"/>
              <w:contextualSpacing w:val="0"/>
              <w:rPr>
                <w:rFonts w:ascii="Arial" w:eastAsia="Calibri" w:hAnsi="Arial" w:cs="Arial"/>
                <w:sz w:val="20"/>
                <w:szCs w:val="20"/>
              </w:rPr>
            </w:pPr>
            <w:r>
              <w:rPr>
                <w:rFonts w:ascii="Arial" w:hAnsi="Arial"/>
                <w:sz w:val="20"/>
                <w:szCs w:val="20"/>
              </w:rPr>
              <w:t xml:space="preserve">Référencement Individuel de 78 décisions et résolutions dans le </w:t>
            </w:r>
            <w:r w:rsidR="004C1324">
              <w:rPr>
                <w:rFonts w:ascii="Arial" w:hAnsi="Arial"/>
                <w:sz w:val="20"/>
                <w:szCs w:val="20"/>
              </w:rPr>
              <w:t>KMS</w:t>
            </w:r>
          </w:p>
          <w:p w14:paraId="69601CAF" w14:textId="6DDFB1F9" w:rsidR="00AF1187" w:rsidRDefault="00AF1187" w:rsidP="00B973F3">
            <w:pPr>
              <w:pStyle w:val="ListParagraph"/>
              <w:numPr>
                <w:ilvl w:val="0"/>
                <w:numId w:val="37"/>
              </w:numPr>
              <w:spacing w:before="60" w:after="60"/>
              <w:ind w:left="357" w:hanging="357"/>
              <w:contextualSpacing w:val="0"/>
              <w:rPr>
                <w:rFonts w:ascii="Arial" w:eastAsia="Calibri" w:hAnsi="Arial" w:cs="Arial"/>
                <w:sz w:val="20"/>
                <w:szCs w:val="20"/>
              </w:rPr>
            </w:pPr>
            <w:r>
              <w:rPr>
                <w:rFonts w:ascii="Arial" w:hAnsi="Arial"/>
                <w:sz w:val="20"/>
                <w:szCs w:val="20"/>
              </w:rPr>
              <w:t>470 éléments, 147 ONG accréditées et 40 projets indexés selon le Thésaurus de l</w:t>
            </w:r>
            <w:r w:rsidR="00ED6BBD">
              <w:rPr>
                <w:rFonts w:ascii="Arial" w:hAnsi="Arial"/>
                <w:sz w:val="20"/>
                <w:szCs w:val="20"/>
              </w:rPr>
              <w:t>’</w:t>
            </w:r>
            <w:r>
              <w:rPr>
                <w:rFonts w:ascii="Arial" w:hAnsi="Arial"/>
                <w:sz w:val="20"/>
                <w:szCs w:val="20"/>
              </w:rPr>
              <w:t>UNESCO pour permettre de les filtrer d</w:t>
            </w:r>
            <w:r w:rsidR="00ED6BBD">
              <w:rPr>
                <w:rFonts w:ascii="Arial" w:hAnsi="Arial"/>
                <w:sz w:val="20"/>
                <w:szCs w:val="20"/>
              </w:rPr>
              <w:t>’</w:t>
            </w:r>
            <w:r>
              <w:rPr>
                <w:rFonts w:ascii="Arial" w:hAnsi="Arial"/>
                <w:sz w:val="20"/>
                <w:szCs w:val="20"/>
              </w:rPr>
              <w:t>après leur contenu</w:t>
            </w:r>
          </w:p>
          <w:p w14:paraId="5F373B60" w14:textId="6ABF2F0B" w:rsidR="00630B09" w:rsidRPr="00B973F3" w:rsidRDefault="00FD01DA" w:rsidP="00B973F3">
            <w:pPr>
              <w:pStyle w:val="ListParagraph"/>
              <w:numPr>
                <w:ilvl w:val="0"/>
                <w:numId w:val="37"/>
              </w:numPr>
              <w:spacing w:before="60" w:after="60"/>
              <w:ind w:left="357" w:hanging="357"/>
              <w:contextualSpacing w:val="0"/>
              <w:rPr>
                <w:rFonts w:ascii="Arial" w:eastAsia="Calibri" w:hAnsi="Arial" w:cs="Arial"/>
                <w:sz w:val="20"/>
                <w:szCs w:val="20"/>
              </w:rPr>
            </w:pPr>
            <w:r>
              <w:rPr>
                <w:rFonts w:ascii="Arial" w:hAnsi="Arial"/>
                <w:sz w:val="20"/>
                <w:szCs w:val="20"/>
              </w:rPr>
              <w:t>Interruption de la mise en ligne de documents dans UNESDOC, car ce système couvrant l</w:t>
            </w:r>
            <w:r w:rsidR="00ED6BBD">
              <w:rPr>
                <w:rFonts w:ascii="Arial" w:hAnsi="Arial"/>
                <w:sz w:val="20"/>
                <w:szCs w:val="20"/>
              </w:rPr>
              <w:t>’</w:t>
            </w:r>
            <w:r>
              <w:rPr>
                <w:rFonts w:ascii="Arial" w:hAnsi="Arial"/>
                <w:sz w:val="20"/>
                <w:szCs w:val="20"/>
              </w:rPr>
              <w:t>ensemble de l</w:t>
            </w:r>
            <w:r w:rsidR="00ED6BBD">
              <w:rPr>
                <w:rFonts w:ascii="Arial" w:hAnsi="Arial"/>
                <w:sz w:val="20"/>
                <w:szCs w:val="20"/>
              </w:rPr>
              <w:t>’</w:t>
            </w:r>
            <w:r>
              <w:rPr>
                <w:rFonts w:ascii="Arial" w:hAnsi="Arial"/>
                <w:sz w:val="20"/>
                <w:szCs w:val="20"/>
              </w:rPr>
              <w:t>UNESCO doit bientôt être rénové.</w:t>
            </w:r>
          </w:p>
        </w:tc>
        <w:tc>
          <w:tcPr>
            <w:tcW w:w="1757" w:type="dxa"/>
            <w:shd w:val="clear" w:color="auto" w:fill="auto"/>
          </w:tcPr>
          <w:p w14:paraId="10C066B0" w14:textId="26A63AA8" w:rsidR="00C2282C" w:rsidRPr="001C6031" w:rsidRDefault="00573AE2" w:rsidP="00B973F3">
            <w:pPr>
              <w:spacing w:before="360" w:after="60"/>
              <w:jc w:val="center"/>
              <w:rPr>
                <w:rFonts w:ascii="Arial" w:eastAsia="Calibri" w:hAnsi="Arial" w:cs="Arial"/>
                <w:sz w:val="20"/>
                <w:szCs w:val="20"/>
              </w:rPr>
            </w:pPr>
            <w:r>
              <w:rPr>
                <w:rFonts w:ascii="Arial" w:hAnsi="Arial"/>
                <w:sz w:val="20"/>
                <w:szCs w:val="20"/>
              </w:rPr>
              <w:t>Partiellement accomplie</w:t>
            </w:r>
          </w:p>
        </w:tc>
      </w:tr>
      <w:tr w:rsidR="00C2282C" w:rsidRPr="008C6B02" w14:paraId="03B45BFE" w14:textId="40301F77" w:rsidTr="007656F8">
        <w:trPr>
          <w:jc w:val="center"/>
        </w:trPr>
        <w:tc>
          <w:tcPr>
            <w:tcW w:w="3948" w:type="dxa"/>
            <w:shd w:val="clear" w:color="auto" w:fill="auto"/>
          </w:tcPr>
          <w:p w14:paraId="10BB50CC" w14:textId="5F5F2455" w:rsidR="00C2282C" w:rsidRPr="001C6031" w:rsidRDefault="00C2282C" w:rsidP="005F7CB2">
            <w:pPr>
              <w:spacing w:before="60" w:after="60"/>
              <w:rPr>
                <w:rFonts w:ascii="Arial" w:eastAsia="Calibri" w:hAnsi="Arial" w:cs="Arial"/>
                <w:b/>
                <w:sz w:val="20"/>
                <w:szCs w:val="20"/>
              </w:rPr>
            </w:pPr>
            <w:r>
              <w:rPr>
                <w:rFonts w:ascii="Arial" w:hAnsi="Arial"/>
                <w:b/>
                <w:sz w:val="20"/>
                <w:szCs w:val="20"/>
              </w:rPr>
              <w:t>P :</w:t>
            </w:r>
          </w:p>
          <w:p w14:paraId="685427CD" w14:textId="77777777" w:rsidR="00E657AF" w:rsidRPr="00E657AF" w:rsidRDefault="00E657AF" w:rsidP="00B973F3">
            <w:pPr>
              <w:spacing w:before="60" w:after="60"/>
              <w:rPr>
                <w:rFonts w:ascii="Arial" w:eastAsia="Calibri" w:hAnsi="Arial" w:cs="Arial"/>
                <w:sz w:val="20"/>
                <w:szCs w:val="20"/>
              </w:rPr>
            </w:pPr>
            <w:r>
              <w:rPr>
                <w:rFonts w:ascii="Arial" w:hAnsi="Arial"/>
                <w:sz w:val="20"/>
                <w:szCs w:val="20"/>
              </w:rPr>
              <w:t xml:space="preserve">Nouvelles fonctionnalités en ligne pour les parties prenantes extérieures </w:t>
            </w:r>
          </w:p>
          <w:p w14:paraId="7C0829F0" w14:textId="77777777" w:rsidR="00E657AF" w:rsidRPr="001C6031" w:rsidRDefault="00E657AF" w:rsidP="00E657AF">
            <w:pPr>
              <w:spacing w:before="60" w:after="60"/>
              <w:rPr>
                <w:rFonts w:ascii="Arial" w:hAnsi="Arial" w:cs="Arial"/>
                <w:b/>
                <w:sz w:val="20"/>
                <w:szCs w:val="20"/>
              </w:rPr>
            </w:pPr>
            <w:r>
              <w:rPr>
                <w:rFonts w:ascii="Arial" w:hAnsi="Arial"/>
                <w:b/>
                <w:sz w:val="20"/>
                <w:szCs w:val="20"/>
              </w:rPr>
              <w:t>R 2016-2017 :</w:t>
            </w:r>
          </w:p>
          <w:p w14:paraId="0254AFBF" w14:textId="32902EB9" w:rsidR="00C2282C" w:rsidRPr="00DC1529" w:rsidRDefault="00E657AF" w:rsidP="00B973F3">
            <w:pPr>
              <w:pStyle w:val="ListParagraph"/>
              <w:numPr>
                <w:ilvl w:val="0"/>
                <w:numId w:val="37"/>
              </w:numPr>
              <w:spacing w:before="60" w:after="60"/>
              <w:ind w:left="360"/>
              <w:rPr>
                <w:rFonts w:ascii="Arial" w:eastAsia="Calibri" w:hAnsi="Arial" w:cs="Arial"/>
                <w:sz w:val="20"/>
                <w:szCs w:val="20"/>
              </w:rPr>
            </w:pPr>
            <w:r>
              <w:rPr>
                <w:rFonts w:ascii="Arial" w:hAnsi="Arial"/>
                <w:sz w:val="20"/>
                <w:szCs w:val="20"/>
              </w:rPr>
              <w:t>3 nouveaux processus en ligne</w:t>
            </w:r>
          </w:p>
        </w:tc>
        <w:tc>
          <w:tcPr>
            <w:tcW w:w="3940" w:type="dxa"/>
            <w:shd w:val="clear" w:color="auto" w:fill="auto"/>
          </w:tcPr>
          <w:p w14:paraId="4ACB25AC" w14:textId="437CA172" w:rsidR="008C6B02" w:rsidRDefault="008C6B02" w:rsidP="00B973F3">
            <w:pPr>
              <w:pStyle w:val="ListParagraph"/>
              <w:numPr>
                <w:ilvl w:val="0"/>
                <w:numId w:val="37"/>
              </w:numPr>
              <w:spacing w:before="360" w:after="60"/>
              <w:ind w:left="357" w:hanging="357"/>
              <w:contextualSpacing w:val="0"/>
              <w:rPr>
                <w:rFonts w:ascii="Arial" w:eastAsia="Calibri" w:hAnsi="Arial" w:cs="Arial"/>
                <w:sz w:val="20"/>
                <w:szCs w:val="20"/>
              </w:rPr>
            </w:pPr>
            <w:r>
              <w:rPr>
                <w:rFonts w:ascii="Arial" w:hAnsi="Arial"/>
                <w:sz w:val="20"/>
                <w:szCs w:val="20"/>
              </w:rPr>
              <w:t xml:space="preserve">Les parties prenantes extérieures peuvent créer un compte individuel dans le </w:t>
            </w:r>
            <w:r w:rsidR="004C1324">
              <w:rPr>
                <w:rFonts w:ascii="Arial" w:hAnsi="Arial"/>
                <w:sz w:val="20"/>
                <w:szCs w:val="20"/>
              </w:rPr>
              <w:t xml:space="preserve">KMS </w:t>
            </w:r>
            <w:r>
              <w:rPr>
                <w:rFonts w:ascii="Arial" w:hAnsi="Arial"/>
                <w:sz w:val="20"/>
                <w:szCs w:val="20"/>
              </w:rPr>
              <w:t>et télécharger leurs données.</w:t>
            </w:r>
          </w:p>
          <w:p w14:paraId="723048B3" w14:textId="4F5A986F" w:rsidR="008C6B02" w:rsidRDefault="008C6B02" w:rsidP="00B973F3">
            <w:pPr>
              <w:pStyle w:val="ListParagraph"/>
              <w:numPr>
                <w:ilvl w:val="0"/>
                <w:numId w:val="37"/>
              </w:numPr>
              <w:spacing w:before="60" w:after="60"/>
              <w:ind w:left="357" w:hanging="357"/>
              <w:contextualSpacing w:val="0"/>
              <w:rPr>
                <w:rFonts w:ascii="Arial" w:eastAsia="Calibri" w:hAnsi="Arial" w:cs="Arial"/>
                <w:sz w:val="20"/>
                <w:szCs w:val="20"/>
              </w:rPr>
            </w:pPr>
            <w:r>
              <w:rPr>
                <w:rFonts w:ascii="Arial" w:hAnsi="Arial"/>
                <w:sz w:val="20"/>
                <w:szCs w:val="20"/>
              </w:rPr>
              <w:t>Les utilisateurs extérieurs connectés peuvent signaler des problèmes concernant les données mises en ligne.</w:t>
            </w:r>
          </w:p>
          <w:p w14:paraId="05E6D635" w14:textId="1F4A7433" w:rsidR="00630B09" w:rsidRPr="00B973F3" w:rsidRDefault="008C6B02" w:rsidP="00B973F3">
            <w:pPr>
              <w:pStyle w:val="ListParagraph"/>
              <w:numPr>
                <w:ilvl w:val="0"/>
                <w:numId w:val="37"/>
              </w:numPr>
              <w:spacing w:before="60" w:after="60"/>
              <w:ind w:left="357" w:hanging="357"/>
              <w:contextualSpacing w:val="0"/>
              <w:rPr>
                <w:rFonts w:ascii="Arial" w:eastAsia="Calibri" w:hAnsi="Arial" w:cs="Arial"/>
                <w:sz w:val="20"/>
                <w:szCs w:val="20"/>
              </w:rPr>
            </w:pPr>
            <w:r>
              <w:rPr>
                <w:rFonts w:ascii="Arial" w:hAnsi="Arial"/>
                <w:sz w:val="20"/>
                <w:szCs w:val="20"/>
              </w:rPr>
              <w:t>Un formulaire de demande automatisée en ligne permet aux utilisateurs extérieurs d</w:t>
            </w:r>
            <w:r w:rsidR="00ED6BBD">
              <w:rPr>
                <w:rFonts w:ascii="Arial" w:hAnsi="Arial"/>
                <w:sz w:val="20"/>
                <w:szCs w:val="20"/>
              </w:rPr>
              <w:t>’</w:t>
            </w:r>
            <w:r>
              <w:rPr>
                <w:rFonts w:ascii="Arial" w:hAnsi="Arial"/>
                <w:sz w:val="20"/>
                <w:szCs w:val="20"/>
              </w:rPr>
              <w:t>accéder à des outils de renforcement des capacités.</w:t>
            </w:r>
          </w:p>
        </w:tc>
        <w:tc>
          <w:tcPr>
            <w:tcW w:w="1757" w:type="dxa"/>
          </w:tcPr>
          <w:p w14:paraId="1133F48C" w14:textId="7FF5642B" w:rsidR="00C2282C" w:rsidRPr="001C6031" w:rsidRDefault="008C6B02" w:rsidP="00B973F3">
            <w:pPr>
              <w:spacing w:before="360" w:after="60"/>
              <w:jc w:val="center"/>
              <w:rPr>
                <w:rFonts w:ascii="Arial" w:eastAsia="Calibri" w:hAnsi="Arial" w:cs="Arial"/>
                <w:sz w:val="20"/>
                <w:szCs w:val="20"/>
              </w:rPr>
            </w:pPr>
            <w:r>
              <w:rPr>
                <w:rFonts w:ascii="Arial" w:hAnsi="Arial"/>
                <w:sz w:val="20"/>
                <w:szCs w:val="20"/>
              </w:rPr>
              <w:t>Accomplie</w:t>
            </w:r>
          </w:p>
        </w:tc>
      </w:tr>
      <w:tr w:rsidR="00C2282C" w:rsidRPr="008C6B02" w14:paraId="1C83238D" w14:textId="113949F2" w:rsidTr="007656F8">
        <w:trPr>
          <w:jc w:val="center"/>
        </w:trPr>
        <w:tc>
          <w:tcPr>
            <w:tcW w:w="3948" w:type="dxa"/>
            <w:shd w:val="clear" w:color="auto" w:fill="auto"/>
          </w:tcPr>
          <w:p w14:paraId="3939D43D" w14:textId="703F41C2" w:rsidR="00C2282C" w:rsidRPr="001C6031" w:rsidRDefault="00C2282C" w:rsidP="00C421B8">
            <w:pPr>
              <w:spacing w:before="60" w:after="60"/>
              <w:rPr>
                <w:rFonts w:ascii="Arial" w:eastAsia="Calibri" w:hAnsi="Arial" w:cs="Arial"/>
                <w:b/>
                <w:sz w:val="20"/>
                <w:szCs w:val="20"/>
              </w:rPr>
            </w:pPr>
            <w:r>
              <w:rPr>
                <w:rFonts w:ascii="Arial" w:hAnsi="Arial"/>
                <w:b/>
                <w:sz w:val="20"/>
                <w:szCs w:val="20"/>
              </w:rPr>
              <w:t>P :</w:t>
            </w:r>
          </w:p>
          <w:p w14:paraId="68E83901" w14:textId="3A60565D" w:rsidR="00E657AF" w:rsidRPr="00E657AF" w:rsidRDefault="00E657AF" w:rsidP="00B973F3">
            <w:pPr>
              <w:spacing w:before="60" w:after="60"/>
              <w:rPr>
                <w:rFonts w:ascii="Arial" w:eastAsia="Calibri" w:hAnsi="Arial" w:cs="Arial"/>
                <w:sz w:val="20"/>
                <w:szCs w:val="20"/>
              </w:rPr>
            </w:pPr>
            <w:r>
              <w:rPr>
                <w:rFonts w:ascii="Arial" w:hAnsi="Arial"/>
                <w:sz w:val="20"/>
                <w:szCs w:val="20"/>
              </w:rPr>
              <w:t>Site web de la Convention renforcé par l</w:t>
            </w:r>
            <w:r w:rsidR="00ED6BBD">
              <w:rPr>
                <w:rFonts w:ascii="Arial" w:hAnsi="Arial"/>
                <w:sz w:val="20"/>
                <w:szCs w:val="20"/>
              </w:rPr>
              <w:t>’</w:t>
            </w:r>
            <w:r>
              <w:rPr>
                <w:rFonts w:ascii="Arial" w:hAnsi="Arial"/>
                <w:sz w:val="20"/>
                <w:szCs w:val="20"/>
              </w:rPr>
              <w:t>amélioration de la navigation et de l</w:t>
            </w:r>
            <w:r w:rsidR="00ED6BBD">
              <w:rPr>
                <w:rFonts w:ascii="Arial" w:hAnsi="Arial"/>
                <w:sz w:val="20"/>
                <w:szCs w:val="20"/>
              </w:rPr>
              <w:t>’</w:t>
            </w:r>
            <w:r>
              <w:rPr>
                <w:rFonts w:ascii="Arial" w:hAnsi="Arial"/>
                <w:sz w:val="20"/>
                <w:szCs w:val="20"/>
              </w:rPr>
              <w:t>ergonomie, l</w:t>
            </w:r>
            <w:r w:rsidR="00ED6BBD">
              <w:rPr>
                <w:rFonts w:ascii="Arial" w:hAnsi="Arial"/>
                <w:sz w:val="20"/>
                <w:szCs w:val="20"/>
              </w:rPr>
              <w:t>’</w:t>
            </w:r>
            <w:r>
              <w:rPr>
                <w:rFonts w:ascii="Arial" w:hAnsi="Arial"/>
                <w:sz w:val="20"/>
                <w:szCs w:val="20"/>
              </w:rPr>
              <w:t xml:space="preserve">optimisation des moteurs de recherche et des contenus multilingues supplémentaires </w:t>
            </w:r>
          </w:p>
          <w:p w14:paraId="1AC7DE55" w14:textId="77777777" w:rsidR="00E657AF" w:rsidRPr="001C6031" w:rsidRDefault="00E657AF" w:rsidP="00E657AF">
            <w:pPr>
              <w:spacing w:before="60" w:after="60"/>
              <w:rPr>
                <w:rFonts w:ascii="Arial" w:hAnsi="Arial" w:cs="Arial"/>
                <w:b/>
                <w:sz w:val="20"/>
                <w:szCs w:val="20"/>
              </w:rPr>
            </w:pPr>
            <w:r>
              <w:rPr>
                <w:rFonts w:ascii="Arial" w:hAnsi="Arial"/>
                <w:b/>
                <w:sz w:val="20"/>
                <w:szCs w:val="20"/>
              </w:rPr>
              <w:t>R 2016-2017 :</w:t>
            </w:r>
          </w:p>
          <w:p w14:paraId="5F362622" w14:textId="0C551171" w:rsidR="00DC1529" w:rsidRPr="00DC1529" w:rsidRDefault="006E7A23" w:rsidP="00B973F3">
            <w:pPr>
              <w:pStyle w:val="ListParagraph"/>
              <w:numPr>
                <w:ilvl w:val="0"/>
                <w:numId w:val="37"/>
              </w:numPr>
              <w:spacing w:before="60" w:after="60"/>
              <w:ind w:left="357" w:hanging="357"/>
              <w:contextualSpacing w:val="0"/>
              <w:rPr>
                <w:rFonts w:ascii="Arial" w:eastAsia="Calibri" w:hAnsi="Arial" w:cs="Arial"/>
                <w:sz w:val="20"/>
                <w:szCs w:val="20"/>
              </w:rPr>
            </w:pPr>
            <w:r>
              <w:rPr>
                <w:rFonts w:ascii="Arial" w:hAnsi="Arial"/>
                <w:sz w:val="20"/>
                <w:szCs w:val="20"/>
              </w:rPr>
              <w:t>4 500 000 pages visitées sur le site de la Convention de 2003</w:t>
            </w:r>
          </w:p>
          <w:p w14:paraId="7847EB55" w14:textId="368ACAA8" w:rsidR="00DC1529" w:rsidRPr="00DC1529" w:rsidRDefault="006E7A23" w:rsidP="00B973F3">
            <w:pPr>
              <w:pStyle w:val="ListParagraph"/>
              <w:numPr>
                <w:ilvl w:val="0"/>
                <w:numId w:val="37"/>
              </w:numPr>
              <w:spacing w:before="60" w:after="60"/>
              <w:ind w:left="357" w:hanging="357"/>
              <w:contextualSpacing w:val="0"/>
              <w:rPr>
                <w:rFonts w:ascii="Arial" w:eastAsia="Calibri" w:hAnsi="Arial" w:cs="Arial"/>
                <w:sz w:val="20"/>
                <w:szCs w:val="20"/>
              </w:rPr>
            </w:pPr>
            <w:r>
              <w:rPr>
                <w:rFonts w:ascii="Arial" w:hAnsi="Arial"/>
                <w:sz w:val="20"/>
                <w:szCs w:val="20"/>
              </w:rPr>
              <w:t>200 nouvelles pages web publiées en anglais, en français et en espagnol</w:t>
            </w:r>
          </w:p>
          <w:p w14:paraId="46C16F5D" w14:textId="1CE045FB" w:rsidR="00C702DA" w:rsidRPr="00C410E4" w:rsidRDefault="00FD01DA" w:rsidP="00B973F3">
            <w:pPr>
              <w:pStyle w:val="ListParagraph"/>
              <w:numPr>
                <w:ilvl w:val="0"/>
                <w:numId w:val="37"/>
              </w:numPr>
              <w:spacing w:before="60" w:after="60"/>
              <w:ind w:left="357" w:hanging="357"/>
              <w:contextualSpacing w:val="0"/>
              <w:rPr>
                <w:rFonts w:ascii="Arial" w:eastAsia="Calibri" w:hAnsi="Arial" w:cs="Arial"/>
                <w:sz w:val="20"/>
                <w:szCs w:val="20"/>
              </w:rPr>
            </w:pPr>
            <w:r>
              <w:rPr>
                <w:rFonts w:ascii="Arial" w:hAnsi="Arial"/>
                <w:sz w:val="20"/>
                <w:szCs w:val="20"/>
              </w:rPr>
              <w:t>Site web conçu pour une visualisation et une interaction optimales à partir de terminaux mobiles.</w:t>
            </w:r>
          </w:p>
        </w:tc>
        <w:tc>
          <w:tcPr>
            <w:tcW w:w="3940" w:type="dxa"/>
            <w:shd w:val="clear" w:color="auto" w:fill="auto"/>
          </w:tcPr>
          <w:p w14:paraId="576FE402" w14:textId="1CDE03E1" w:rsidR="008C6B02" w:rsidRDefault="008C6B02" w:rsidP="00B973F3">
            <w:pPr>
              <w:pStyle w:val="ListParagraph"/>
              <w:numPr>
                <w:ilvl w:val="0"/>
                <w:numId w:val="37"/>
              </w:numPr>
              <w:spacing w:before="360" w:after="60"/>
              <w:ind w:left="360"/>
              <w:contextualSpacing w:val="0"/>
              <w:rPr>
                <w:rFonts w:ascii="Arial" w:eastAsia="Calibri" w:hAnsi="Arial" w:cs="Arial"/>
                <w:sz w:val="20"/>
                <w:szCs w:val="20"/>
              </w:rPr>
            </w:pPr>
            <w:r>
              <w:rPr>
                <w:rFonts w:ascii="Arial" w:hAnsi="Arial"/>
                <w:sz w:val="20"/>
                <w:szCs w:val="20"/>
              </w:rPr>
              <w:t>7 454 000 pages visitées pendant l</w:t>
            </w:r>
            <w:r w:rsidR="00ED6BBD">
              <w:rPr>
                <w:rFonts w:ascii="Arial" w:hAnsi="Arial"/>
                <w:sz w:val="20"/>
                <w:szCs w:val="20"/>
              </w:rPr>
              <w:t>’</w:t>
            </w:r>
            <w:r>
              <w:rPr>
                <w:rFonts w:ascii="Arial" w:hAnsi="Arial"/>
                <w:sz w:val="20"/>
                <w:szCs w:val="20"/>
              </w:rPr>
              <w:t>exercice biennal (soit une augmentation de 60 % par rapport au précédent)</w:t>
            </w:r>
          </w:p>
          <w:p w14:paraId="254CC2C0" w14:textId="2EB05DEE" w:rsidR="008C6B02" w:rsidRDefault="008C6B02" w:rsidP="00B973F3">
            <w:pPr>
              <w:pStyle w:val="ListParagraph"/>
              <w:numPr>
                <w:ilvl w:val="0"/>
                <w:numId w:val="37"/>
              </w:numPr>
              <w:spacing w:before="60" w:after="60"/>
              <w:ind w:left="360"/>
              <w:contextualSpacing w:val="0"/>
              <w:rPr>
                <w:rFonts w:ascii="Arial" w:eastAsia="Calibri" w:hAnsi="Arial" w:cs="Arial"/>
                <w:sz w:val="20"/>
                <w:szCs w:val="20"/>
              </w:rPr>
            </w:pPr>
            <w:r>
              <w:rPr>
                <w:rFonts w:ascii="Arial" w:hAnsi="Arial"/>
                <w:sz w:val="20"/>
                <w:szCs w:val="20"/>
              </w:rPr>
              <w:t>Création de nouvelles pages : 84 concernant des éléments, 91 sur les actualités et 74 dédiées à des ateliers ou des événements</w:t>
            </w:r>
          </w:p>
          <w:p w14:paraId="05DA2326" w14:textId="6669CCF0" w:rsidR="008C6B02" w:rsidRPr="00C410E4" w:rsidRDefault="008C6B02" w:rsidP="00B973F3">
            <w:pPr>
              <w:pStyle w:val="ListParagraph"/>
              <w:numPr>
                <w:ilvl w:val="0"/>
                <w:numId w:val="37"/>
              </w:numPr>
              <w:spacing w:before="60" w:after="60"/>
              <w:ind w:left="360"/>
              <w:contextualSpacing w:val="0"/>
              <w:rPr>
                <w:rFonts w:ascii="Arial" w:eastAsia="Calibri" w:hAnsi="Arial" w:cs="Arial"/>
                <w:sz w:val="20"/>
                <w:szCs w:val="20"/>
              </w:rPr>
            </w:pPr>
            <w:r>
              <w:rPr>
                <w:rFonts w:ascii="Arial" w:hAnsi="Arial"/>
                <w:sz w:val="20"/>
                <w:szCs w:val="20"/>
              </w:rPr>
              <w:t>Site web pleinement adapté pour une utilisation sur smartphones, tablettes et grands écrans.</w:t>
            </w:r>
          </w:p>
        </w:tc>
        <w:tc>
          <w:tcPr>
            <w:tcW w:w="1757" w:type="dxa"/>
          </w:tcPr>
          <w:p w14:paraId="5DD68D66" w14:textId="7EF1D412" w:rsidR="008C6B02" w:rsidRPr="00C410E4" w:rsidRDefault="008C6B02" w:rsidP="00B973F3">
            <w:pPr>
              <w:spacing w:before="360" w:after="60"/>
              <w:jc w:val="center"/>
              <w:rPr>
                <w:rFonts w:ascii="Arial" w:eastAsia="Calibri" w:hAnsi="Arial" w:cs="Arial"/>
                <w:sz w:val="20"/>
                <w:szCs w:val="20"/>
              </w:rPr>
            </w:pPr>
            <w:r>
              <w:rPr>
                <w:rFonts w:ascii="Arial" w:hAnsi="Arial"/>
                <w:sz w:val="20"/>
                <w:szCs w:val="20"/>
              </w:rPr>
              <w:t>Accomplie</w:t>
            </w:r>
          </w:p>
        </w:tc>
      </w:tr>
      <w:tr w:rsidR="00C2282C" w:rsidRPr="00487E82" w14:paraId="3678BAAA" w14:textId="0AFB5CA6" w:rsidTr="007656F8">
        <w:trPr>
          <w:trHeight w:val="2831"/>
          <w:jc w:val="center"/>
        </w:trPr>
        <w:tc>
          <w:tcPr>
            <w:tcW w:w="3948" w:type="dxa"/>
            <w:shd w:val="clear" w:color="auto" w:fill="auto"/>
          </w:tcPr>
          <w:p w14:paraId="6DF79B48" w14:textId="71CC53ED" w:rsidR="00C2282C" w:rsidRPr="001C6031" w:rsidRDefault="00C2282C" w:rsidP="00473C13">
            <w:pPr>
              <w:spacing w:before="60" w:after="60"/>
              <w:rPr>
                <w:rFonts w:ascii="Arial" w:eastAsia="Calibri" w:hAnsi="Arial" w:cs="Arial"/>
                <w:b/>
                <w:sz w:val="20"/>
                <w:szCs w:val="20"/>
              </w:rPr>
            </w:pPr>
            <w:r>
              <w:rPr>
                <w:rFonts w:ascii="Arial" w:hAnsi="Arial"/>
                <w:b/>
                <w:sz w:val="20"/>
                <w:szCs w:val="20"/>
              </w:rPr>
              <w:t>P :</w:t>
            </w:r>
          </w:p>
          <w:p w14:paraId="7D776E21" w14:textId="3F103C11" w:rsidR="006E7A23" w:rsidRPr="006E7A23" w:rsidRDefault="006E7A23" w:rsidP="00B973F3">
            <w:pPr>
              <w:spacing w:before="60" w:after="60"/>
              <w:rPr>
                <w:rFonts w:ascii="Arial" w:eastAsia="Calibri" w:hAnsi="Arial" w:cs="Arial"/>
                <w:sz w:val="20"/>
                <w:szCs w:val="20"/>
              </w:rPr>
            </w:pPr>
            <w:r>
              <w:rPr>
                <w:rFonts w:ascii="Arial" w:hAnsi="Arial"/>
                <w:sz w:val="20"/>
                <w:szCs w:val="20"/>
              </w:rPr>
              <w:t>Textes fondamentaux de la Convention et autres publications statutaires révisés et publiés</w:t>
            </w:r>
          </w:p>
          <w:p w14:paraId="4DB63ECC" w14:textId="77777777" w:rsidR="006E7A23" w:rsidRPr="001C6031" w:rsidRDefault="006E7A23" w:rsidP="006E7A23">
            <w:pPr>
              <w:spacing w:before="60" w:after="60"/>
              <w:rPr>
                <w:rFonts w:ascii="Arial" w:hAnsi="Arial" w:cs="Arial"/>
                <w:b/>
                <w:sz w:val="20"/>
                <w:szCs w:val="20"/>
              </w:rPr>
            </w:pPr>
            <w:r>
              <w:rPr>
                <w:rFonts w:ascii="Arial" w:hAnsi="Arial"/>
                <w:b/>
                <w:sz w:val="20"/>
                <w:szCs w:val="20"/>
              </w:rPr>
              <w:t>R 2016-2017 :</w:t>
            </w:r>
          </w:p>
          <w:p w14:paraId="17B6B804" w14:textId="6CDD3263" w:rsidR="00C2282C" w:rsidRPr="00DC1529" w:rsidRDefault="00712F43" w:rsidP="00B973F3">
            <w:pPr>
              <w:pStyle w:val="ListParagraph"/>
              <w:numPr>
                <w:ilvl w:val="0"/>
                <w:numId w:val="37"/>
              </w:numPr>
              <w:spacing w:before="60" w:after="60"/>
              <w:ind w:left="360"/>
              <w:rPr>
                <w:rFonts w:ascii="Arial" w:eastAsia="Calibri" w:hAnsi="Arial" w:cs="Arial"/>
                <w:sz w:val="20"/>
                <w:szCs w:val="20"/>
              </w:rPr>
            </w:pPr>
            <w:r>
              <w:rPr>
                <w:rFonts w:ascii="Arial" w:hAnsi="Arial"/>
                <w:sz w:val="20"/>
                <w:szCs w:val="20"/>
              </w:rPr>
              <w:t>Publication de la version 2016 des Textes fondamentaux et des Listes 2014-2015 de la Convention</w:t>
            </w:r>
          </w:p>
        </w:tc>
        <w:tc>
          <w:tcPr>
            <w:tcW w:w="3940" w:type="dxa"/>
            <w:shd w:val="clear" w:color="auto" w:fill="auto"/>
          </w:tcPr>
          <w:p w14:paraId="57BE315E" w14:textId="3268FAF8" w:rsidR="00AB42FF" w:rsidRPr="00C410E4" w:rsidRDefault="00487E82" w:rsidP="00B973F3">
            <w:pPr>
              <w:pStyle w:val="ListParagraph"/>
              <w:numPr>
                <w:ilvl w:val="0"/>
                <w:numId w:val="37"/>
              </w:numPr>
              <w:spacing w:before="360" w:after="60"/>
              <w:ind w:left="360"/>
              <w:contextualSpacing w:val="0"/>
              <w:rPr>
                <w:rFonts w:ascii="Arial" w:eastAsia="Calibri" w:hAnsi="Arial" w:cs="Arial"/>
                <w:sz w:val="20"/>
                <w:szCs w:val="20"/>
              </w:rPr>
            </w:pPr>
            <w:r>
              <w:rPr>
                <w:rFonts w:ascii="Arial" w:hAnsi="Arial"/>
                <w:sz w:val="20"/>
                <w:szCs w:val="20"/>
              </w:rPr>
              <w:t>Version 2016 des Textes fondamentaux de la Convention (dont les amendements aux Directives opérationnelles adoptés par la sixième session de l</w:t>
            </w:r>
            <w:r w:rsidR="00ED6BBD">
              <w:rPr>
                <w:rFonts w:ascii="Arial" w:hAnsi="Arial"/>
                <w:sz w:val="20"/>
                <w:szCs w:val="20"/>
              </w:rPr>
              <w:t>’</w:t>
            </w:r>
            <w:r>
              <w:rPr>
                <w:rFonts w:ascii="Arial" w:hAnsi="Arial"/>
                <w:sz w:val="20"/>
                <w:szCs w:val="20"/>
              </w:rPr>
              <w:t>Assemblée générale et les amendements au Règlement intérieur du Comité adoptés lors de sa dixième session) conçue, éditée et publiée dans les six langues de travail de l</w:t>
            </w:r>
            <w:r w:rsidR="00ED6BBD">
              <w:rPr>
                <w:rFonts w:ascii="Arial" w:hAnsi="Arial"/>
                <w:sz w:val="20"/>
                <w:szCs w:val="20"/>
              </w:rPr>
              <w:t>’</w:t>
            </w:r>
            <w:r>
              <w:rPr>
                <w:rFonts w:ascii="Arial" w:hAnsi="Arial"/>
                <w:sz w:val="20"/>
                <w:szCs w:val="20"/>
              </w:rPr>
              <w:t>Assemblée générale.</w:t>
            </w:r>
          </w:p>
        </w:tc>
        <w:tc>
          <w:tcPr>
            <w:tcW w:w="1757" w:type="dxa"/>
          </w:tcPr>
          <w:p w14:paraId="681DF091" w14:textId="3F5EC6A3" w:rsidR="00C2282C" w:rsidRPr="001C6031" w:rsidRDefault="00573AE2" w:rsidP="00B973F3">
            <w:pPr>
              <w:spacing w:before="360" w:after="60"/>
              <w:jc w:val="center"/>
              <w:rPr>
                <w:rFonts w:ascii="Arial" w:eastAsia="Calibri" w:hAnsi="Arial" w:cs="Arial"/>
                <w:sz w:val="20"/>
                <w:szCs w:val="20"/>
              </w:rPr>
            </w:pPr>
            <w:r>
              <w:rPr>
                <w:rFonts w:ascii="Arial" w:hAnsi="Arial"/>
                <w:sz w:val="20"/>
                <w:szCs w:val="20"/>
              </w:rPr>
              <w:t>Partiellement accomplie</w:t>
            </w:r>
          </w:p>
        </w:tc>
      </w:tr>
    </w:tbl>
    <w:p w14:paraId="14FEDFB3" w14:textId="77777777" w:rsidR="00E941EB" w:rsidRPr="001C6031" w:rsidRDefault="00E941EB" w:rsidP="00E941EB">
      <w:pPr>
        <w:keepNext/>
        <w:spacing w:before="240" w:after="120"/>
        <w:rPr>
          <w:rFonts w:ascii="Arial" w:hAnsi="Arial" w:cs="Arial"/>
          <w:b/>
          <w:sz w:val="22"/>
          <w:szCs w:val="22"/>
        </w:rPr>
      </w:pPr>
      <w:r>
        <w:rPr>
          <w:rFonts w:ascii="Arial" w:hAnsi="Arial"/>
          <w:b/>
          <w:sz w:val="22"/>
          <w:szCs w:val="22"/>
        </w:rPr>
        <w:lastRenderedPageBreak/>
        <w:t>Défis et risques rencontrés dans la mise en œuvre et mesures correctives</w:t>
      </w:r>
    </w:p>
    <w:tbl>
      <w:tblPr>
        <w:tblStyle w:val="TableGrid"/>
        <w:tblW w:w="5000" w:type="pct"/>
        <w:tblLook w:val="04A0" w:firstRow="1" w:lastRow="0" w:firstColumn="1" w:lastColumn="0" w:noHBand="0" w:noVBand="1"/>
      </w:tblPr>
      <w:tblGrid>
        <w:gridCol w:w="4814"/>
        <w:gridCol w:w="4814"/>
      </w:tblGrid>
      <w:tr w:rsidR="00E941EB" w:rsidRPr="001C6031" w14:paraId="10D9F919" w14:textId="77777777" w:rsidTr="00FD01DA">
        <w:trPr>
          <w:tblHeader/>
        </w:trPr>
        <w:tc>
          <w:tcPr>
            <w:tcW w:w="2500" w:type="pct"/>
            <w:shd w:val="clear" w:color="auto" w:fill="D9D9D9" w:themeFill="background1" w:themeFillShade="D9"/>
          </w:tcPr>
          <w:p w14:paraId="10D8A2E8" w14:textId="77777777" w:rsidR="00E941EB" w:rsidRPr="001C6031" w:rsidRDefault="00E941EB" w:rsidP="00FD01DA">
            <w:pPr>
              <w:keepNext/>
              <w:spacing w:before="120" w:after="120"/>
              <w:jc w:val="center"/>
              <w:rPr>
                <w:rFonts w:ascii="Arial" w:hAnsi="Arial" w:cs="Arial"/>
                <w:b/>
                <w:sz w:val="20"/>
                <w:szCs w:val="20"/>
              </w:rPr>
            </w:pPr>
            <w:r>
              <w:rPr>
                <w:rFonts w:ascii="Arial" w:hAnsi="Arial"/>
                <w:b/>
                <w:sz w:val="20"/>
                <w:szCs w:val="20"/>
              </w:rPr>
              <w:t>Principaux défis</w:t>
            </w:r>
          </w:p>
        </w:tc>
        <w:tc>
          <w:tcPr>
            <w:tcW w:w="2500" w:type="pct"/>
            <w:shd w:val="clear" w:color="auto" w:fill="D9D9D9" w:themeFill="background1" w:themeFillShade="D9"/>
          </w:tcPr>
          <w:p w14:paraId="61EE5FB1" w14:textId="77777777" w:rsidR="00E941EB" w:rsidRPr="001C6031" w:rsidRDefault="00E941EB" w:rsidP="00FD01DA">
            <w:pPr>
              <w:keepNext/>
              <w:spacing w:before="120" w:after="120"/>
              <w:jc w:val="center"/>
              <w:rPr>
                <w:rFonts w:ascii="Arial" w:hAnsi="Arial" w:cs="Arial"/>
                <w:b/>
                <w:sz w:val="20"/>
                <w:szCs w:val="20"/>
              </w:rPr>
            </w:pPr>
            <w:r>
              <w:rPr>
                <w:rFonts w:ascii="Arial" w:hAnsi="Arial"/>
                <w:b/>
                <w:sz w:val="20"/>
                <w:szCs w:val="20"/>
              </w:rPr>
              <w:t>Mesures correctives</w:t>
            </w:r>
          </w:p>
        </w:tc>
      </w:tr>
      <w:tr w:rsidR="00E941EB" w:rsidRPr="00DD6C76" w14:paraId="10E696B8" w14:textId="77777777" w:rsidTr="00FD01DA">
        <w:tc>
          <w:tcPr>
            <w:tcW w:w="2500" w:type="pct"/>
            <w:shd w:val="clear" w:color="auto" w:fill="auto"/>
          </w:tcPr>
          <w:p w14:paraId="1535E7DC" w14:textId="4F4972CF" w:rsidR="00E941EB" w:rsidRPr="001C6031" w:rsidRDefault="0006578F">
            <w:pPr>
              <w:spacing w:before="60" w:after="60"/>
              <w:jc w:val="both"/>
              <w:rPr>
                <w:rFonts w:ascii="Arial" w:hAnsi="Arial" w:cs="Arial"/>
                <w:sz w:val="20"/>
                <w:szCs w:val="20"/>
              </w:rPr>
            </w:pPr>
            <w:r>
              <w:rPr>
                <w:rFonts w:ascii="Arial" w:hAnsi="Arial"/>
                <w:sz w:val="20"/>
                <w:szCs w:val="20"/>
              </w:rPr>
              <w:t>Depuis sa création en 2006, le Service de gestion des connaissances s</w:t>
            </w:r>
            <w:r w:rsidR="00ED6BBD">
              <w:rPr>
                <w:rFonts w:ascii="Arial" w:hAnsi="Arial"/>
                <w:sz w:val="20"/>
                <w:szCs w:val="20"/>
              </w:rPr>
              <w:t>’</w:t>
            </w:r>
            <w:r>
              <w:rPr>
                <w:rFonts w:ascii="Arial" w:hAnsi="Arial"/>
                <w:sz w:val="20"/>
                <w:szCs w:val="20"/>
              </w:rPr>
              <w:t>est constamment adapté aux objectifs du Comité et à l</w:t>
            </w:r>
            <w:r w:rsidR="00ED6BBD">
              <w:rPr>
                <w:rFonts w:ascii="Arial" w:hAnsi="Arial"/>
                <w:sz w:val="20"/>
                <w:szCs w:val="20"/>
              </w:rPr>
              <w:t>’</w:t>
            </w:r>
            <w:r>
              <w:rPr>
                <w:rFonts w:ascii="Arial" w:hAnsi="Arial"/>
                <w:sz w:val="20"/>
                <w:szCs w:val="20"/>
              </w:rPr>
              <w:t>évolution de la Convention, notamment en se dotant de nouvelles fonctions. Avec plus de 300 bases de données et interfaces de gestion dédiées, le système devient de plus en plus complexe. L</w:t>
            </w:r>
            <w:r w:rsidR="00ED6BBD">
              <w:rPr>
                <w:rFonts w:ascii="Arial" w:hAnsi="Arial"/>
                <w:sz w:val="20"/>
                <w:szCs w:val="20"/>
              </w:rPr>
              <w:t>’</w:t>
            </w:r>
            <w:r>
              <w:rPr>
                <w:rFonts w:ascii="Arial" w:hAnsi="Arial"/>
                <w:sz w:val="20"/>
                <w:szCs w:val="20"/>
              </w:rPr>
              <w:t>un des principaux défis est lié à la maîtrise des aspects techniques des services supplémentaires, de façon à garantir la pérennité et la stabilité du système dans son ensemble.</w:t>
            </w:r>
          </w:p>
        </w:tc>
        <w:tc>
          <w:tcPr>
            <w:tcW w:w="2500" w:type="pct"/>
          </w:tcPr>
          <w:p w14:paraId="500CAA1A" w14:textId="41E95D42" w:rsidR="00E941EB" w:rsidRPr="001C6031" w:rsidRDefault="00E941EB">
            <w:pPr>
              <w:spacing w:before="60" w:after="60"/>
              <w:jc w:val="both"/>
              <w:rPr>
                <w:rFonts w:ascii="Arial" w:hAnsi="Arial" w:cs="Arial"/>
                <w:sz w:val="20"/>
                <w:szCs w:val="20"/>
              </w:rPr>
            </w:pPr>
            <w:r>
              <w:rPr>
                <w:rFonts w:ascii="Arial" w:hAnsi="Arial"/>
                <w:sz w:val="20"/>
                <w:szCs w:val="20"/>
              </w:rPr>
              <w:t>Le Secrétariat a profité du développement de nouvelles fonctions pour retravailler et mettre à jour progressivement le système afin de garantir sa pérennité. Par exemple, lors du choix d</w:t>
            </w:r>
            <w:r w:rsidR="00ED6BBD">
              <w:rPr>
                <w:rFonts w:ascii="Arial" w:hAnsi="Arial"/>
                <w:sz w:val="20"/>
                <w:szCs w:val="20"/>
              </w:rPr>
              <w:t>’</w:t>
            </w:r>
            <w:r>
              <w:rPr>
                <w:rFonts w:ascii="Arial" w:hAnsi="Arial"/>
                <w:sz w:val="20"/>
                <w:szCs w:val="20"/>
              </w:rPr>
              <w:t>un design adaptatif (qui permet d</w:t>
            </w:r>
            <w:r w:rsidR="00ED6BBD">
              <w:rPr>
                <w:rFonts w:ascii="Arial" w:hAnsi="Arial"/>
                <w:sz w:val="20"/>
                <w:szCs w:val="20"/>
              </w:rPr>
              <w:t>’</w:t>
            </w:r>
            <w:r>
              <w:rPr>
                <w:rFonts w:ascii="Arial" w:hAnsi="Arial"/>
                <w:sz w:val="20"/>
                <w:szCs w:val="20"/>
              </w:rPr>
              <w:t>accéder aux données depuis différents types d</w:t>
            </w:r>
            <w:r w:rsidR="00ED6BBD">
              <w:rPr>
                <w:rFonts w:ascii="Arial" w:hAnsi="Arial"/>
                <w:sz w:val="20"/>
                <w:szCs w:val="20"/>
              </w:rPr>
              <w:t>’</w:t>
            </w:r>
            <w:r>
              <w:rPr>
                <w:rFonts w:ascii="Arial" w:hAnsi="Arial"/>
                <w:sz w:val="20"/>
                <w:szCs w:val="20"/>
              </w:rPr>
              <w:t>appareils), le Secrétariat a décidé de réorganiser l</w:t>
            </w:r>
            <w:r w:rsidR="00ED6BBD">
              <w:rPr>
                <w:rFonts w:ascii="Arial" w:hAnsi="Arial"/>
                <w:sz w:val="20"/>
                <w:szCs w:val="20"/>
              </w:rPr>
              <w:t>’</w:t>
            </w:r>
            <w:r>
              <w:rPr>
                <w:rFonts w:ascii="Arial" w:hAnsi="Arial"/>
                <w:sz w:val="20"/>
                <w:szCs w:val="20"/>
              </w:rPr>
              <w:t>intégralité du codage pour se conformer aux meilleures pratiques actuelles et ainsi faciliter la maintenance du système.</w:t>
            </w:r>
          </w:p>
        </w:tc>
      </w:tr>
      <w:tr w:rsidR="00E941EB" w:rsidRPr="00DD6C76" w14:paraId="6A1B6417" w14:textId="77777777" w:rsidTr="00DD6C76">
        <w:trPr>
          <w:cantSplit/>
        </w:trPr>
        <w:tc>
          <w:tcPr>
            <w:tcW w:w="2500" w:type="pct"/>
            <w:shd w:val="clear" w:color="auto" w:fill="auto"/>
          </w:tcPr>
          <w:p w14:paraId="7930BA33" w14:textId="3D26AB34" w:rsidR="00E941EB" w:rsidRDefault="00E941EB" w:rsidP="00EE728B">
            <w:pPr>
              <w:spacing w:before="60" w:after="60"/>
              <w:jc w:val="both"/>
              <w:rPr>
                <w:rFonts w:ascii="Arial" w:hAnsi="Arial" w:cs="Arial"/>
                <w:sz w:val="20"/>
                <w:szCs w:val="20"/>
              </w:rPr>
            </w:pPr>
            <w:r>
              <w:rPr>
                <w:rFonts w:ascii="Arial" w:hAnsi="Arial"/>
                <w:sz w:val="20"/>
                <w:szCs w:val="20"/>
              </w:rPr>
              <w:t>Le Secrétariat continue à consacrer du temps et des efforts à la publication d</w:t>
            </w:r>
            <w:r w:rsidR="00ED6BBD">
              <w:rPr>
                <w:rFonts w:ascii="Arial" w:hAnsi="Arial"/>
                <w:sz w:val="20"/>
                <w:szCs w:val="20"/>
              </w:rPr>
              <w:t>’</w:t>
            </w:r>
            <w:r>
              <w:rPr>
                <w:rFonts w:ascii="Arial" w:hAnsi="Arial"/>
                <w:sz w:val="20"/>
                <w:szCs w:val="20"/>
              </w:rPr>
              <w:t>une nouvelle version des Textes fondamentaux de la Convention, incluant les amendements adoptés par l</w:t>
            </w:r>
            <w:r w:rsidR="00ED6BBD">
              <w:rPr>
                <w:rFonts w:ascii="Arial" w:hAnsi="Arial"/>
                <w:sz w:val="20"/>
                <w:szCs w:val="20"/>
              </w:rPr>
              <w:t>’</w:t>
            </w:r>
            <w:r>
              <w:rPr>
                <w:rFonts w:ascii="Arial" w:hAnsi="Arial"/>
                <w:sz w:val="20"/>
                <w:szCs w:val="20"/>
              </w:rPr>
              <w:t>Assemblée générale et le Comité, dans les six langues des Nations Unies. Un tel travail demande non seulement des compétences linguistiques mais également une grande maîtrise de la terminologie de la Convention, ce qui le rend difficile à sous-traiter. Si les traductions sont confiées à des prestataires extérieurs, ce sont les locuteurs natifs de ces langues travaillant pour la Section qui se chargent de la relecture nécessaire pour finaliser les textes.</w:t>
            </w:r>
          </w:p>
        </w:tc>
        <w:tc>
          <w:tcPr>
            <w:tcW w:w="2500" w:type="pct"/>
          </w:tcPr>
          <w:p w14:paraId="5D6440EB" w14:textId="0F82CDA0" w:rsidR="00E941EB" w:rsidRPr="001C6031" w:rsidRDefault="00EE728B" w:rsidP="00FD01DA">
            <w:pPr>
              <w:spacing w:before="60" w:after="60"/>
              <w:jc w:val="both"/>
              <w:rPr>
                <w:rFonts w:ascii="Arial" w:hAnsi="Arial" w:cs="Arial"/>
                <w:sz w:val="20"/>
                <w:szCs w:val="20"/>
              </w:rPr>
            </w:pPr>
            <w:r>
              <w:rPr>
                <w:rFonts w:ascii="Arial" w:hAnsi="Arial"/>
                <w:sz w:val="20"/>
                <w:szCs w:val="20"/>
              </w:rPr>
              <w:t>Même si elle n</w:t>
            </w:r>
            <w:r w:rsidR="00ED6BBD">
              <w:rPr>
                <w:rFonts w:ascii="Arial" w:hAnsi="Arial"/>
                <w:sz w:val="20"/>
                <w:szCs w:val="20"/>
              </w:rPr>
              <w:t>’</w:t>
            </w:r>
            <w:r>
              <w:rPr>
                <w:rFonts w:ascii="Arial" w:hAnsi="Arial"/>
                <w:sz w:val="20"/>
                <w:szCs w:val="20"/>
              </w:rPr>
              <w:t>a pas été prise pendant la période considérée, une mesure corrective possible consisterait à publier les Textes fondamentaux en anglais et en français uniquement.</w:t>
            </w:r>
          </w:p>
        </w:tc>
      </w:tr>
    </w:tbl>
    <w:p w14:paraId="45417E5E" w14:textId="5E7FB91D" w:rsidR="00A74D6C" w:rsidRDefault="00A74D6C" w:rsidP="0076712C">
      <w:pPr>
        <w:keepNext/>
        <w:spacing w:before="240" w:after="120"/>
        <w:ind w:left="851" w:hanging="851"/>
        <w:jc w:val="both"/>
        <w:rPr>
          <w:rFonts w:ascii="Arial" w:hAnsi="Arial" w:cs="Arial"/>
          <w:b/>
          <w:bCs/>
          <w:sz w:val="22"/>
          <w:szCs w:val="22"/>
        </w:rPr>
      </w:pPr>
      <w:r>
        <w:rPr>
          <w:rFonts w:ascii="Arial" w:hAnsi="Arial"/>
          <w:b/>
          <w:sz w:val="22"/>
          <w:szCs w:val="22"/>
        </w:rPr>
        <w:t>RE 2 :</w:t>
      </w:r>
      <w:r>
        <w:rPr>
          <w:rFonts w:ascii="Arial" w:hAnsi="Arial"/>
          <w:b/>
          <w:sz w:val="22"/>
          <w:szCs w:val="22"/>
        </w:rPr>
        <w:tab/>
      </w:r>
      <w:r>
        <w:rPr>
          <w:rFonts w:ascii="Arial" w:hAnsi="Arial"/>
          <w:b/>
          <w:bCs/>
          <w:sz w:val="22"/>
          <w:szCs w:val="22"/>
        </w:rPr>
        <w:t>Mise en œuvre de la Convention dans les États membres encouragée par un programme de renforcement des capacités consolidé et des conseils sur des mesures de sauvegarde et des bonnes pratiques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6"/>
        <w:gridCol w:w="3876"/>
        <w:gridCol w:w="1876"/>
      </w:tblGrid>
      <w:tr w:rsidR="00A74D6C" w:rsidRPr="001C6031" w14:paraId="2C37D01B" w14:textId="77777777" w:rsidTr="00E26B1E">
        <w:tc>
          <w:tcPr>
            <w:tcW w:w="2013" w:type="pct"/>
            <w:shd w:val="clear" w:color="auto" w:fill="C6D9F1"/>
            <w:vAlign w:val="center"/>
          </w:tcPr>
          <w:p w14:paraId="7C99C160" w14:textId="77777777" w:rsidR="00A74D6C" w:rsidRPr="001C6031" w:rsidRDefault="00A74D6C" w:rsidP="001F4AB8">
            <w:pPr>
              <w:spacing w:before="120" w:after="120"/>
              <w:jc w:val="center"/>
              <w:rPr>
                <w:rFonts w:ascii="Arial" w:eastAsia="Calibri" w:hAnsi="Arial" w:cs="Arial"/>
                <w:b/>
                <w:sz w:val="20"/>
                <w:szCs w:val="20"/>
              </w:rPr>
            </w:pPr>
            <w:r>
              <w:rPr>
                <w:rFonts w:ascii="Arial" w:hAnsi="Arial"/>
                <w:b/>
                <w:sz w:val="20"/>
                <w:szCs w:val="20"/>
              </w:rPr>
              <w:t>Allocation</w:t>
            </w:r>
          </w:p>
        </w:tc>
        <w:tc>
          <w:tcPr>
            <w:tcW w:w="2013" w:type="pct"/>
            <w:shd w:val="clear" w:color="auto" w:fill="C6D9F1"/>
            <w:vAlign w:val="center"/>
          </w:tcPr>
          <w:p w14:paraId="319C68ED" w14:textId="77777777" w:rsidR="00A74D6C" w:rsidRPr="001C6031" w:rsidRDefault="00A74D6C">
            <w:pPr>
              <w:spacing w:before="120" w:after="120"/>
              <w:jc w:val="center"/>
              <w:rPr>
                <w:rFonts w:ascii="Arial" w:eastAsia="Calibri" w:hAnsi="Arial" w:cs="Arial"/>
                <w:b/>
                <w:sz w:val="20"/>
                <w:szCs w:val="20"/>
              </w:rPr>
            </w:pPr>
            <w:r>
              <w:rPr>
                <w:rFonts w:ascii="Arial" w:hAnsi="Arial"/>
                <w:b/>
                <w:sz w:val="20"/>
                <w:szCs w:val="20"/>
              </w:rPr>
              <w:t>Dépenses</w:t>
            </w:r>
          </w:p>
        </w:tc>
        <w:tc>
          <w:tcPr>
            <w:tcW w:w="974" w:type="pct"/>
            <w:shd w:val="clear" w:color="auto" w:fill="C6D9F1"/>
            <w:vAlign w:val="center"/>
          </w:tcPr>
          <w:p w14:paraId="5872190C" w14:textId="77777777" w:rsidR="00A74D6C" w:rsidRPr="001C6031" w:rsidRDefault="00A74D6C">
            <w:pPr>
              <w:spacing w:before="120" w:after="120"/>
              <w:jc w:val="center"/>
              <w:rPr>
                <w:rFonts w:ascii="Arial" w:eastAsia="Calibri" w:hAnsi="Arial" w:cs="Arial"/>
                <w:b/>
                <w:sz w:val="20"/>
                <w:szCs w:val="20"/>
              </w:rPr>
            </w:pPr>
            <w:r>
              <w:rPr>
                <w:rFonts w:ascii="Arial" w:hAnsi="Arial"/>
                <w:b/>
                <w:sz w:val="20"/>
                <w:szCs w:val="20"/>
              </w:rPr>
              <w:t>Taux de dépense (%)</w:t>
            </w:r>
          </w:p>
        </w:tc>
      </w:tr>
      <w:tr w:rsidR="00A74D6C" w:rsidRPr="001C6031" w14:paraId="27506049" w14:textId="77777777" w:rsidTr="00203F98">
        <w:tc>
          <w:tcPr>
            <w:tcW w:w="2013" w:type="pct"/>
            <w:shd w:val="clear" w:color="auto" w:fill="auto"/>
          </w:tcPr>
          <w:p w14:paraId="7437611D" w14:textId="1D81F0AF" w:rsidR="00A74D6C" w:rsidRPr="001C6031" w:rsidRDefault="0076712C" w:rsidP="005F7CB2">
            <w:pPr>
              <w:spacing w:before="120" w:after="120"/>
              <w:jc w:val="center"/>
              <w:rPr>
                <w:rFonts w:ascii="Arial" w:eastAsia="Calibri" w:hAnsi="Arial" w:cs="Arial"/>
                <w:sz w:val="20"/>
                <w:szCs w:val="20"/>
              </w:rPr>
            </w:pPr>
            <w:r>
              <w:rPr>
                <w:rFonts w:ascii="Arial" w:hAnsi="Arial"/>
                <w:sz w:val="20"/>
                <w:szCs w:val="20"/>
              </w:rPr>
              <w:t>817 346</w:t>
            </w:r>
          </w:p>
        </w:tc>
        <w:tc>
          <w:tcPr>
            <w:tcW w:w="2013" w:type="pct"/>
            <w:shd w:val="clear" w:color="auto" w:fill="auto"/>
          </w:tcPr>
          <w:p w14:paraId="0B95966A" w14:textId="1CFB2645" w:rsidR="00A74D6C" w:rsidRPr="001C6031" w:rsidRDefault="0076712C" w:rsidP="005F7CB2">
            <w:pPr>
              <w:spacing w:before="120" w:after="120"/>
              <w:jc w:val="center"/>
              <w:rPr>
                <w:rFonts w:ascii="Arial" w:eastAsia="Calibri" w:hAnsi="Arial" w:cs="Arial"/>
                <w:sz w:val="20"/>
                <w:szCs w:val="20"/>
              </w:rPr>
            </w:pPr>
            <w:r>
              <w:rPr>
                <w:rFonts w:ascii="Arial" w:hAnsi="Arial"/>
                <w:sz w:val="20"/>
                <w:szCs w:val="20"/>
              </w:rPr>
              <w:t>778 759</w:t>
            </w:r>
          </w:p>
        </w:tc>
        <w:tc>
          <w:tcPr>
            <w:tcW w:w="974" w:type="pct"/>
            <w:shd w:val="clear" w:color="auto" w:fill="auto"/>
          </w:tcPr>
          <w:p w14:paraId="04B8242C" w14:textId="5B031833" w:rsidR="00A74D6C" w:rsidRPr="001C6031" w:rsidRDefault="00A74D6C" w:rsidP="005F7CB2">
            <w:pPr>
              <w:spacing w:before="120" w:after="120"/>
              <w:jc w:val="center"/>
              <w:rPr>
                <w:rFonts w:ascii="Arial" w:eastAsia="Calibri" w:hAnsi="Arial" w:cs="Arial"/>
                <w:sz w:val="20"/>
                <w:szCs w:val="20"/>
              </w:rPr>
            </w:pPr>
            <w:r>
              <w:rPr>
                <w:rFonts w:ascii="Arial" w:hAnsi="Arial"/>
                <w:sz w:val="20"/>
                <w:szCs w:val="20"/>
              </w:rPr>
              <w:t>95,3 %</w:t>
            </w:r>
          </w:p>
        </w:tc>
      </w:tr>
    </w:tbl>
    <w:p w14:paraId="518AA21E" w14:textId="428A6E35" w:rsidR="00A74D6C" w:rsidRPr="00B973F3" w:rsidRDefault="00A74D6C" w:rsidP="00B973F3">
      <w:pPr>
        <w:rPr>
          <w:rFonts w:ascii="Arial" w:hAnsi="Arial" w:cs="Arial"/>
          <w:bCs/>
          <w:sz w:val="22"/>
          <w:szCs w:val="22"/>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1"/>
        <w:gridCol w:w="3877"/>
        <w:gridCol w:w="1890"/>
      </w:tblGrid>
      <w:tr w:rsidR="00414596" w:rsidRPr="001C6031" w14:paraId="1203F919" w14:textId="6656DE57" w:rsidTr="007656F8">
        <w:trPr>
          <w:trHeight w:val="274"/>
          <w:tblHeader/>
          <w:jc w:val="center"/>
        </w:trPr>
        <w:tc>
          <w:tcPr>
            <w:tcW w:w="3969" w:type="dxa"/>
            <w:shd w:val="clear" w:color="auto" w:fill="D9D9D9" w:themeFill="background1" w:themeFillShade="D9"/>
          </w:tcPr>
          <w:p w14:paraId="4E7A2B52" w14:textId="28171D89" w:rsidR="00842D1A" w:rsidRPr="001C6031" w:rsidRDefault="00842D1A" w:rsidP="005F7CB2">
            <w:pPr>
              <w:spacing w:before="60" w:after="60"/>
              <w:jc w:val="center"/>
              <w:rPr>
                <w:rFonts w:ascii="Arial" w:eastAsia="Calibri" w:hAnsi="Arial" w:cs="Arial"/>
                <w:b/>
                <w:sz w:val="20"/>
                <w:szCs w:val="20"/>
              </w:rPr>
            </w:pPr>
            <w:r>
              <w:rPr>
                <w:rFonts w:ascii="Arial" w:hAnsi="Arial"/>
                <w:b/>
                <w:sz w:val="20"/>
                <w:szCs w:val="20"/>
              </w:rPr>
              <w:t>Produit (P)</w:t>
            </w:r>
            <w:r>
              <w:rPr>
                <w:rFonts w:ascii="Arial" w:hAnsi="Arial"/>
                <w:b/>
                <w:sz w:val="20"/>
                <w:szCs w:val="20"/>
              </w:rPr>
              <w:br/>
              <w:t>Indicateurs/Repères (R)</w:t>
            </w:r>
          </w:p>
        </w:tc>
        <w:tc>
          <w:tcPr>
            <w:tcW w:w="3969" w:type="dxa"/>
            <w:shd w:val="clear" w:color="auto" w:fill="D9D9D9" w:themeFill="background1" w:themeFillShade="D9"/>
          </w:tcPr>
          <w:p w14:paraId="3FDCBB23" w14:textId="3530A22F" w:rsidR="00842D1A" w:rsidRPr="001C6031" w:rsidRDefault="00842D1A" w:rsidP="005F7CB2">
            <w:pPr>
              <w:spacing w:before="60" w:after="60"/>
              <w:jc w:val="center"/>
              <w:rPr>
                <w:rFonts w:ascii="Arial" w:eastAsia="Calibri" w:hAnsi="Arial" w:cs="Arial"/>
                <w:b/>
                <w:sz w:val="20"/>
                <w:szCs w:val="20"/>
              </w:rPr>
            </w:pPr>
            <w:r>
              <w:rPr>
                <w:rFonts w:ascii="Arial" w:hAnsi="Arial"/>
                <w:b/>
                <w:sz w:val="20"/>
                <w:szCs w:val="20"/>
              </w:rPr>
              <w:t>Évaluation des progrès accomplis :</w:t>
            </w:r>
            <w:r>
              <w:rPr>
                <w:rFonts w:ascii="Arial" w:hAnsi="Arial"/>
                <w:b/>
                <w:sz w:val="20"/>
                <w:szCs w:val="20"/>
              </w:rPr>
              <w:br/>
              <w:t>du 01/01/2016 au 31/12/2017</w:t>
            </w:r>
          </w:p>
        </w:tc>
        <w:tc>
          <w:tcPr>
            <w:tcW w:w="1922" w:type="dxa"/>
            <w:shd w:val="clear" w:color="auto" w:fill="D9D9D9" w:themeFill="background1" w:themeFillShade="D9"/>
            <w:vAlign w:val="center"/>
          </w:tcPr>
          <w:p w14:paraId="2D9CA2EC" w14:textId="2D9F80BC" w:rsidR="00842D1A" w:rsidRPr="001C6031" w:rsidRDefault="00842D1A" w:rsidP="005F7CB2">
            <w:pPr>
              <w:spacing w:before="60" w:after="60"/>
              <w:jc w:val="center"/>
              <w:rPr>
                <w:rFonts w:ascii="Arial" w:eastAsia="Calibri" w:hAnsi="Arial" w:cs="Arial"/>
                <w:b/>
                <w:sz w:val="20"/>
                <w:szCs w:val="20"/>
              </w:rPr>
            </w:pPr>
            <w:r>
              <w:rPr>
                <w:rFonts w:ascii="Arial" w:hAnsi="Arial"/>
                <w:b/>
                <w:sz w:val="20"/>
                <w:szCs w:val="20"/>
              </w:rPr>
              <w:t>Évaluation de la mise en œuvre</w:t>
            </w:r>
          </w:p>
        </w:tc>
      </w:tr>
      <w:tr w:rsidR="00B973F3" w:rsidRPr="00CF409A" w14:paraId="7E7C4760" w14:textId="1DDB9ADA" w:rsidTr="007656F8">
        <w:trPr>
          <w:jc w:val="center"/>
        </w:trPr>
        <w:tc>
          <w:tcPr>
            <w:tcW w:w="3969" w:type="dxa"/>
            <w:shd w:val="clear" w:color="auto" w:fill="auto"/>
          </w:tcPr>
          <w:p w14:paraId="3D77DD38" w14:textId="1E81BCF5" w:rsidR="00B973F3" w:rsidRPr="001C6031" w:rsidRDefault="00B973F3" w:rsidP="00F16E8D">
            <w:pPr>
              <w:spacing w:before="60" w:after="60"/>
              <w:rPr>
                <w:rFonts w:ascii="Arial" w:eastAsia="Calibri" w:hAnsi="Arial" w:cs="Arial"/>
                <w:b/>
                <w:sz w:val="20"/>
                <w:szCs w:val="20"/>
              </w:rPr>
            </w:pPr>
            <w:r>
              <w:rPr>
                <w:rFonts w:ascii="Arial" w:hAnsi="Arial"/>
                <w:b/>
                <w:sz w:val="20"/>
                <w:szCs w:val="20"/>
              </w:rPr>
              <w:t>P :</w:t>
            </w:r>
          </w:p>
          <w:p w14:paraId="0E041A03" w14:textId="7D126AC7" w:rsidR="00B973F3" w:rsidRPr="001C6031" w:rsidRDefault="00B973F3" w:rsidP="00F16E8D">
            <w:pPr>
              <w:spacing w:before="60" w:after="60"/>
              <w:rPr>
                <w:rFonts w:ascii="Arial" w:eastAsia="Calibri" w:hAnsi="Arial" w:cs="Arial"/>
                <w:sz w:val="20"/>
                <w:szCs w:val="20"/>
              </w:rPr>
            </w:pPr>
            <w:r>
              <w:rPr>
                <w:rFonts w:ascii="Arial" w:hAnsi="Arial"/>
                <w:sz w:val="20"/>
                <w:szCs w:val="20"/>
              </w:rPr>
              <w:t>Réseau de facilitateurs renforcé</w:t>
            </w:r>
          </w:p>
          <w:p w14:paraId="74C91068" w14:textId="77777777" w:rsidR="00B973F3" w:rsidRPr="001C6031" w:rsidRDefault="00B973F3" w:rsidP="00F16E8D">
            <w:pPr>
              <w:spacing w:before="60" w:after="60"/>
              <w:rPr>
                <w:rFonts w:ascii="Arial" w:hAnsi="Arial" w:cs="Arial"/>
                <w:b/>
                <w:sz w:val="20"/>
                <w:szCs w:val="20"/>
              </w:rPr>
            </w:pPr>
            <w:r>
              <w:rPr>
                <w:rFonts w:ascii="Arial" w:hAnsi="Arial"/>
                <w:b/>
                <w:sz w:val="20"/>
                <w:szCs w:val="20"/>
              </w:rPr>
              <w:t>R 2016-2017 :</w:t>
            </w:r>
          </w:p>
          <w:p w14:paraId="53C9F86B" w14:textId="171F8105" w:rsidR="00B973F3" w:rsidRDefault="00B973F3" w:rsidP="00951F05">
            <w:pPr>
              <w:pStyle w:val="ListParagraph"/>
              <w:numPr>
                <w:ilvl w:val="0"/>
                <w:numId w:val="37"/>
              </w:numPr>
              <w:spacing w:before="60" w:after="60"/>
              <w:ind w:left="357" w:hanging="357"/>
              <w:rPr>
                <w:rFonts w:ascii="Arial" w:eastAsia="Calibri" w:hAnsi="Arial" w:cs="Arial"/>
                <w:sz w:val="20"/>
                <w:szCs w:val="20"/>
              </w:rPr>
            </w:pPr>
            <w:r>
              <w:rPr>
                <w:rFonts w:ascii="Arial" w:hAnsi="Arial"/>
                <w:sz w:val="20"/>
                <w:szCs w:val="20"/>
              </w:rPr>
              <w:t>4 ateliers régionaux pour former des facilitateurs et mettre à niveau leurs compétences, tributaires du soutien d</w:t>
            </w:r>
            <w:r w:rsidR="00ED6BBD">
              <w:rPr>
                <w:rFonts w:ascii="Arial" w:hAnsi="Arial"/>
                <w:sz w:val="20"/>
                <w:szCs w:val="20"/>
              </w:rPr>
              <w:t>’</w:t>
            </w:r>
            <w:r>
              <w:rPr>
                <w:rFonts w:ascii="Arial" w:hAnsi="Arial"/>
                <w:sz w:val="20"/>
                <w:szCs w:val="20"/>
              </w:rPr>
              <w:t>un pays hôte ou d</w:t>
            </w:r>
            <w:r w:rsidR="00ED6BBD">
              <w:rPr>
                <w:rFonts w:ascii="Arial" w:hAnsi="Arial"/>
                <w:sz w:val="20"/>
                <w:szCs w:val="20"/>
              </w:rPr>
              <w:t>’</w:t>
            </w:r>
            <w:r>
              <w:rPr>
                <w:rFonts w:ascii="Arial" w:hAnsi="Arial"/>
                <w:sz w:val="20"/>
                <w:szCs w:val="20"/>
              </w:rPr>
              <w:t>un partenaire</w:t>
            </w:r>
          </w:p>
          <w:p w14:paraId="788DE352" w14:textId="19FCFCC7" w:rsidR="00B973F3" w:rsidRDefault="00B973F3" w:rsidP="00B973F3">
            <w:pPr>
              <w:pStyle w:val="ListParagraph"/>
              <w:numPr>
                <w:ilvl w:val="0"/>
                <w:numId w:val="37"/>
              </w:numPr>
              <w:spacing w:before="60" w:after="60"/>
              <w:ind w:left="357" w:hanging="357"/>
              <w:contextualSpacing w:val="0"/>
              <w:rPr>
                <w:rFonts w:ascii="Arial" w:eastAsia="Calibri" w:hAnsi="Arial" w:cs="Arial"/>
                <w:sz w:val="20"/>
                <w:szCs w:val="20"/>
              </w:rPr>
            </w:pPr>
            <w:r>
              <w:rPr>
                <w:rFonts w:ascii="Arial" w:hAnsi="Arial"/>
                <w:sz w:val="20"/>
                <w:szCs w:val="20"/>
              </w:rPr>
              <w:t>Atelier mondial sur l</w:t>
            </w:r>
            <w:r w:rsidR="00ED6BBD">
              <w:rPr>
                <w:rFonts w:ascii="Arial" w:hAnsi="Arial"/>
                <w:sz w:val="20"/>
                <w:szCs w:val="20"/>
              </w:rPr>
              <w:t>’</w:t>
            </w:r>
            <w:r>
              <w:rPr>
                <w:rFonts w:ascii="Arial" w:hAnsi="Arial"/>
                <w:sz w:val="20"/>
                <w:szCs w:val="20"/>
              </w:rPr>
              <w:t>examen du programme de renforcement des capacités et initiation au soutien pour la préparation des demandes d</w:t>
            </w:r>
            <w:r w:rsidR="00ED6BBD">
              <w:rPr>
                <w:rFonts w:ascii="Arial" w:hAnsi="Arial"/>
                <w:sz w:val="20"/>
                <w:szCs w:val="20"/>
              </w:rPr>
              <w:t>’</w:t>
            </w:r>
            <w:r>
              <w:rPr>
                <w:rFonts w:ascii="Arial" w:hAnsi="Arial"/>
                <w:sz w:val="20"/>
                <w:szCs w:val="20"/>
              </w:rPr>
              <w:t>assistance internationale</w:t>
            </w:r>
          </w:p>
          <w:p w14:paraId="6C1390EC" w14:textId="414EE8B1" w:rsidR="00B973F3" w:rsidRDefault="00B973F3" w:rsidP="00951F05">
            <w:pPr>
              <w:pStyle w:val="ListParagraph"/>
              <w:numPr>
                <w:ilvl w:val="0"/>
                <w:numId w:val="37"/>
              </w:numPr>
              <w:spacing w:before="60" w:after="60"/>
              <w:ind w:left="357" w:hanging="357"/>
              <w:rPr>
                <w:rFonts w:ascii="Arial" w:eastAsia="Calibri" w:hAnsi="Arial" w:cs="Arial"/>
                <w:sz w:val="20"/>
                <w:szCs w:val="20"/>
              </w:rPr>
            </w:pPr>
            <w:r>
              <w:rPr>
                <w:rFonts w:ascii="Arial" w:hAnsi="Arial"/>
                <w:sz w:val="20"/>
                <w:szCs w:val="20"/>
              </w:rPr>
              <w:t>3 tutoriels audiovisuels réalisés sur des sujets choisis</w:t>
            </w:r>
          </w:p>
          <w:p w14:paraId="7E263D68" w14:textId="355A80FF" w:rsidR="00B973F3" w:rsidRPr="001C6031" w:rsidRDefault="00B973F3" w:rsidP="00B973F3">
            <w:pPr>
              <w:pStyle w:val="ListParagraph"/>
              <w:numPr>
                <w:ilvl w:val="0"/>
                <w:numId w:val="37"/>
              </w:numPr>
              <w:spacing w:before="60" w:after="60"/>
              <w:ind w:left="357" w:hanging="357"/>
              <w:contextualSpacing w:val="0"/>
              <w:rPr>
                <w:rFonts w:ascii="Arial" w:eastAsia="Calibri" w:hAnsi="Arial" w:cs="Arial"/>
                <w:sz w:val="20"/>
                <w:szCs w:val="20"/>
              </w:rPr>
            </w:pPr>
            <w:r>
              <w:rPr>
                <w:rFonts w:ascii="Arial" w:hAnsi="Arial"/>
                <w:sz w:val="20"/>
                <w:szCs w:val="20"/>
              </w:rPr>
              <w:t>Fonctionnalités informatiques mises à jour pour le programme de renforcement des capacités</w:t>
            </w:r>
          </w:p>
        </w:tc>
        <w:tc>
          <w:tcPr>
            <w:tcW w:w="3969" w:type="dxa"/>
            <w:shd w:val="clear" w:color="auto" w:fill="auto"/>
          </w:tcPr>
          <w:p w14:paraId="14AEDADB" w14:textId="7EA61A98" w:rsidR="00B973F3" w:rsidRPr="001C6031" w:rsidRDefault="00B973F3" w:rsidP="00B973F3">
            <w:pPr>
              <w:pStyle w:val="ListParagraph"/>
              <w:numPr>
                <w:ilvl w:val="0"/>
                <w:numId w:val="37"/>
              </w:numPr>
              <w:spacing w:before="360" w:after="60"/>
              <w:ind w:left="357" w:hanging="357"/>
              <w:contextualSpacing w:val="0"/>
              <w:rPr>
                <w:rFonts w:ascii="Arial" w:eastAsia="Calibri" w:hAnsi="Arial" w:cs="Arial"/>
                <w:sz w:val="20"/>
                <w:szCs w:val="20"/>
              </w:rPr>
            </w:pPr>
            <w:r>
              <w:rPr>
                <w:rFonts w:ascii="Arial" w:hAnsi="Arial"/>
                <w:sz w:val="20"/>
                <w:szCs w:val="20"/>
              </w:rPr>
              <w:t>Organisation pendant l</w:t>
            </w:r>
            <w:r w:rsidR="00ED6BBD">
              <w:rPr>
                <w:rFonts w:ascii="Arial" w:hAnsi="Arial"/>
                <w:sz w:val="20"/>
                <w:szCs w:val="20"/>
              </w:rPr>
              <w:t>’</w:t>
            </w:r>
            <w:r>
              <w:rPr>
                <w:rFonts w:ascii="Arial" w:hAnsi="Arial"/>
                <w:sz w:val="20"/>
                <w:szCs w:val="20"/>
              </w:rPr>
              <w:t>exercice biennal de trois ateliers destinés aux facilitateurs, afin qu</w:t>
            </w:r>
            <w:r w:rsidR="00ED6BBD">
              <w:rPr>
                <w:rFonts w:ascii="Arial" w:hAnsi="Arial"/>
                <w:sz w:val="20"/>
                <w:szCs w:val="20"/>
              </w:rPr>
              <w:t>’</w:t>
            </w:r>
            <w:r>
              <w:rPr>
                <w:rFonts w:ascii="Arial" w:hAnsi="Arial"/>
                <w:sz w:val="20"/>
                <w:szCs w:val="20"/>
              </w:rPr>
              <w:t>ils puissent partager les enseignements tirés et mettre à niveau leurs compétences sur les évolutions récentes de la Convention, avec le généreux soutien de plusieurs institutions hôtes :</w:t>
            </w:r>
          </w:p>
          <w:p w14:paraId="130EC68C" w14:textId="3037A626" w:rsidR="00B973F3" w:rsidRDefault="00B973F3">
            <w:pPr>
              <w:pStyle w:val="ListParagraph"/>
              <w:numPr>
                <w:ilvl w:val="1"/>
                <w:numId w:val="27"/>
              </w:numPr>
              <w:spacing w:before="60" w:after="60"/>
              <w:ind w:left="714" w:hanging="357"/>
              <w:contextualSpacing w:val="0"/>
              <w:rPr>
                <w:rFonts w:ascii="Arial" w:eastAsia="Calibri" w:hAnsi="Arial" w:cs="Arial"/>
                <w:sz w:val="20"/>
                <w:szCs w:val="20"/>
              </w:rPr>
            </w:pPr>
            <w:proofErr w:type="gramStart"/>
            <w:r>
              <w:rPr>
                <w:rFonts w:ascii="Arial" w:hAnsi="Arial"/>
                <w:sz w:val="20"/>
                <w:szCs w:val="20"/>
              </w:rPr>
              <w:t>le</w:t>
            </w:r>
            <w:proofErr w:type="gramEnd"/>
            <w:r>
              <w:rPr>
                <w:rFonts w:ascii="Arial" w:hAnsi="Arial"/>
                <w:sz w:val="20"/>
                <w:szCs w:val="20"/>
              </w:rPr>
              <w:t xml:space="preserve"> Centre régional pour la sauvegarde du patrimoine culturel immatériel d</w:t>
            </w:r>
            <w:r w:rsidR="00ED6BBD">
              <w:rPr>
                <w:rFonts w:ascii="Arial" w:hAnsi="Arial"/>
                <w:sz w:val="20"/>
                <w:szCs w:val="20"/>
              </w:rPr>
              <w:t>’</w:t>
            </w:r>
            <w:r>
              <w:rPr>
                <w:rFonts w:ascii="Arial" w:hAnsi="Arial"/>
                <w:sz w:val="20"/>
                <w:szCs w:val="20"/>
              </w:rPr>
              <w:t>Amérique latine (CRESPIAL) pour un atelier sur l</w:t>
            </w:r>
            <w:r w:rsidR="00ED6BBD">
              <w:rPr>
                <w:rFonts w:ascii="Arial" w:hAnsi="Arial"/>
                <w:sz w:val="20"/>
                <w:szCs w:val="20"/>
              </w:rPr>
              <w:t>’</w:t>
            </w:r>
            <w:r>
              <w:rPr>
                <w:rFonts w:ascii="Arial" w:hAnsi="Arial"/>
                <w:sz w:val="20"/>
                <w:szCs w:val="20"/>
              </w:rPr>
              <w:t>élaboration de politiques à l</w:t>
            </w:r>
            <w:r w:rsidR="00ED6BBD">
              <w:rPr>
                <w:rFonts w:ascii="Arial" w:hAnsi="Arial"/>
                <w:sz w:val="20"/>
                <w:szCs w:val="20"/>
              </w:rPr>
              <w:t>’</w:t>
            </w:r>
            <w:r>
              <w:rPr>
                <w:rFonts w:ascii="Arial" w:hAnsi="Arial"/>
                <w:sz w:val="20"/>
                <w:szCs w:val="20"/>
              </w:rPr>
              <w:t>intention des facilitateurs d</w:t>
            </w:r>
            <w:r w:rsidR="00ED6BBD">
              <w:rPr>
                <w:rFonts w:ascii="Arial" w:hAnsi="Arial"/>
                <w:sz w:val="20"/>
                <w:szCs w:val="20"/>
              </w:rPr>
              <w:t>’</w:t>
            </w:r>
            <w:r>
              <w:rPr>
                <w:rFonts w:ascii="Arial" w:hAnsi="Arial"/>
                <w:sz w:val="20"/>
                <w:szCs w:val="20"/>
              </w:rPr>
              <w:t>Amérique latine et des Caraïbes (Lima, octobre 2016)</w:t>
            </w:r>
          </w:p>
          <w:p w14:paraId="38E3AB2C" w14:textId="7C4AA60B" w:rsidR="00B973F3" w:rsidRPr="00C410E4" w:rsidRDefault="00B973F3">
            <w:pPr>
              <w:pStyle w:val="ListParagraph"/>
              <w:numPr>
                <w:ilvl w:val="1"/>
                <w:numId w:val="27"/>
              </w:numPr>
              <w:spacing w:before="60" w:after="60"/>
              <w:ind w:left="714" w:hanging="357"/>
              <w:contextualSpacing w:val="0"/>
              <w:rPr>
                <w:rFonts w:ascii="Arial" w:eastAsia="Calibri" w:hAnsi="Arial" w:cs="Arial"/>
                <w:sz w:val="20"/>
                <w:szCs w:val="20"/>
              </w:rPr>
            </w:pPr>
            <w:proofErr w:type="gramStart"/>
            <w:r>
              <w:rPr>
                <w:rFonts w:ascii="Arial" w:hAnsi="Arial"/>
                <w:sz w:val="20"/>
                <w:szCs w:val="20"/>
              </w:rPr>
              <w:lastRenderedPageBreak/>
              <w:t>la</w:t>
            </w:r>
            <w:proofErr w:type="gramEnd"/>
            <w:r>
              <w:rPr>
                <w:rFonts w:ascii="Arial" w:hAnsi="Arial"/>
                <w:sz w:val="20"/>
                <w:szCs w:val="20"/>
              </w:rPr>
              <w:t xml:space="preserve"> Commission nationale de la République kirghize pour l</w:t>
            </w:r>
            <w:r w:rsidR="00ED6BBD">
              <w:rPr>
                <w:rFonts w:ascii="Arial" w:hAnsi="Arial"/>
                <w:sz w:val="20"/>
                <w:szCs w:val="20"/>
              </w:rPr>
              <w:t>’</w:t>
            </w:r>
            <w:r>
              <w:rPr>
                <w:rFonts w:ascii="Arial" w:hAnsi="Arial"/>
                <w:sz w:val="20"/>
                <w:szCs w:val="20"/>
              </w:rPr>
              <w:t xml:space="preserve">UNESCO, avec le soutien du Centre international de formation sur le patrimoine culturel immatériel dans la région Asie-Pacifique (CRIHAP) pour un réseau </w:t>
            </w:r>
            <w:proofErr w:type="spellStart"/>
            <w:r>
              <w:rPr>
                <w:rFonts w:ascii="Arial" w:hAnsi="Arial"/>
                <w:sz w:val="20"/>
                <w:szCs w:val="20"/>
              </w:rPr>
              <w:t>sous-régional</w:t>
            </w:r>
            <w:proofErr w:type="spellEnd"/>
            <w:r>
              <w:rPr>
                <w:rFonts w:ascii="Arial" w:hAnsi="Arial"/>
                <w:sz w:val="20"/>
                <w:szCs w:val="20"/>
              </w:rPr>
              <w:t xml:space="preserve"> des facilitateurs d</w:t>
            </w:r>
            <w:r w:rsidR="00ED6BBD">
              <w:rPr>
                <w:rFonts w:ascii="Arial" w:hAnsi="Arial"/>
                <w:sz w:val="20"/>
                <w:szCs w:val="20"/>
              </w:rPr>
              <w:t>’</w:t>
            </w:r>
            <w:r>
              <w:rPr>
                <w:rFonts w:ascii="Arial" w:hAnsi="Arial"/>
                <w:sz w:val="20"/>
                <w:szCs w:val="20"/>
              </w:rPr>
              <w:t>Asie centrale (</w:t>
            </w:r>
            <w:proofErr w:type="spellStart"/>
            <w:r>
              <w:rPr>
                <w:rFonts w:ascii="Arial" w:hAnsi="Arial"/>
                <w:sz w:val="20"/>
                <w:szCs w:val="20"/>
              </w:rPr>
              <w:t>Bishkek</w:t>
            </w:r>
            <w:proofErr w:type="spellEnd"/>
            <w:r>
              <w:rPr>
                <w:rFonts w:ascii="Arial" w:hAnsi="Arial"/>
                <w:sz w:val="20"/>
                <w:szCs w:val="20"/>
              </w:rPr>
              <w:t>, juin 2017)</w:t>
            </w:r>
          </w:p>
          <w:p w14:paraId="112A8750" w14:textId="56D0E104" w:rsidR="00B973F3" w:rsidRPr="001C6031" w:rsidRDefault="00B973F3">
            <w:pPr>
              <w:pStyle w:val="ListParagraph"/>
              <w:numPr>
                <w:ilvl w:val="1"/>
                <w:numId w:val="27"/>
              </w:numPr>
              <w:spacing w:before="60" w:after="60"/>
              <w:ind w:left="714" w:hanging="357"/>
              <w:contextualSpacing w:val="0"/>
              <w:rPr>
                <w:rFonts w:ascii="Arial" w:eastAsia="Calibri" w:hAnsi="Arial" w:cs="Arial"/>
                <w:sz w:val="20"/>
                <w:szCs w:val="20"/>
              </w:rPr>
            </w:pPr>
            <w:proofErr w:type="gramStart"/>
            <w:r>
              <w:rPr>
                <w:rFonts w:ascii="Arial" w:hAnsi="Arial"/>
                <w:sz w:val="20"/>
                <w:szCs w:val="20"/>
              </w:rPr>
              <w:t>le</w:t>
            </w:r>
            <w:proofErr w:type="gramEnd"/>
            <w:r>
              <w:rPr>
                <w:rFonts w:ascii="Arial" w:hAnsi="Arial"/>
                <w:sz w:val="20"/>
                <w:szCs w:val="20"/>
              </w:rPr>
              <w:t xml:space="preserve"> Centre régional pour la sauvegarde du patrimoine culturel immatériel en Europe du Sud-Est, basé à Sofia (Bulgarie), pour un atelier sur les plans de sauvegarde à l</w:t>
            </w:r>
            <w:r w:rsidR="00ED6BBD">
              <w:rPr>
                <w:rFonts w:ascii="Arial" w:hAnsi="Arial"/>
                <w:sz w:val="20"/>
                <w:szCs w:val="20"/>
              </w:rPr>
              <w:t>’</w:t>
            </w:r>
            <w:r>
              <w:rPr>
                <w:rFonts w:ascii="Arial" w:hAnsi="Arial"/>
                <w:sz w:val="20"/>
                <w:szCs w:val="20"/>
              </w:rPr>
              <w:t>intention de la branche européenne du réseau (Sofia, septembre 2017)</w:t>
            </w:r>
          </w:p>
          <w:p w14:paraId="2795B0C0" w14:textId="2ED3EBC7" w:rsidR="00B973F3" w:rsidRDefault="00B973F3" w:rsidP="00B973F3">
            <w:pPr>
              <w:pStyle w:val="ListParagraph"/>
              <w:numPr>
                <w:ilvl w:val="0"/>
                <w:numId w:val="37"/>
              </w:numPr>
              <w:spacing w:before="60" w:after="60"/>
              <w:ind w:left="360"/>
              <w:contextualSpacing w:val="0"/>
              <w:rPr>
                <w:rFonts w:ascii="Arial" w:eastAsia="Calibri" w:hAnsi="Arial" w:cs="Arial"/>
                <w:sz w:val="20"/>
                <w:szCs w:val="20"/>
              </w:rPr>
            </w:pPr>
            <w:r>
              <w:rPr>
                <w:rFonts w:ascii="Arial" w:hAnsi="Arial"/>
                <w:sz w:val="20"/>
                <w:szCs w:val="20"/>
              </w:rPr>
              <w:t>Organisation d</w:t>
            </w:r>
            <w:r w:rsidR="00ED6BBD">
              <w:rPr>
                <w:rFonts w:ascii="Arial" w:hAnsi="Arial"/>
                <w:sz w:val="20"/>
                <w:szCs w:val="20"/>
              </w:rPr>
              <w:t>’</w:t>
            </w:r>
            <w:r>
              <w:rPr>
                <w:rFonts w:ascii="Arial" w:hAnsi="Arial"/>
                <w:sz w:val="20"/>
                <w:szCs w:val="20"/>
              </w:rPr>
              <w:t>une réunion mondiale intitulée « Envisager l</w:t>
            </w:r>
            <w:r w:rsidR="00ED6BBD">
              <w:rPr>
                <w:rFonts w:ascii="Arial" w:hAnsi="Arial"/>
                <w:sz w:val="20"/>
                <w:szCs w:val="20"/>
              </w:rPr>
              <w:t>’</w:t>
            </w:r>
            <w:r>
              <w:rPr>
                <w:rFonts w:ascii="Arial" w:hAnsi="Arial"/>
                <w:sz w:val="20"/>
                <w:szCs w:val="20"/>
              </w:rPr>
              <w:t>avenir du programme global de renforcement des capacités et de son réseau de facilitateurs - Réunion stratégique avec les facilitateurs », qui a donné lieu à de nouvelles orientations stratégiques</w:t>
            </w:r>
          </w:p>
          <w:p w14:paraId="34AA816E" w14:textId="77777777" w:rsidR="00B973F3" w:rsidRDefault="00B973F3" w:rsidP="00B973F3">
            <w:pPr>
              <w:pStyle w:val="ListParagraph"/>
              <w:numPr>
                <w:ilvl w:val="0"/>
                <w:numId w:val="37"/>
              </w:numPr>
              <w:spacing w:before="60" w:after="60"/>
              <w:ind w:left="360"/>
              <w:contextualSpacing w:val="0"/>
              <w:rPr>
                <w:rFonts w:ascii="Arial" w:eastAsia="Calibri" w:hAnsi="Arial" w:cs="Arial"/>
                <w:sz w:val="20"/>
                <w:szCs w:val="20"/>
              </w:rPr>
            </w:pPr>
            <w:r>
              <w:rPr>
                <w:rFonts w:ascii="Arial" w:hAnsi="Arial"/>
                <w:sz w:val="20"/>
                <w:szCs w:val="20"/>
              </w:rPr>
              <w:t>Réalisation de 3 didacticiels vidéo :</w:t>
            </w:r>
          </w:p>
          <w:p w14:paraId="0C341DF9" w14:textId="77777777" w:rsidR="00B973F3" w:rsidRDefault="00B973F3">
            <w:pPr>
              <w:pStyle w:val="ListParagraph"/>
              <w:numPr>
                <w:ilvl w:val="1"/>
                <w:numId w:val="27"/>
              </w:numPr>
              <w:spacing w:before="60" w:after="60"/>
              <w:ind w:left="714" w:hanging="357"/>
              <w:contextualSpacing w:val="0"/>
              <w:rPr>
                <w:rFonts w:ascii="Arial" w:eastAsia="Calibri" w:hAnsi="Arial" w:cs="Arial"/>
                <w:sz w:val="20"/>
                <w:szCs w:val="20"/>
              </w:rPr>
            </w:pPr>
            <w:r>
              <w:rPr>
                <w:rFonts w:ascii="Arial" w:hAnsi="Arial"/>
                <w:sz w:val="20"/>
                <w:szCs w:val="20"/>
              </w:rPr>
              <w:t>Préparer des plans de sauvegarde</w:t>
            </w:r>
          </w:p>
          <w:p w14:paraId="466E9819" w14:textId="13090E95" w:rsidR="00B973F3" w:rsidRDefault="00B973F3">
            <w:pPr>
              <w:pStyle w:val="ListParagraph"/>
              <w:numPr>
                <w:ilvl w:val="1"/>
                <w:numId w:val="27"/>
              </w:numPr>
              <w:spacing w:before="60" w:after="60"/>
              <w:ind w:left="714" w:hanging="357"/>
              <w:contextualSpacing w:val="0"/>
              <w:rPr>
                <w:rFonts w:ascii="Arial" w:eastAsia="Calibri" w:hAnsi="Arial" w:cs="Arial"/>
                <w:sz w:val="20"/>
                <w:szCs w:val="20"/>
              </w:rPr>
            </w:pPr>
            <w:r>
              <w:rPr>
                <w:rFonts w:ascii="Arial" w:hAnsi="Arial"/>
                <w:sz w:val="20"/>
                <w:szCs w:val="20"/>
              </w:rPr>
              <w:t>Soutenir l</w:t>
            </w:r>
            <w:r w:rsidR="00ED6BBD">
              <w:rPr>
                <w:rFonts w:ascii="Arial" w:hAnsi="Arial"/>
                <w:sz w:val="20"/>
                <w:szCs w:val="20"/>
              </w:rPr>
              <w:t>’</w:t>
            </w:r>
            <w:r>
              <w:rPr>
                <w:rFonts w:ascii="Arial" w:hAnsi="Arial"/>
                <w:sz w:val="20"/>
                <w:szCs w:val="20"/>
              </w:rPr>
              <w:t>élaboration des politiques</w:t>
            </w:r>
          </w:p>
          <w:p w14:paraId="1BCDCB3B" w14:textId="77777777" w:rsidR="00B973F3" w:rsidRDefault="00B973F3">
            <w:pPr>
              <w:pStyle w:val="ListParagraph"/>
              <w:numPr>
                <w:ilvl w:val="1"/>
                <w:numId w:val="27"/>
              </w:numPr>
              <w:spacing w:before="60" w:after="60"/>
              <w:ind w:left="714" w:hanging="357"/>
              <w:contextualSpacing w:val="0"/>
              <w:rPr>
                <w:rFonts w:ascii="Arial" w:eastAsia="Calibri" w:hAnsi="Arial" w:cs="Arial"/>
                <w:sz w:val="20"/>
                <w:szCs w:val="20"/>
              </w:rPr>
            </w:pPr>
            <w:r>
              <w:rPr>
                <w:rFonts w:ascii="Arial" w:hAnsi="Arial"/>
                <w:sz w:val="20"/>
                <w:szCs w:val="20"/>
              </w:rPr>
              <w:t>Le patrimoine culturel immatériel et le genre</w:t>
            </w:r>
          </w:p>
          <w:p w14:paraId="72C84434" w14:textId="3E2B6B8A" w:rsidR="00B973F3" w:rsidRPr="001C6031" w:rsidRDefault="00B973F3" w:rsidP="00951F05">
            <w:pPr>
              <w:pStyle w:val="ListParagraph"/>
              <w:numPr>
                <w:ilvl w:val="0"/>
                <w:numId w:val="37"/>
              </w:numPr>
              <w:spacing w:before="60" w:after="60"/>
              <w:ind w:left="360"/>
              <w:contextualSpacing w:val="0"/>
              <w:rPr>
                <w:rFonts w:ascii="Arial" w:eastAsia="Calibri" w:hAnsi="Arial" w:cs="Arial"/>
                <w:sz w:val="20"/>
                <w:szCs w:val="20"/>
              </w:rPr>
            </w:pPr>
            <w:r>
              <w:rPr>
                <w:rFonts w:ascii="Arial" w:hAnsi="Arial"/>
                <w:sz w:val="20"/>
                <w:szCs w:val="20"/>
              </w:rPr>
              <w:t>Intégration à l</w:t>
            </w:r>
            <w:r w:rsidR="00ED6BBD">
              <w:rPr>
                <w:rFonts w:ascii="Arial" w:hAnsi="Arial"/>
                <w:sz w:val="20"/>
                <w:szCs w:val="20"/>
              </w:rPr>
              <w:t>’</w:t>
            </w:r>
            <w:r>
              <w:rPr>
                <w:rFonts w:ascii="Arial" w:hAnsi="Arial"/>
                <w:sz w:val="20"/>
                <w:szCs w:val="20"/>
              </w:rPr>
              <w:t>interface de préparation des ateliers d</w:t>
            </w:r>
            <w:r w:rsidR="00ED6BBD">
              <w:rPr>
                <w:rFonts w:ascii="Arial" w:hAnsi="Arial"/>
                <w:sz w:val="20"/>
                <w:szCs w:val="20"/>
              </w:rPr>
              <w:t>’</w:t>
            </w:r>
            <w:r>
              <w:rPr>
                <w:rFonts w:ascii="Arial" w:hAnsi="Arial"/>
                <w:sz w:val="20"/>
                <w:szCs w:val="20"/>
              </w:rPr>
              <w:t>un outil permettant aux facilitateurs de préparer des rapports.</w:t>
            </w:r>
          </w:p>
        </w:tc>
        <w:tc>
          <w:tcPr>
            <w:tcW w:w="1922" w:type="dxa"/>
            <w:shd w:val="clear" w:color="auto" w:fill="auto"/>
          </w:tcPr>
          <w:p w14:paraId="0CD06B46" w14:textId="15590EB7" w:rsidR="00B973F3" w:rsidRPr="00CF409A" w:rsidRDefault="00B973F3" w:rsidP="00B973F3">
            <w:pPr>
              <w:spacing w:before="360" w:after="60"/>
              <w:jc w:val="center"/>
            </w:pPr>
            <w:r>
              <w:rPr>
                <w:rFonts w:ascii="Arial" w:hAnsi="Arial"/>
                <w:sz w:val="20"/>
                <w:szCs w:val="20"/>
              </w:rPr>
              <w:lastRenderedPageBreak/>
              <w:t>Partiellement accomplie</w:t>
            </w:r>
          </w:p>
        </w:tc>
      </w:tr>
      <w:tr w:rsidR="00F16E8D" w:rsidRPr="002F3744" w14:paraId="4FD5306A" w14:textId="07ED7FD9" w:rsidTr="007656F8">
        <w:trPr>
          <w:jc w:val="center"/>
        </w:trPr>
        <w:tc>
          <w:tcPr>
            <w:tcW w:w="3969" w:type="dxa"/>
            <w:shd w:val="clear" w:color="auto" w:fill="auto"/>
          </w:tcPr>
          <w:p w14:paraId="00CB1FC5" w14:textId="77777777" w:rsidR="00F16E8D" w:rsidRPr="001C6031" w:rsidRDefault="00F16E8D">
            <w:pPr>
              <w:spacing w:before="60" w:after="60"/>
              <w:rPr>
                <w:rFonts w:ascii="Arial" w:eastAsia="Calibri" w:hAnsi="Arial" w:cs="Arial"/>
                <w:b/>
                <w:sz w:val="20"/>
                <w:szCs w:val="20"/>
              </w:rPr>
            </w:pPr>
            <w:r>
              <w:rPr>
                <w:rFonts w:ascii="Arial" w:hAnsi="Arial"/>
                <w:b/>
                <w:sz w:val="20"/>
                <w:szCs w:val="20"/>
              </w:rPr>
              <w:t>P :</w:t>
            </w:r>
          </w:p>
          <w:p w14:paraId="3B4BD70C" w14:textId="77777777" w:rsidR="00F16E8D" w:rsidRPr="00414596" w:rsidRDefault="00F16E8D">
            <w:pPr>
              <w:spacing w:before="60" w:after="60"/>
              <w:rPr>
                <w:rFonts w:ascii="Arial" w:eastAsia="Calibri" w:hAnsi="Arial" w:cs="Arial"/>
                <w:sz w:val="20"/>
                <w:szCs w:val="20"/>
              </w:rPr>
            </w:pPr>
            <w:r>
              <w:rPr>
                <w:rFonts w:ascii="Arial" w:hAnsi="Arial"/>
                <w:sz w:val="20"/>
                <w:szCs w:val="20"/>
              </w:rPr>
              <w:t xml:space="preserve">Contenu et format du programme de renforcement de capacités revus et adaptés pour répondre aux principaux défis de mise en œuvre </w:t>
            </w:r>
          </w:p>
          <w:p w14:paraId="7F28BE99" w14:textId="77777777" w:rsidR="00F16E8D" w:rsidRPr="001C6031" w:rsidRDefault="00F16E8D">
            <w:pPr>
              <w:spacing w:before="60" w:after="60"/>
              <w:rPr>
                <w:rFonts w:ascii="Arial" w:hAnsi="Arial" w:cs="Arial"/>
                <w:b/>
                <w:sz w:val="20"/>
                <w:szCs w:val="20"/>
              </w:rPr>
            </w:pPr>
            <w:r>
              <w:rPr>
                <w:rFonts w:ascii="Arial" w:hAnsi="Arial"/>
                <w:b/>
                <w:sz w:val="20"/>
                <w:szCs w:val="20"/>
              </w:rPr>
              <w:t>R 2016-2017 :</w:t>
            </w:r>
          </w:p>
          <w:p w14:paraId="295BEDDD" w14:textId="57A157E3" w:rsidR="00F16E8D" w:rsidRPr="00414596" w:rsidRDefault="00F16E8D" w:rsidP="00B973F3">
            <w:pPr>
              <w:pStyle w:val="ListParagraph"/>
              <w:numPr>
                <w:ilvl w:val="0"/>
                <w:numId w:val="37"/>
              </w:numPr>
              <w:spacing w:before="60" w:after="60"/>
              <w:ind w:left="360"/>
              <w:contextualSpacing w:val="0"/>
              <w:rPr>
                <w:rFonts w:ascii="Arial" w:eastAsia="Calibri" w:hAnsi="Arial" w:cs="Arial"/>
                <w:sz w:val="20"/>
                <w:szCs w:val="20"/>
              </w:rPr>
            </w:pPr>
            <w:r>
              <w:rPr>
                <w:rFonts w:ascii="Arial" w:hAnsi="Arial"/>
                <w:sz w:val="20"/>
                <w:szCs w:val="20"/>
              </w:rPr>
              <w:t>20 principaux matériels de formation mis à jour dans 3 langues pour refléter les décisions des réunions statutaires</w:t>
            </w:r>
          </w:p>
          <w:p w14:paraId="46C0F972" w14:textId="22C96C98" w:rsidR="00F16E8D" w:rsidRPr="00414596" w:rsidRDefault="00A2529F" w:rsidP="00B973F3">
            <w:pPr>
              <w:pStyle w:val="ListParagraph"/>
              <w:numPr>
                <w:ilvl w:val="0"/>
                <w:numId w:val="37"/>
              </w:numPr>
              <w:spacing w:before="60" w:after="60"/>
              <w:ind w:left="360"/>
              <w:contextualSpacing w:val="0"/>
              <w:rPr>
                <w:rFonts w:ascii="Arial" w:eastAsia="Calibri" w:hAnsi="Arial" w:cs="Arial"/>
                <w:sz w:val="20"/>
                <w:szCs w:val="20"/>
              </w:rPr>
            </w:pPr>
            <w:r>
              <w:rPr>
                <w:rFonts w:ascii="Arial" w:hAnsi="Arial"/>
                <w:sz w:val="20"/>
                <w:szCs w:val="20"/>
              </w:rPr>
              <w:t>Programme de formation de base sur la préparation des demandes d</w:t>
            </w:r>
            <w:r w:rsidR="00ED6BBD">
              <w:rPr>
                <w:rFonts w:ascii="Arial" w:hAnsi="Arial"/>
                <w:sz w:val="20"/>
                <w:szCs w:val="20"/>
              </w:rPr>
              <w:t>’</w:t>
            </w:r>
            <w:r>
              <w:rPr>
                <w:rFonts w:ascii="Arial" w:hAnsi="Arial"/>
                <w:sz w:val="20"/>
                <w:szCs w:val="20"/>
              </w:rPr>
              <w:t>assistance internationale disponible en 2 langues</w:t>
            </w:r>
          </w:p>
          <w:p w14:paraId="742E7329" w14:textId="2457C66E" w:rsidR="00F16E8D" w:rsidRPr="00414596" w:rsidRDefault="00F16E8D" w:rsidP="00B973F3">
            <w:pPr>
              <w:pStyle w:val="ListParagraph"/>
              <w:numPr>
                <w:ilvl w:val="0"/>
                <w:numId w:val="37"/>
              </w:numPr>
              <w:spacing w:before="60" w:after="60"/>
              <w:ind w:left="360"/>
              <w:contextualSpacing w:val="0"/>
              <w:rPr>
                <w:rFonts w:ascii="Arial" w:eastAsia="Calibri" w:hAnsi="Arial" w:cs="Arial"/>
                <w:sz w:val="20"/>
                <w:szCs w:val="20"/>
              </w:rPr>
            </w:pPr>
            <w:r>
              <w:rPr>
                <w:rFonts w:ascii="Arial" w:hAnsi="Arial"/>
                <w:sz w:val="20"/>
                <w:szCs w:val="20"/>
              </w:rPr>
              <w:t xml:space="preserve">7 nouvelles unités de formation mises au point en une langue : une unité basée sur les nouvelles Directives opérationnelles </w:t>
            </w:r>
            <w:r>
              <w:rPr>
                <w:rFonts w:ascii="Arial" w:hAnsi="Arial"/>
                <w:sz w:val="20"/>
                <w:szCs w:val="20"/>
              </w:rPr>
              <w:lastRenderedPageBreak/>
              <w:t>consacrées au patrimoine culturel immatériel et au développement durable, et 6 études de cas sur les processus d</w:t>
            </w:r>
            <w:r w:rsidR="00ED6BBD">
              <w:rPr>
                <w:rFonts w:ascii="Arial" w:hAnsi="Arial"/>
                <w:sz w:val="20"/>
                <w:szCs w:val="20"/>
              </w:rPr>
              <w:t>’</w:t>
            </w:r>
            <w:r>
              <w:rPr>
                <w:rFonts w:ascii="Arial" w:hAnsi="Arial"/>
                <w:sz w:val="20"/>
                <w:szCs w:val="20"/>
              </w:rPr>
              <w:t>élaboration des politiques, la sauvegarde du patrimoine culturel immatériel en milieu urbain et les questions de genre</w:t>
            </w:r>
          </w:p>
          <w:p w14:paraId="3504E98D" w14:textId="33EEA7A9" w:rsidR="00F16E8D" w:rsidRPr="00414596" w:rsidRDefault="00B062AD" w:rsidP="00B973F3">
            <w:pPr>
              <w:pStyle w:val="ListParagraph"/>
              <w:numPr>
                <w:ilvl w:val="0"/>
                <w:numId w:val="37"/>
              </w:numPr>
              <w:spacing w:before="60" w:after="60"/>
              <w:ind w:left="360"/>
              <w:contextualSpacing w:val="0"/>
              <w:rPr>
                <w:rFonts w:ascii="Arial" w:eastAsia="Calibri" w:hAnsi="Arial" w:cs="Arial"/>
                <w:sz w:val="20"/>
                <w:szCs w:val="20"/>
              </w:rPr>
            </w:pPr>
            <w:r>
              <w:rPr>
                <w:rFonts w:ascii="Arial" w:hAnsi="Arial"/>
                <w:sz w:val="20"/>
                <w:szCs w:val="20"/>
              </w:rPr>
              <w:t>Réalisation d</w:t>
            </w:r>
            <w:r w:rsidR="00ED6BBD">
              <w:rPr>
                <w:rFonts w:ascii="Arial" w:hAnsi="Arial"/>
                <w:sz w:val="20"/>
                <w:szCs w:val="20"/>
              </w:rPr>
              <w:t>’</w:t>
            </w:r>
            <w:r>
              <w:rPr>
                <w:rFonts w:ascii="Arial" w:hAnsi="Arial"/>
                <w:sz w:val="20"/>
                <w:szCs w:val="20"/>
              </w:rPr>
              <w:t>une étude de faisabilité concernant l</w:t>
            </w:r>
            <w:r w:rsidR="00ED6BBD">
              <w:rPr>
                <w:rFonts w:ascii="Arial" w:hAnsi="Arial"/>
                <w:sz w:val="20"/>
                <w:szCs w:val="20"/>
              </w:rPr>
              <w:t>’</w:t>
            </w:r>
            <w:r>
              <w:rPr>
                <w:rFonts w:ascii="Arial" w:hAnsi="Arial"/>
                <w:sz w:val="20"/>
                <w:szCs w:val="20"/>
              </w:rPr>
              <w:t>emploi de technologies pédagogiques pour l</w:t>
            </w:r>
            <w:r w:rsidR="00ED6BBD">
              <w:rPr>
                <w:rFonts w:ascii="Arial" w:hAnsi="Arial"/>
                <w:sz w:val="20"/>
                <w:szCs w:val="20"/>
              </w:rPr>
              <w:t>’</w:t>
            </w:r>
            <w:r>
              <w:rPr>
                <w:rFonts w:ascii="Arial" w:hAnsi="Arial"/>
                <w:sz w:val="20"/>
                <w:szCs w:val="20"/>
              </w:rPr>
              <w:t>apprentissage en ligne</w:t>
            </w:r>
          </w:p>
          <w:p w14:paraId="0AB0F6C4" w14:textId="515F00FB" w:rsidR="00F16E8D" w:rsidRPr="001C6031" w:rsidRDefault="00F16E8D" w:rsidP="00B973F3">
            <w:pPr>
              <w:pStyle w:val="ListParagraph"/>
              <w:numPr>
                <w:ilvl w:val="0"/>
                <w:numId w:val="37"/>
              </w:numPr>
              <w:spacing w:before="60" w:after="60"/>
              <w:ind w:left="360"/>
              <w:contextualSpacing w:val="0"/>
              <w:rPr>
                <w:rFonts w:ascii="Arial" w:eastAsia="Calibri" w:hAnsi="Arial" w:cs="Arial"/>
                <w:sz w:val="20"/>
                <w:szCs w:val="20"/>
              </w:rPr>
            </w:pPr>
            <w:r>
              <w:rPr>
                <w:rFonts w:ascii="Arial" w:hAnsi="Arial"/>
                <w:sz w:val="20"/>
                <w:szCs w:val="20"/>
              </w:rPr>
              <w:t>Fonctionnalités informatiques mises à jour pour le programme de renforcement des capacités</w:t>
            </w:r>
          </w:p>
        </w:tc>
        <w:tc>
          <w:tcPr>
            <w:tcW w:w="3969" w:type="dxa"/>
            <w:shd w:val="clear" w:color="auto" w:fill="auto"/>
          </w:tcPr>
          <w:p w14:paraId="5D41EEC9" w14:textId="2F99B226" w:rsidR="002B2767" w:rsidRDefault="002A21B7" w:rsidP="00B973F3">
            <w:pPr>
              <w:pStyle w:val="ListParagraph"/>
              <w:numPr>
                <w:ilvl w:val="0"/>
                <w:numId w:val="37"/>
              </w:numPr>
              <w:spacing w:before="360" w:after="60"/>
              <w:ind w:left="357" w:hanging="357"/>
              <w:contextualSpacing w:val="0"/>
              <w:rPr>
                <w:rFonts w:ascii="Arial" w:eastAsia="Calibri" w:hAnsi="Arial" w:cs="Arial"/>
                <w:sz w:val="20"/>
                <w:szCs w:val="20"/>
              </w:rPr>
            </w:pPr>
            <w:r>
              <w:rPr>
                <w:rFonts w:ascii="Arial" w:hAnsi="Arial"/>
                <w:sz w:val="20"/>
                <w:szCs w:val="20"/>
              </w:rPr>
              <w:lastRenderedPageBreak/>
              <w:t>Principaux matériels de formation (unités 1 à 15) mis à jour dans 3 langues et prise en compte des questions de genre et d</w:t>
            </w:r>
            <w:r w:rsidR="00ED6BBD">
              <w:rPr>
                <w:rFonts w:ascii="Arial" w:hAnsi="Arial"/>
                <w:sz w:val="20"/>
                <w:szCs w:val="20"/>
              </w:rPr>
              <w:t>’</w:t>
            </w:r>
            <w:r>
              <w:rPr>
                <w:rFonts w:ascii="Arial" w:hAnsi="Arial"/>
                <w:sz w:val="20"/>
                <w:szCs w:val="20"/>
              </w:rPr>
              <w:t>éthique conformément aux décisions des réunions statutaires</w:t>
            </w:r>
          </w:p>
          <w:p w14:paraId="647A0E0F" w14:textId="545EF1DC" w:rsidR="002B2767" w:rsidRPr="00414596" w:rsidRDefault="002B2767" w:rsidP="00B973F3">
            <w:pPr>
              <w:pStyle w:val="ListParagraph"/>
              <w:numPr>
                <w:ilvl w:val="0"/>
                <w:numId w:val="37"/>
              </w:numPr>
              <w:spacing w:before="60" w:after="60"/>
              <w:ind w:left="357" w:hanging="357"/>
              <w:contextualSpacing w:val="0"/>
              <w:rPr>
                <w:rFonts w:ascii="Arial" w:eastAsia="Calibri" w:hAnsi="Arial" w:cs="Arial"/>
                <w:sz w:val="20"/>
                <w:szCs w:val="20"/>
              </w:rPr>
            </w:pPr>
            <w:r>
              <w:rPr>
                <w:rFonts w:ascii="Arial" w:hAnsi="Arial"/>
                <w:sz w:val="20"/>
                <w:szCs w:val="20"/>
              </w:rPr>
              <w:t>Élaboration des supports pédagogiques d</w:t>
            </w:r>
            <w:r w:rsidR="00ED6BBD">
              <w:rPr>
                <w:rFonts w:ascii="Arial" w:hAnsi="Arial"/>
                <w:sz w:val="20"/>
                <w:szCs w:val="20"/>
              </w:rPr>
              <w:t>’</w:t>
            </w:r>
            <w:r>
              <w:rPr>
                <w:rFonts w:ascii="Arial" w:hAnsi="Arial"/>
                <w:sz w:val="20"/>
                <w:szCs w:val="20"/>
              </w:rPr>
              <w:t>un atelier de formation sur la préparation des demandes d</w:t>
            </w:r>
            <w:r w:rsidR="00ED6BBD">
              <w:rPr>
                <w:rFonts w:ascii="Arial" w:hAnsi="Arial"/>
                <w:sz w:val="20"/>
                <w:szCs w:val="20"/>
              </w:rPr>
              <w:t>’</w:t>
            </w:r>
            <w:r>
              <w:rPr>
                <w:rFonts w:ascii="Arial" w:hAnsi="Arial"/>
                <w:sz w:val="20"/>
                <w:szCs w:val="20"/>
              </w:rPr>
              <w:t>assistance internationale, disponibles en 2 langues</w:t>
            </w:r>
          </w:p>
          <w:p w14:paraId="6061DE1A" w14:textId="17F05D96" w:rsidR="00A53C15" w:rsidRDefault="00F3010F" w:rsidP="00B973F3">
            <w:pPr>
              <w:pStyle w:val="ListParagraph"/>
              <w:numPr>
                <w:ilvl w:val="0"/>
                <w:numId w:val="37"/>
              </w:numPr>
              <w:spacing w:before="60" w:after="60"/>
              <w:ind w:left="357" w:hanging="357"/>
              <w:contextualSpacing w:val="0"/>
              <w:rPr>
                <w:rFonts w:ascii="Arial" w:eastAsia="Calibri" w:hAnsi="Arial" w:cs="Arial"/>
                <w:sz w:val="20"/>
                <w:szCs w:val="20"/>
              </w:rPr>
            </w:pPr>
            <w:r>
              <w:rPr>
                <w:rFonts w:ascii="Arial" w:hAnsi="Arial"/>
                <w:sz w:val="20"/>
                <w:szCs w:val="20"/>
              </w:rPr>
              <w:t>Création de nouvelles unités de formation (plus de 7) :</w:t>
            </w:r>
          </w:p>
          <w:p w14:paraId="1B8D82C3" w14:textId="6CDFF56C" w:rsidR="00A53C15" w:rsidRDefault="001463D4">
            <w:pPr>
              <w:pStyle w:val="ListParagraph"/>
              <w:numPr>
                <w:ilvl w:val="1"/>
                <w:numId w:val="27"/>
              </w:numPr>
              <w:spacing w:before="60" w:after="60"/>
              <w:ind w:left="714" w:hanging="357"/>
              <w:contextualSpacing w:val="0"/>
              <w:rPr>
                <w:rFonts w:ascii="Arial" w:eastAsia="Calibri" w:hAnsi="Arial" w:cs="Arial"/>
                <w:sz w:val="20"/>
                <w:szCs w:val="20"/>
              </w:rPr>
            </w:pPr>
            <w:r>
              <w:rPr>
                <w:rFonts w:ascii="Arial" w:hAnsi="Arial"/>
                <w:sz w:val="20"/>
                <w:szCs w:val="20"/>
              </w:rPr>
              <w:t xml:space="preserve">35 études de cas pour aider les États à comprendre et à utiliser les Directives opérationnelles sur </w:t>
            </w:r>
            <w:r>
              <w:rPr>
                <w:rFonts w:ascii="Arial" w:hAnsi="Arial"/>
                <w:sz w:val="20"/>
                <w:szCs w:val="20"/>
              </w:rPr>
              <w:lastRenderedPageBreak/>
              <w:t>le patrimoine culturel immatériel et le développement durable compilées dans une boîte à outils en ligne qui s</w:t>
            </w:r>
            <w:r w:rsidR="00ED6BBD">
              <w:rPr>
                <w:rFonts w:ascii="Arial" w:hAnsi="Arial"/>
                <w:sz w:val="20"/>
                <w:szCs w:val="20"/>
              </w:rPr>
              <w:t>’</w:t>
            </w:r>
            <w:r>
              <w:rPr>
                <w:rFonts w:ascii="Arial" w:hAnsi="Arial"/>
                <w:sz w:val="20"/>
                <w:szCs w:val="20"/>
              </w:rPr>
              <w:t>accompagne de conseils introductifs</w:t>
            </w:r>
          </w:p>
          <w:p w14:paraId="618DD130" w14:textId="66D73322" w:rsidR="002B2767" w:rsidRDefault="00A53C15">
            <w:pPr>
              <w:pStyle w:val="ListParagraph"/>
              <w:numPr>
                <w:ilvl w:val="1"/>
                <w:numId w:val="27"/>
              </w:numPr>
              <w:spacing w:before="60" w:after="60"/>
              <w:ind w:left="714" w:hanging="357"/>
              <w:contextualSpacing w:val="0"/>
              <w:rPr>
                <w:rFonts w:ascii="Arial" w:eastAsia="Calibri" w:hAnsi="Arial" w:cs="Arial"/>
                <w:sz w:val="20"/>
                <w:szCs w:val="20"/>
              </w:rPr>
            </w:pPr>
            <w:r>
              <w:rPr>
                <w:rFonts w:ascii="Arial" w:hAnsi="Arial"/>
                <w:sz w:val="20"/>
                <w:szCs w:val="20"/>
              </w:rPr>
              <w:t>Préparation d</w:t>
            </w:r>
            <w:r w:rsidR="00ED6BBD">
              <w:rPr>
                <w:rFonts w:ascii="Arial" w:hAnsi="Arial"/>
                <w:sz w:val="20"/>
                <w:szCs w:val="20"/>
              </w:rPr>
              <w:t>’</w:t>
            </w:r>
            <w:r>
              <w:rPr>
                <w:rFonts w:ascii="Arial" w:hAnsi="Arial"/>
                <w:sz w:val="20"/>
                <w:szCs w:val="20"/>
              </w:rPr>
              <w:t>autres études de cas sur différents sujets : 2 sur les rapports entre genre et patrimoine culturel immatériel, une sur les plans de sauvegarde et une sur la sauvegarde et ses implications politiques</w:t>
            </w:r>
          </w:p>
          <w:p w14:paraId="42ECC24F" w14:textId="0FB30BA7" w:rsidR="00A53C15" w:rsidRDefault="00A2529F" w:rsidP="00B973F3">
            <w:pPr>
              <w:pStyle w:val="ListParagraph"/>
              <w:numPr>
                <w:ilvl w:val="0"/>
                <w:numId w:val="37"/>
              </w:numPr>
              <w:spacing w:before="60" w:after="60"/>
              <w:ind w:left="357" w:hanging="357"/>
              <w:contextualSpacing w:val="0"/>
              <w:rPr>
                <w:rFonts w:ascii="Arial" w:eastAsia="Calibri" w:hAnsi="Arial" w:cs="Arial"/>
                <w:sz w:val="20"/>
                <w:szCs w:val="20"/>
              </w:rPr>
            </w:pPr>
            <w:r>
              <w:rPr>
                <w:rFonts w:ascii="Arial" w:hAnsi="Arial"/>
                <w:sz w:val="20"/>
                <w:szCs w:val="20"/>
              </w:rPr>
              <w:t>Préparation d</w:t>
            </w:r>
            <w:r w:rsidR="00ED6BBD">
              <w:rPr>
                <w:rFonts w:ascii="Arial" w:hAnsi="Arial"/>
                <w:sz w:val="20"/>
                <w:szCs w:val="20"/>
              </w:rPr>
              <w:t>’</w:t>
            </w:r>
            <w:r>
              <w:rPr>
                <w:rFonts w:ascii="Arial" w:hAnsi="Arial"/>
                <w:sz w:val="20"/>
                <w:szCs w:val="20"/>
              </w:rPr>
              <w:t>une étude de faisabilité sur l</w:t>
            </w:r>
            <w:r w:rsidR="00ED6BBD">
              <w:rPr>
                <w:rFonts w:ascii="Arial" w:hAnsi="Arial"/>
                <w:sz w:val="20"/>
                <w:szCs w:val="20"/>
              </w:rPr>
              <w:t>’</w:t>
            </w:r>
            <w:r>
              <w:rPr>
                <w:rFonts w:ascii="Arial" w:hAnsi="Arial"/>
                <w:sz w:val="20"/>
                <w:szCs w:val="20"/>
              </w:rPr>
              <w:t>utilisation de technologies pédagogiques pour l</w:t>
            </w:r>
            <w:r w:rsidR="00ED6BBD">
              <w:rPr>
                <w:rFonts w:ascii="Arial" w:hAnsi="Arial"/>
                <w:sz w:val="20"/>
                <w:szCs w:val="20"/>
              </w:rPr>
              <w:t>’</w:t>
            </w:r>
            <w:r>
              <w:rPr>
                <w:rFonts w:ascii="Arial" w:hAnsi="Arial"/>
                <w:sz w:val="20"/>
                <w:szCs w:val="20"/>
              </w:rPr>
              <w:t>apprentissage en ligne, ayant donné lieu à l</w:t>
            </w:r>
            <w:r w:rsidR="00ED6BBD">
              <w:rPr>
                <w:rFonts w:ascii="Arial" w:hAnsi="Arial"/>
                <w:sz w:val="20"/>
                <w:szCs w:val="20"/>
              </w:rPr>
              <w:t>’</w:t>
            </w:r>
            <w:r>
              <w:rPr>
                <w:rFonts w:ascii="Arial" w:hAnsi="Arial"/>
                <w:sz w:val="20"/>
                <w:szCs w:val="20"/>
              </w:rPr>
              <w:t>identification d</w:t>
            </w:r>
            <w:r w:rsidR="00ED6BBD">
              <w:rPr>
                <w:rFonts w:ascii="Arial" w:hAnsi="Arial"/>
                <w:sz w:val="20"/>
                <w:szCs w:val="20"/>
              </w:rPr>
              <w:t>’</w:t>
            </w:r>
            <w:r>
              <w:rPr>
                <w:rFonts w:ascii="Arial" w:hAnsi="Arial"/>
                <w:sz w:val="20"/>
                <w:szCs w:val="20"/>
              </w:rPr>
              <w:t>universités partenaires potentiellement intéressées par la poursuite d</w:t>
            </w:r>
            <w:r w:rsidR="00ED6BBD">
              <w:rPr>
                <w:rFonts w:ascii="Arial" w:hAnsi="Arial"/>
                <w:sz w:val="20"/>
                <w:szCs w:val="20"/>
              </w:rPr>
              <w:t>’</w:t>
            </w:r>
            <w:r>
              <w:rPr>
                <w:rFonts w:ascii="Arial" w:hAnsi="Arial"/>
                <w:sz w:val="20"/>
                <w:szCs w:val="20"/>
              </w:rPr>
              <w:t>une collaboration</w:t>
            </w:r>
          </w:p>
          <w:p w14:paraId="41F785CF" w14:textId="4B4EB882" w:rsidR="00F16E8D" w:rsidRPr="004968BF" w:rsidRDefault="00A2529F" w:rsidP="00B973F3">
            <w:pPr>
              <w:pStyle w:val="ListParagraph"/>
              <w:numPr>
                <w:ilvl w:val="0"/>
                <w:numId w:val="37"/>
              </w:numPr>
              <w:spacing w:before="60" w:after="60"/>
              <w:ind w:left="357" w:hanging="357"/>
              <w:contextualSpacing w:val="0"/>
              <w:rPr>
                <w:rFonts w:eastAsia="Calibri"/>
              </w:rPr>
            </w:pPr>
            <w:r w:rsidRPr="004968BF">
              <w:rPr>
                <w:rFonts w:ascii="Arial" w:hAnsi="Arial"/>
                <w:sz w:val="20"/>
                <w:szCs w:val="20"/>
              </w:rPr>
              <w:t>Amélioration de l</w:t>
            </w:r>
            <w:r w:rsidR="00ED6BBD" w:rsidRPr="004968BF">
              <w:rPr>
                <w:rFonts w:ascii="Arial" w:hAnsi="Arial"/>
                <w:sz w:val="20"/>
                <w:szCs w:val="20"/>
              </w:rPr>
              <w:t>’</w:t>
            </w:r>
            <w:r w:rsidRPr="004968BF">
              <w:rPr>
                <w:rFonts w:ascii="Arial" w:hAnsi="Arial"/>
                <w:sz w:val="20"/>
                <w:szCs w:val="20"/>
              </w:rPr>
              <w:t>interface de préparation des ateliers, grâce à l</w:t>
            </w:r>
            <w:r w:rsidR="00ED6BBD" w:rsidRPr="004968BF">
              <w:rPr>
                <w:rFonts w:ascii="Arial" w:hAnsi="Arial"/>
                <w:sz w:val="20"/>
                <w:szCs w:val="20"/>
              </w:rPr>
              <w:t>’</w:t>
            </w:r>
            <w:r w:rsidRPr="004968BF">
              <w:rPr>
                <w:rFonts w:ascii="Arial" w:hAnsi="Arial"/>
                <w:sz w:val="20"/>
                <w:szCs w:val="20"/>
              </w:rPr>
              <w:t>ajout de nouvelles fonctions pour la sélection de supports et le suivi des participants.</w:t>
            </w:r>
          </w:p>
        </w:tc>
        <w:tc>
          <w:tcPr>
            <w:tcW w:w="1922" w:type="dxa"/>
          </w:tcPr>
          <w:p w14:paraId="3D4E4C2C" w14:textId="0FAF1DF7" w:rsidR="00F16E8D" w:rsidRPr="001C6031" w:rsidRDefault="00B8492A" w:rsidP="00B973F3">
            <w:pPr>
              <w:spacing w:before="360" w:after="60"/>
              <w:jc w:val="center"/>
              <w:rPr>
                <w:rFonts w:ascii="Arial" w:eastAsia="Calibri" w:hAnsi="Arial" w:cs="Arial"/>
                <w:sz w:val="20"/>
                <w:szCs w:val="20"/>
              </w:rPr>
            </w:pPr>
            <w:r>
              <w:rPr>
                <w:rFonts w:ascii="Arial" w:hAnsi="Arial"/>
                <w:sz w:val="20"/>
                <w:szCs w:val="20"/>
              </w:rPr>
              <w:lastRenderedPageBreak/>
              <w:t>Accomplie</w:t>
            </w:r>
          </w:p>
        </w:tc>
      </w:tr>
      <w:tr w:rsidR="00F16E8D" w:rsidRPr="002F3744" w14:paraId="03469A00" w14:textId="7FCD117E" w:rsidTr="007656F8">
        <w:trPr>
          <w:jc w:val="center"/>
        </w:trPr>
        <w:tc>
          <w:tcPr>
            <w:tcW w:w="3969" w:type="dxa"/>
            <w:shd w:val="clear" w:color="auto" w:fill="auto"/>
          </w:tcPr>
          <w:p w14:paraId="40AF20A9" w14:textId="75475555" w:rsidR="00F16E8D" w:rsidRPr="001C6031" w:rsidRDefault="00F16E8D">
            <w:pPr>
              <w:spacing w:before="60" w:after="60"/>
              <w:rPr>
                <w:rFonts w:ascii="Arial" w:eastAsia="Calibri" w:hAnsi="Arial" w:cs="Arial"/>
                <w:b/>
                <w:sz w:val="20"/>
                <w:szCs w:val="20"/>
              </w:rPr>
            </w:pPr>
            <w:r>
              <w:rPr>
                <w:rFonts w:ascii="Arial" w:hAnsi="Arial"/>
                <w:b/>
                <w:sz w:val="20"/>
                <w:szCs w:val="20"/>
              </w:rPr>
              <w:t>P :</w:t>
            </w:r>
          </w:p>
          <w:p w14:paraId="588B7B5F" w14:textId="4774C978" w:rsidR="00F16E8D" w:rsidRPr="00A176A4" w:rsidRDefault="00F16E8D">
            <w:pPr>
              <w:spacing w:before="60" w:after="60"/>
              <w:rPr>
                <w:rFonts w:ascii="Arial" w:eastAsia="Calibri" w:hAnsi="Arial" w:cs="Arial"/>
                <w:sz w:val="20"/>
                <w:szCs w:val="20"/>
              </w:rPr>
            </w:pPr>
            <w:r>
              <w:rPr>
                <w:rFonts w:ascii="Arial" w:hAnsi="Arial"/>
                <w:sz w:val="20"/>
                <w:szCs w:val="20"/>
              </w:rPr>
              <w:t>Mécanisme préliminaire de suivi et d</w:t>
            </w:r>
            <w:r w:rsidR="00ED6BBD">
              <w:rPr>
                <w:rFonts w:ascii="Arial" w:hAnsi="Arial"/>
                <w:sz w:val="20"/>
                <w:szCs w:val="20"/>
              </w:rPr>
              <w:t>’</w:t>
            </w:r>
            <w:r>
              <w:rPr>
                <w:rFonts w:ascii="Arial" w:hAnsi="Arial"/>
                <w:sz w:val="20"/>
                <w:szCs w:val="20"/>
              </w:rPr>
              <w:t>évaluation pour le renforcement des capacités mis à l</w:t>
            </w:r>
            <w:r w:rsidR="00ED6BBD">
              <w:rPr>
                <w:rFonts w:ascii="Arial" w:hAnsi="Arial"/>
                <w:sz w:val="20"/>
                <w:szCs w:val="20"/>
              </w:rPr>
              <w:t>’</w:t>
            </w:r>
            <w:r>
              <w:rPr>
                <w:rFonts w:ascii="Arial" w:hAnsi="Arial"/>
                <w:sz w:val="20"/>
                <w:szCs w:val="20"/>
              </w:rPr>
              <w:t>essai</w:t>
            </w:r>
          </w:p>
          <w:p w14:paraId="430EA9C9" w14:textId="77777777" w:rsidR="00F16E8D" w:rsidRPr="001C6031" w:rsidRDefault="00F16E8D">
            <w:pPr>
              <w:spacing w:before="60" w:after="60"/>
              <w:rPr>
                <w:rFonts w:ascii="Arial" w:hAnsi="Arial" w:cs="Arial"/>
                <w:b/>
                <w:sz w:val="20"/>
                <w:szCs w:val="20"/>
              </w:rPr>
            </w:pPr>
            <w:r>
              <w:rPr>
                <w:rFonts w:ascii="Arial" w:hAnsi="Arial"/>
                <w:b/>
                <w:sz w:val="20"/>
                <w:szCs w:val="20"/>
              </w:rPr>
              <w:t>R 2016-2017 :</w:t>
            </w:r>
          </w:p>
          <w:p w14:paraId="3CFBD62E" w14:textId="1FF2525B" w:rsidR="00F16E8D" w:rsidRDefault="00F16E8D" w:rsidP="00B973F3">
            <w:pPr>
              <w:pStyle w:val="ListParagraph"/>
              <w:numPr>
                <w:ilvl w:val="0"/>
                <w:numId w:val="37"/>
              </w:numPr>
              <w:spacing w:before="60" w:after="60"/>
              <w:ind w:left="360"/>
              <w:contextualSpacing w:val="0"/>
              <w:rPr>
                <w:rFonts w:ascii="Arial" w:eastAsia="Calibri" w:hAnsi="Arial" w:cs="Arial"/>
                <w:sz w:val="20"/>
                <w:szCs w:val="20"/>
              </w:rPr>
            </w:pPr>
            <w:r>
              <w:rPr>
                <w:rFonts w:ascii="Arial" w:hAnsi="Arial"/>
                <w:sz w:val="20"/>
                <w:szCs w:val="20"/>
              </w:rPr>
              <w:t>3 études pilotes de suivi menées dans les pays bénéficiaires</w:t>
            </w:r>
          </w:p>
          <w:p w14:paraId="2B18C1B5" w14:textId="671ACB70" w:rsidR="00F16E8D" w:rsidRPr="00A176A4" w:rsidRDefault="00B062AD" w:rsidP="00B973F3">
            <w:pPr>
              <w:pStyle w:val="ListParagraph"/>
              <w:numPr>
                <w:ilvl w:val="0"/>
                <w:numId w:val="37"/>
              </w:numPr>
              <w:spacing w:before="60" w:after="60"/>
              <w:ind w:left="360"/>
              <w:contextualSpacing w:val="0"/>
              <w:rPr>
                <w:rFonts w:ascii="Arial" w:eastAsia="Calibri" w:hAnsi="Arial" w:cs="Arial"/>
                <w:sz w:val="20"/>
                <w:szCs w:val="20"/>
              </w:rPr>
            </w:pPr>
            <w:r>
              <w:rPr>
                <w:rFonts w:ascii="Arial" w:hAnsi="Arial"/>
                <w:sz w:val="20"/>
                <w:szCs w:val="20"/>
              </w:rPr>
              <w:t>Une enquête sur l</w:t>
            </w:r>
            <w:r w:rsidR="00ED6BBD">
              <w:rPr>
                <w:rFonts w:ascii="Arial" w:hAnsi="Arial"/>
                <w:sz w:val="20"/>
                <w:szCs w:val="20"/>
              </w:rPr>
              <w:t>’</w:t>
            </w:r>
            <w:r>
              <w:rPr>
                <w:rFonts w:ascii="Arial" w:hAnsi="Arial"/>
                <w:sz w:val="20"/>
                <w:szCs w:val="20"/>
              </w:rPr>
              <w:t>utilisation des supports de renforcement des capacités de l</w:t>
            </w:r>
            <w:r w:rsidR="00ED6BBD">
              <w:rPr>
                <w:rFonts w:ascii="Arial" w:hAnsi="Arial"/>
                <w:sz w:val="20"/>
                <w:szCs w:val="20"/>
              </w:rPr>
              <w:t>’</w:t>
            </w:r>
            <w:r>
              <w:rPr>
                <w:rFonts w:ascii="Arial" w:hAnsi="Arial"/>
                <w:sz w:val="20"/>
                <w:szCs w:val="20"/>
              </w:rPr>
              <w:t>UNESCO par d</w:t>
            </w:r>
            <w:r w:rsidR="00ED6BBD">
              <w:rPr>
                <w:rFonts w:ascii="Arial" w:hAnsi="Arial"/>
                <w:sz w:val="20"/>
                <w:szCs w:val="20"/>
              </w:rPr>
              <w:t>’</w:t>
            </w:r>
            <w:r>
              <w:rPr>
                <w:rFonts w:ascii="Arial" w:hAnsi="Arial"/>
                <w:sz w:val="20"/>
                <w:szCs w:val="20"/>
              </w:rPr>
              <w:t>autres institutions</w:t>
            </w:r>
          </w:p>
        </w:tc>
        <w:tc>
          <w:tcPr>
            <w:tcW w:w="3969" w:type="dxa"/>
            <w:shd w:val="clear" w:color="auto" w:fill="auto"/>
          </w:tcPr>
          <w:p w14:paraId="1CCF061F" w14:textId="117F28AB" w:rsidR="00F16E8D" w:rsidRDefault="00CA3532" w:rsidP="00B973F3">
            <w:pPr>
              <w:pStyle w:val="ListParagraph"/>
              <w:numPr>
                <w:ilvl w:val="0"/>
                <w:numId w:val="37"/>
              </w:numPr>
              <w:spacing w:before="360" w:after="60"/>
              <w:ind w:left="357" w:hanging="357"/>
              <w:contextualSpacing w:val="0"/>
              <w:rPr>
                <w:rFonts w:ascii="Arial" w:eastAsia="Calibri" w:hAnsi="Arial" w:cs="Arial"/>
                <w:sz w:val="20"/>
                <w:szCs w:val="20"/>
              </w:rPr>
            </w:pPr>
            <w:r>
              <w:rPr>
                <w:rFonts w:ascii="Arial" w:hAnsi="Arial"/>
                <w:sz w:val="20"/>
                <w:szCs w:val="20"/>
              </w:rPr>
              <w:t>Réalisation d</w:t>
            </w:r>
            <w:r w:rsidR="00ED6BBD">
              <w:rPr>
                <w:rFonts w:ascii="Arial" w:hAnsi="Arial"/>
                <w:sz w:val="20"/>
                <w:szCs w:val="20"/>
              </w:rPr>
              <w:t>’</w:t>
            </w:r>
            <w:r>
              <w:rPr>
                <w:rFonts w:ascii="Arial" w:hAnsi="Arial"/>
                <w:sz w:val="20"/>
                <w:szCs w:val="20"/>
              </w:rPr>
              <w:t>une étude pilote suivi dans 3 pays (Népal, Namibie et Tunisie) et préparation d</w:t>
            </w:r>
            <w:r w:rsidR="00ED6BBD">
              <w:rPr>
                <w:rFonts w:ascii="Arial" w:hAnsi="Arial"/>
                <w:sz w:val="20"/>
                <w:szCs w:val="20"/>
              </w:rPr>
              <w:t>’</w:t>
            </w:r>
            <w:r>
              <w:rPr>
                <w:rFonts w:ascii="Arial" w:hAnsi="Arial"/>
                <w:sz w:val="20"/>
                <w:szCs w:val="20"/>
              </w:rPr>
              <w:t>un rapport</w:t>
            </w:r>
          </w:p>
          <w:p w14:paraId="6FCC14CB" w14:textId="1D7E313B" w:rsidR="00826A53" w:rsidRPr="00B973F3" w:rsidRDefault="00CA3532" w:rsidP="00B973F3">
            <w:pPr>
              <w:pStyle w:val="ListParagraph"/>
              <w:numPr>
                <w:ilvl w:val="0"/>
                <w:numId w:val="37"/>
              </w:numPr>
              <w:spacing w:before="60" w:after="60"/>
              <w:ind w:left="357" w:hanging="357"/>
              <w:contextualSpacing w:val="0"/>
              <w:rPr>
                <w:rFonts w:ascii="Arial" w:eastAsia="Calibri" w:hAnsi="Arial" w:cs="Arial"/>
                <w:sz w:val="20"/>
                <w:szCs w:val="20"/>
              </w:rPr>
            </w:pPr>
            <w:r>
              <w:rPr>
                <w:rFonts w:ascii="Arial" w:hAnsi="Arial"/>
                <w:sz w:val="20"/>
                <w:szCs w:val="20"/>
              </w:rPr>
              <w:t>Une enquête sur l</w:t>
            </w:r>
            <w:r w:rsidR="00ED6BBD">
              <w:rPr>
                <w:rFonts w:ascii="Arial" w:hAnsi="Arial"/>
                <w:sz w:val="20"/>
                <w:szCs w:val="20"/>
              </w:rPr>
              <w:t>’</w:t>
            </w:r>
            <w:r>
              <w:rPr>
                <w:rFonts w:ascii="Arial" w:hAnsi="Arial"/>
                <w:sz w:val="20"/>
                <w:szCs w:val="20"/>
              </w:rPr>
              <w:t>utilisation des supports de renforcement des capacités de l</w:t>
            </w:r>
            <w:r w:rsidR="00ED6BBD">
              <w:rPr>
                <w:rFonts w:ascii="Arial" w:hAnsi="Arial"/>
                <w:sz w:val="20"/>
                <w:szCs w:val="20"/>
              </w:rPr>
              <w:t>’</w:t>
            </w:r>
            <w:r>
              <w:rPr>
                <w:rFonts w:ascii="Arial" w:hAnsi="Arial"/>
                <w:sz w:val="20"/>
                <w:szCs w:val="20"/>
              </w:rPr>
              <w:t>UNESCO des utilisateurs extérieurs a été menée : un rapport final a été préparé sur la base des 93 questionnaires remplis par les participants.</w:t>
            </w:r>
          </w:p>
        </w:tc>
        <w:tc>
          <w:tcPr>
            <w:tcW w:w="1922" w:type="dxa"/>
          </w:tcPr>
          <w:p w14:paraId="792502FC" w14:textId="00794AFC" w:rsidR="00F16E8D" w:rsidRPr="001C6031" w:rsidRDefault="00B8492A" w:rsidP="00B973F3">
            <w:pPr>
              <w:spacing w:before="360" w:after="60"/>
              <w:jc w:val="center"/>
              <w:rPr>
                <w:rFonts w:ascii="Arial" w:eastAsia="Calibri" w:hAnsi="Arial" w:cs="Arial"/>
                <w:sz w:val="20"/>
                <w:szCs w:val="20"/>
              </w:rPr>
            </w:pPr>
            <w:r>
              <w:rPr>
                <w:rFonts w:ascii="Arial" w:hAnsi="Arial"/>
                <w:sz w:val="20"/>
                <w:szCs w:val="20"/>
              </w:rPr>
              <w:t>Accomplie</w:t>
            </w:r>
          </w:p>
        </w:tc>
      </w:tr>
      <w:tr w:rsidR="00F16E8D" w:rsidRPr="002F3744" w14:paraId="207F6DEF" w14:textId="1BF07343" w:rsidTr="007656F8">
        <w:trPr>
          <w:jc w:val="center"/>
        </w:trPr>
        <w:tc>
          <w:tcPr>
            <w:tcW w:w="3969" w:type="dxa"/>
            <w:shd w:val="clear" w:color="auto" w:fill="auto"/>
          </w:tcPr>
          <w:p w14:paraId="468E94FE" w14:textId="288733B0" w:rsidR="00F16E8D" w:rsidRPr="001C6031" w:rsidRDefault="00F16E8D">
            <w:pPr>
              <w:spacing w:before="60" w:after="60"/>
              <w:rPr>
                <w:rFonts w:ascii="Arial" w:eastAsia="Calibri" w:hAnsi="Arial" w:cs="Arial"/>
                <w:b/>
                <w:sz w:val="20"/>
                <w:szCs w:val="20"/>
              </w:rPr>
            </w:pPr>
            <w:r>
              <w:rPr>
                <w:rFonts w:ascii="Arial" w:hAnsi="Arial"/>
                <w:b/>
                <w:sz w:val="20"/>
                <w:szCs w:val="20"/>
              </w:rPr>
              <w:t>P :</w:t>
            </w:r>
          </w:p>
          <w:p w14:paraId="1E6344A6" w14:textId="65D6ACC5" w:rsidR="00F16E8D" w:rsidRPr="007605B2" w:rsidRDefault="00F16E8D">
            <w:pPr>
              <w:spacing w:before="60" w:after="60"/>
              <w:rPr>
                <w:rFonts w:ascii="Arial" w:eastAsia="Calibri" w:hAnsi="Arial" w:cs="Arial"/>
                <w:sz w:val="20"/>
                <w:szCs w:val="20"/>
              </w:rPr>
            </w:pPr>
            <w:r>
              <w:rPr>
                <w:rFonts w:ascii="Arial" w:hAnsi="Arial"/>
                <w:sz w:val="20"/>
                <w:szCs w:val="20"/>
              </w:rPr>
              <w:t>Conseils renforcés sur les mesures de sauvegarde et les bonnes pratiques</w:t>
            </w:r>
          </w:p>
          <w:p w14:paraId="0570EBF3" w14:textId="77777777" w:rsidR="00F16E8D" w:rsidRPr="001C6031" w:rsidRDefault="00F16E8D">
            <w:pPr>
              <w:spacing w:before="60" w:after="60"/>
              <w:rPr>
                <w:rFonts w:ascii="Arial" w:hAnsi="Arial" w:cs="Arial"/>
                <w:b/>
                <w:sz w:val="20"/>
                <w:szCs w:val="20"/>
              </w:rPr>
            </w:pPr>
            <w:r>
              <w:rPr>
                <w:rFonts w:ascii="Arial" w:hAnsi="Arial"/>
                <w:b/>
                <w:sz w:val="20"/>
                <w:szCs w:val="20"/>
              </w:rPr>
              <w:t>R 2016-2017 :</w:t>
            </w:r>
          </w:p>
          <w:p w14:paraId="42D25B27" w14:textId="0D336985" w:rsidR="00F16E8D" w:rsidRPr="009253C3" w:rsidRDefault="00F16E8D" w:rsidP="00B973F3">
            <w:pPr>
              <w:pStyle w:val="ListParagraph"/>
              <w:numPr>
                <w:ilvl w:val="0"/>
                <w:numId w:val="37"/>
              </w:numPr>
              <w:spacing w:before="60" w:after="60"/>
              <w:ind w:left="360"/>
              <w:contextualSpacing w:val="0"/>
              <w:rPr>
                <w:rFonts w:ascii="Arial" w:eastAsia="Calibri" w:hAnsi="Arial" w:cs="Arial"/>
                <w:sz w:val="20"/>
                <w:szCs w:val="20"/>
              </w:rPr>
            </w:pPr>
            <w:r>
              <w:rPr>
                <w:rFonts w:ascii="Arial" w:hAnsi="Arial"/>
                <w:sz w:val="20"/>
                <w:szCs w:val="20"/>
              </w:rPr>
              <w:t xml:space="preserve">Orientations concernant </w:t>
            </w:r>
            <w:proofErr w:type="gramStart"/>
            <w:r>
              <w:rPr>
                <w:rFonts w:ascii="Arial" w:hAnsi="Arial"/>
                <w:sz w:val="20"/>
                <w:szCs w:val="20"/>
              </w:rPr>
              <w:t>les inventaires formulées</w:t>
            </w:r>
            <w:proofErr w:type="gramEnd"/>
            <w:r>
              <w:rPr>
                <w:rFonts w:ascii="Arial" w:hAnsi="Arial"/>
                <w:sz w:val="20"/>
                <w:szCs w:val="20"/>
              </w:rPr>
              <w:t xml:space="preserve"> à l</w:t>
            </w:r>
            <w:r w:rsidR="00ED6BBD">
              <w:rPr>
                <w:rFonts w:ascii="Arial" w:hAnsi="Arial"/>
                <w:sz w:val="20"/>
                <w:szCs w:val="20"/>
              </w:rPr>
              <w:t>’</w:t>
            </w:r>
            <w:r>
              <w:rPr>
                <w:rFonts w:ascii="Arial" w:hAnsi="Arial"/>
                <w:sz w:val="20"/>
                <w:szCs w:val="20"/>
              </w:rPr>
              <w:t>intention des États parties, en tenant compte des décisions et recommandations des organes directeurs de la Convention</w:t>
            </w:r>
          </w:p>
          <w:p w14:paraId="1AFFBA6A" w14:textId="0BCD6351" w:rsidR="00F16E8D" w:rsidRPr="009253C3" w:rsidRDefault="00F16E8D" w:rsidP="00B973F3">
            <w:pPr>
              <w:pStyle w:val="ListParagraph"/>
              <w:numPr>
                <w:ilvl w:val="0"/>
                <w:numId w:val="37"/>
              </w:numPr>
              <w:spacing w:before="60" w:after="60"/>
              <w:ind w:left="360"/>
              <w:contextualSpacing w:val="0"/>
              <w:rPr>
                <w:rFonts w:ascii="Arial" w:eastAsia="Calibri" w:hAnsi="Arial" w:cs="Arial"/>
                <w:sz w:val="20"/>
                <w:szCs w:val="20"/>
              </w:rPr>
            </w:pPr>
            <w:r>
              <w:rPr>
                <w:rFonts w:ascii="Arial" w:hAnsi="Arial"/>
                <w:sz w:val="20"/>
                <w:szCs w:val="20"/>
              </w:rPr>
              <w:t>3 propositions de moyens plus légers pour le partage des expériences de sauvegarde destinées à compléter le Registre des bonnes pratiques de sauvegarde</w:t>
            </w:r>
          </w:p>
          <w:p w14:paraId="5F9F46C7" w14:textId="7DC4C2D7" w:rsidR="00F16E8D" w:rsidRPr="009253C3" w:rsidRDefault="00F16E8D" w:rsidP="00B973F3">
            <w:pPr>
              <w:pStyle w:val="ListParagraph"/>
              <w:numPr>
                <w:ilvl w:val="0"/>
                <w:numId w:val="37"/>
              </w:numPr>
              <w:spacing w:before="60" w:after="60"/>
              <w:ind w:left="360"/>
              <w:contextualSpacing w:val="0"/>
              <w:rPr>
                <w:rFonts w:ascii="Arial" w:eastAsia="Calibri" w:hAnsi="Arial" w:cs="Arial"/>
                <w:sz w:val="20"/>
                <w:szCs w:val="20"/>
              </w:rPr>
            </w:pPr>
            <w:r>
              <w:rPr>
                <w:rFonts w:ascii="Arial" w:hAnsi="Arial"/>
                <w:sz w:val="20"/>
                <w:szCs w:val="20"/>
              </w:rPr>
              <w:t xml:space="preserve">Préparation de supports de formation pour sensibiliser les gouvernements, les communautés, </w:t>
            </w:r>
            <w:r>
              <w:rPr>
                <w:rFonts w:ascii="Arial" w:hAnsi="Arial"/>
                <w:sz w:val="20"/>
                <w:szCs w:val="20"/>
              </w:rPr>
              <w:lastRenderedPageBreak/>
              <w:t>les groupes et autres parties prenantes et intermédiaires concernés aux préoccupations éthiques dans le cadre de la sauvegarde du patrimoine culturel immatériel</w:t>
            </w:r>
          </w:p>
          <w:p w14:paraId="71A952AB" w14:textId="7985CC1E" w:rsidR="00F16E8D" w:rsidRPr="001C6031" w:rsidRDefault="00B062AD" w:rsidP="00B973F3">
            <w:pPr>
              <w:pStyle w:val="ListParagraph"/>
              <w:numPr>
                <w:ilvl w:val="0"/>
                <w:numId w:val="37"/>
              </w:numPr>
              <w:spacing w:before="60" w:after="60"/>
              <w:ind w:left="360"/>
              <w:contextualSpacing w:val="0"/>
              <w:rPr>
                <w:rFonts w:ascii="Arial" w:eastAsia="Calibri" w:hAnsi="Arial" w:cs="Arial"/>
                <w:sz w:val="20"/>
                <w:szCs w:val="20"/>
              </w:rPr>
            </w:pPr>
            <w:r>
              <w:rPr>
                <w:rFonts w:ascii="Arial" w:hAnsi="Arial"/>
                <w:sz w:val="20"/>
                <w:szCs w:val="20"/>
              </w:rPr>
              <w:t>Élaboration d</w:t>
            </w:r>
            <w:r w:rsidR="00ED6BBD">
              <w:rPr>
                <w:rFonts w:ascii="Arial" w:hAnsi="Arial"/>
                <w:sz w:val="20"/>
                <w:szCs w:val="20"/>
              </w:rPr>
              <w:t>’</w:t>
            </w:r>
            <w:r>
              <w:rPr>
                <w:rFonts w:ascii="Arial" w:hAnsi="Arial"/>
                <w:sz w:val="20"/>
                <w:szCs w:val="20"/>
              </w:rPr>
              <w:t>une stratégie visant à sauvegarder le patrimoine culturel immatériel dans les situations d</w:t>
            </w:r>
            <w:r w:rsidR="00ED6BBD">
              <w:rPr>
                <w:rFonts w:ascii="Arial" w:hAnsi="Arial"/>
                <w:sz w:val="20"/>
                <w:szCs w:val="20"/>
              </w:rPr>
              <w:t>’</w:t>
            </w:r>
            <w:r>
              <w:rPr>
                <w:rFonts w:ascii="Arial" w:hAnsi="Arial"/>
                <w:sz w:val="20"/>
                <w:szCs w:val="20"/>
              </w:rPr>
              <w:t>urgence telles que décrites au paragraphe 50 des Directives opérationnelles.</w:t>
            </w:r>
          </w:p>
        </w:tc>
        <w:tc>
          <w:tcPr>
            <w:tcW w:w="3969" w:type="dxa"/>
            <w:shd w:val="clear" w:color="auto" w:fill="auto"/>
          </w:tcPr>
          <w:p w14:paraId="29322EB2" w14:textId="1CF49ACE" w:rsidR="00F16E8D" w:rsidRDefault="00F16E8D" w:rsidP="00B973F3">
            <w:pPr>
              <w:pStyle w:val="ListParagraph"/>
              <w:numPr>
                <w:ilvl w:val="0"/>
                <w:numId w:val="37"/>
              </w:numPr>
              <w:spacing w:before="360" w:after="60"/>
              <w:ind w:left="357" w:hanging="357"/>
              <w:contextualSpacing w:val="0"/>
              <w:rPr>
                <w:rFonts w:ascii="Arial" w:eastAsia="Calibri" w:hAnsi="Arial" w:cs="Arial"/>
                <w:sz w:val="20"/>
                <w:szCs w:val="20"/>
              </w:rPr>
            </w:pPr>
            <w:r>
              <w:rPr>
                <w:rFonts w:ascii="Arial" w:hAnsi="Arial"/>
                <w:sz w:val="20"/>
                <w:szCs w:val="20"/>
              </w:rPr>
              <w:lastRenderedPageBreak/>
              <w:t>Plutôt que de se limiter à 3 propositions de moyens plus légers pour le partage des expériences de sauvegarde, il a été décidé de mener une enquête mondiale sur ce sujet en 2019. Un appel à propositions pour la réalisation de cette enquête a été diffusé, 47 dossiers ont été examinés et en 2018 une institution réputée a été choisie</w:t>
            </w:r>
          </w:p>
          <w:p w14:paraId="07D5648F" w14:textId="6EE386B5" w:rsidR="00F16E8D" w:rsidRPr="00B973F3" w:rsidRDefault="002B2767" w:rsidP="00B973F3">
            <w:pPr>
              <w:pStyle w:val="ListParagraph"/>
              <w:numPr>
                <w:ilvl w:val="0"/>
                <w:numId w:val="37"/>
              </w:numPr>
              <w:spacing w:before="60" w:after="60"/>
              <w:ind w:left="357" w:hanging="357"/>
              <w:contextualSpacing w:val="0"/>
              <w:rPr>
                <w:rFonts w:ascii="Arial" w:eastAsia="Calibri" w:hAnsi="Arial" w:cs="Arial"/>
                <w:sz w:val="20"/>
                <w:szCs w:val="20"/>
              </w:rPr>
            </w:pPr>
            <w:r>
              <w:rPr>
                <w:rFonts w:ascii="Arial" w:hAnsi="Arial"/>
                <w:sz w:val="20"/>
                <w:szCs w:val="20"/>
              </w:rPr>
              <w:t xml:space="preserve">Des supports de formation pour sensibiliser les gouvernements, les communautés, les groupes et autres parties prenantes et intermédiaires concernés aux préoccupations éthiques dans le cadre de la sauvegarde du patrimoine culturel </w:t>
            </w:r>
            <w:r>
              <w:rPr>
                <w:rFonts w:ascii="Arial" w:hAnsi="Arial"/>
                <w:sz w:val="20"/>
                <w:szCs w:val="20"/>
              </w:rPr>
              <w:lastRenderedPageBreak/>
              <w:t>immatériel ont été préparés et sont en cours d</w:t>
            </w:r>
            <w:r w:rsidR="00ED6BBD">
              <w:rPr>
                <w:rFonts w:ascii="Arial" w:hAnsi="Arial"/>
                <w:sz w:val="20"/>
                <w:szCs w:val="20"/>
              </w:rPr>
              <w:t>’</w:t>
            </w:r>
            <w:r>
              <w:rPr>
                <w:rFonts w:ascii="Arial" w:hAnsi="Arial"/>
                <w:sz w:val="20"/>
                <w:szCs w:val="20"/>
              </w:rPr>
              <w:t>examen.</w:t>
            </w:r>
          </w:p>
        </w:tc>
        <w:tc>
          <w:tcPr>
            <w:tcW w:w="1922" w:type="dxa"/>
          </w:tcPr>
          <w:p w14:paraId="7282929A" w14:textId="53DE0EFD" w:rsidR="00F16E8D" w:rsidRPr="001C6031" w:rsidRDefault="00B8492A" w:rsidP="00B973F3">
            <w:pPr>
              <w:spacing w:before="360" w:after="60"/>
              <w:jc w:val="center"/>
              <w:rPr>
                <w:rFonts w:ascii="Arial" w:eastAsia="Calibri" w:hAnsi="Arial" w:cs="Arial"/>
                <w:sz w:val="20"/>
                <w:szCs w:val="20"/>
              </w:rPr>
            </w:pPr>
            <w:r>
              <w:rPr>
                <w:rFonts w:ascii="Arial" w:hAnsi="Arial"/>
                <w:sz w:val="20"/>
                <w:szCs w:val="20"/>
              </w:rPr>
              <w:lastRenderedPageBreak/>
              <w:t>Accomplie</w:t>
            </w:r>
          </w:p>
        </w:tc>
      </w:tr>
    </w:tbl>
    <w:p w14:paraId="5ED9E843" w14:textId="77777777" w:rsidR="00E941EB" w:rsidRPr="001C6031" w:rsidRDefault="00E941EB" w:rsidP="00E941EB">
      <w:pPr>
        <w:keepNext/>
        <w:spacing w:before="240" w:after="120"/>
        <w:rPr>
          <w:rFonts w:ascii="Arial" w:hAnsi="Arial" w:cs="Arial"/>
          <w:b/>
          <w:sz w:val="22"/>
          <w:szCs w:val="22"/>
        </w:rPr>
      </w:pPr>
      <w:r>
        <w:rPr>
          <w:rFonts w:ascii="Arial" w:hAnsi="Arial"/>
          <w:b/>
          <w:sz w:val="22"/>
          <w:szCs w:val="22"/>
        </w:rPr>
        <w:t>Défis et risques rencontrés dans la mise en œuvre et mesures correctives</w:t>
      </w:r>
    </w:p>
    <w:tbl>
      <w:tblPr>
        <w:tblStyle w:val="TableGrid"/>
        <w:tblW w:w="5000" w:type="pct"/>
        <w:tblLook w:val="04A0" w:firstRow="1" w:lastRow="0" w:firstColumn="1" w:lastColumn="0" w:noHBand="0" w:noVBand="1"/>
      </w:tblPr>
      <w:tblGrid>
        <w:gridCol w:w="4814"/>
        <w:gridCol w:w="4814"/>
      </w:tblGrid>
      <w:tr w:rsidR="00E941EB" w:rsidRPr="001C6031" w14:paraId="0A4139E9" w14:textId="77777777" w:rsidTr="00FD01DA">
        <w:trPr>
          <w:tblHeader/>
        </w:trPr>
        <w:tc>
          <w:tcPr>
            <w:tcW w:w="2500" w:type="pct"/>
            <w:shd w:val="clear" w:color="auto" w:fill="D9D9D9"/>
          </w:tcPr>
          <w:p w14:paraId="68B0401C" w14:textId="77777777" w:rsidR="00E941EB" w:rsidRPr="001C6031" w:rsidRDefault="00E941EB" w:rsidP="00FD01DA">
            <w:pPr>
              <w:keepNext/>
              <w:spacing w:before="120" w:after="120"/>
              <w:jc w:val="center"/>
              <w:rPr>
                <w:rFonts w:ascii="Arial" w:hAnsi="Arial" w:cs="Arial"/>
                <w:b/>
                <w:sz w:val="20"/>
                <w:szCs w:val="20"/>
              </w:rPr>
            </w:pPr>
            <w:r>
              <w:rPr>
                <w:rFonts w:ascii="Arial" w:hAnsi="Arial"/>
                <w:b/>
                <w:sz w:val="20"/>
                <w:szCs w:val="20"/>
              </w:rPr>
              <w:t>Principaux défis</w:t>
            </w:r>
          </w:p>
        </w:tc>
        <w:tc>
          <w:tcPr>
            <w:tcW w:w="2500" w:type="pct"/>
            <w:shd w:val="clear" w:color="auto" w:fill="D9D9D9"/>
          </w:tcPr>
          <w:p w14:paraId="4C984FFB" w14:textId="77777777" w:rsidR="00E941EB" w:rsidRPr="001C6031" w:rsidRDefault="00E941EB" w:rsidP="00FD01DA">
            <w:pPr>
              <w:keepNext/>
              <w:spacing w:before="120" w:after="120"/>
              <w:jc w:val="center"/>
              <w:rPr>
                <w:rFonts w:ascii="Arial" w:hAnsi="Arial" w:cs="Arial"/>
                <w:b/>
                <w:sz w:val="20"/>
                <w:szCs w:val="20"/>
              </w:rPr>
            </w:pPr>
            <w:r>
              <w:rPr>
                <w:rFonts w:ascii="Arial" w:hAnsi="Arial"/>
                <w:b/>
                <w:sz w:val="20"/>
                <w:szCs w:val="20"/>
              </w:rPr>
              <w:t>Mesures correctives</w:t>
            </w:r>
          </w:p>
        </w:tc>
      </w:tr>
      <w:tr w:rsidR="00E941EB" w:rsidRPr="00DD6C76" w14:paraId="186C28B5" w14:textId="77777777" w:rsidTr="00FD01DA">
        <w:tc>
          <w:tcPr>
            <w:tcW w:w="2500" w:type="pct"/>
          </w:tcPr>
          <w:p w14:paraId="03575E70" w14:textId="25855B65" w:rsidR="00E941EB" w:rsidRPr="001C6031" w:rsidRDefault="00E941EB">
            <w:pPr>
              <w:spacing w:before="60" w:after="60"/>
              <w:jc w:val="both"/>
              <w:rPr>
                <w:rFonts w:ascii="Arial" w:eastAsia="Calibri" w:hAnsi="Arial" w:cs="Arial"/>
                <w:sz w:val="20"/>
                <w:szCs w:val="20"/>
                <w:highlight w:val="yellow"/>
              </w:rPr>
            </w:pPr>
            <w:r>
              <w:rPr>
                <w:rFonts w:ascii="Arial" w:hAnsi="Arial"/>
                <w:sz w:val="20"/>
                <w:szCs w:val="20"/>
              </w:rPr>
              <w:t>L</w:t>
            </w:r>
            <w:r w:rsidR="00ED6BBD">
              <w:rPr>
                <w:rFonts w:ascii="Arial" w:hAnsi="Arial"/>
                <w:sz w:val="20"/>
                <w:szCs w:val="20"/>
              </w:rPr>
              <w:t>’</w:t>
            </w:r>
            <w:r>
              <w:rPr>
                <w:rFonts w:ascii="Arial" w:hAnsi="Arial"/>
                <w:sz w:val="20"/>
                <w:szCs w:val="20"/>
              </w:rPr>
              <w:t>organisation d</w:t>
            </w:r>
            <w:r w:rsidR="00ED6BBD">
              <w:rPr>
                <w:rFonts w:ascii="Arial" w:hAnsi="Arial"/>
                <w:sz w:val="20"/>
                <w:szCs w:val="20"/>
              </w:rPr>
              <w:t>’</w:t>
            </w:r>
            <w:r>
              <w:rPr>
                <w:rFonts w:ascii="Arial" w:hAnsi="Arial"/>
                <w:sz w:val="20"/>
                <w:szCs w:val="20"/>
              </w:rPr>
              <w:t>ateliers régionaux pour former les facilitateurs et mettre à niveau leurs compétences est tributaire du soutien du pays hôte ou du partenaire. Trois ateliers se sont bien déroulés, mais l</w:t>
            </w:r>
            <w:r w:rsidR="00ED6BBD">
              <w:rPr>
                <w:rFonts w:ascii="Arial" w:hAnsi="Arial"/>
                <w:sz w:val="20"/>
                <w:szCs w:val="20"/>
              </w:rPr>
              <w:t>’</w:t>
            </w:r>
            <w:r>
              <w:rPr>
                <w:rFonts w:ascii="Arial" w:hAnsi="Arial"/>
                <w:sz w:val="20"/>
                <w:szCs w:val="20"/>
              </w:rPr>
              <w:t>organisation du quatrième a échoué. Au dernier moment, l</w:t>
            </w:r>
            <w:r w:rsidR="00ED6BBD">
              <w:rPr>
                <w:rFonts w:ascii="Arial" w:hAnsi="Arial"/>
                <w:sz w:val="20"/>
                <w:szCs w:val="20"/>
              </w:rPr>
              <w:t>’</w:t>
            </w:r>
            <w:r>
              <w:rPr>
                <w:rFonts w:ascii="Arial" w:hAnsi="Arial"/>
                <w:sz w:val="20"/>
                <w:szCs w:val="20"/>
              </w:rPr>
              <w:t>engagement d</w:t>
            </w:r>
            <w:r w:rsidR="00ED6BBD">
              <w:rPr>
                <w:rFonts w:ascii="Arial" w:hAnsi="Arial"/>
                <w:sz w:val="20"/>
                <w:szCs w:val="20"/>
              </w:rPr>
              <w:t>’</w:t>
            </w:r>
            <w:r>
              <w:rPr>
                <w:rFonts w:ascii="Arial" w:hAnsi="Arial"/>
                <w:sz w:val="20"/>
                <w:szCs w:val="20"/>
              </w:rPr>
              <w:t>accueillir un atelier destiné aux facilitateurs des États arabes n</w:t>
            </w:r>
            <w:r w:rsidR="00ED6BBD">
              <w:rPr>
                <w:rFonts w:ascii="Arial" w:hAnsi="Arial"/>
                <w:sz w:val="20"/>
                <w:szCs w:val="20"/>
              </w:rPr>
              <w:t>’</w:t>
            </w:r>
            <w:r>
              <w:rPr>
                <w:rFonts w:ascii="Arial" w:hAnsi="Arial"/>
                <w:sz w:val="20"/>
                <w:szCs w:val="20"/>
              </w:rPr>
              <w:t xml:space="preserve">a finalement pas pu être tenu. </w:t>
            </w:r>
          </w:p>
        </w:tc>
        <w:tc>
          <w:tcPr>
            <w:tcW w:w="2500" w:type="pct"/>
          </w:tcPr>
          <w:p w14:paraId="49CEAA68" w14:textId="6A59CF0F" w:rsidR="00E941EB" w:rsidRPr="001C6031" w:rsidRDefault="00E941EB">
            <w:pPr>
              <w:spacing w:before="60" w:after="60"/>
              <w:jc w:val="both"/>
              <w:rPr>
                <w:rFonts w:ascii="Arial" w:hAnsi="Arial" w:cs="Arial"/>
                <w:sz w:val="20"/>
                <w:szCs w:val="20"/>
              </w:rPr>
            </w:pPr>
            <w:r>
              <w:rPr>
                <w:rFonts w:ascii="Arial" w:hAnsi="Arial"/>
                <w:sz w:val="20"/>
                <w:szCs w:val="20"/>
              </w:rPr>
              <w:t>Le Secrétariat s</w:t>
            </w:r>
            <w:r w:rsidR="00ED6BBD">
              <w:rPr>
                <w:rFonts w:ascii="Arial" w:hAnsi="Arial"/>
                <w:sz w:val="20"/>
                <w:szCs w:val="20"/>
              </w:rPr>
              <w:t>’</w:t>
            </w:r>
            <w:r>
              <w:rPr>
                <w:rFonts w:ascii="Arial" w:hAnsi="Arial"/>
                <w:sz w:val="20"/>
                <w:szCs w:val="20"/>
              </w:rPr>
              <w:t>est adressé à plusieurs membres du Groupe électoral V(b) pour trouver un autre pays hôte. Il était déjà trop tard pour que cette formation des facilitateurs puisse avoir lieu en 2017, mais le dialogue s</w:t>
            </w:r>
            <w:r w:rsidR="00ED6BBD">
              <w:rPr>
                <w:rFonts w:ascii="Arial" w:hAnsi="Arial"/>
                <w:sz w:val="20"/>
                <w:szCs w:val="20"/>
              </w:rPr>
              <w:t>’</w:t>
            </w:r>
            <w:r>
              <w:rPr>
                <w:rFonts w:ascii="Arial" w:hAnsi="Arial"/>
                <w:sz w:val="20"/>
                <w:szCs w:val="20"/>
              </w:rPr>
              <w:t>est poursuivi avec des donateurs potentiels qui devraient soutenir l</w:t>
            </w:r>
            <w:r w:rsidR="00ED6BBD">
              <w:rPr>
                <w:rFonts w:ascii="Arial" w:hAnsi="Arial"/>
                <w:sz w:val="20"/>
                <w:szCs w:val="20"/>
              </w:rPr>
              <w:t>’</w:t>
            </w:r>
            <w:r>
              <w:rPr>
                <w:rFonts w:ascii="Arial" w:hAnsi="Arial"/>
                <w:sz w:val="20"/>
                <w:szCs w:val="20"/>
              </w:rPr>
              <w:t>organisation d</w:t>
            </w:r>
            <w:r w:rsidR="00ED6BBD">
              <w:rPr>
                <w:rFonts w:ascii="Arial" w:hAnsi="Arial"/>
                <w:sz w:val="20"/>
                <w:szCs w:val="20"/>
              </w:rPr>
              <w:t>’</w:t>
            </w:r>
            <w:r>
              <w:rPr>
                <w:rFonts w:ascii="Arial" w:hAnsi="Arial"/>
                <w:sz w:val="20"/>
                <w:szCs w:val="20"/>
              </w:rPr>
              <w:t>un atelier en 2018.</w:t>
            </w:r>
          </w:p>
        </w:tc>
      </w:tr>
      <w:tr w:rsidR="00E941EB" w:rsidRPr="00DD6C76" w14:paraId="28A22394" w14:textId="77777777" w:rsidTr="00FD01DA">
        <w:tc>
          <w:tcPr>
            <w:tcW w:w="2500" w:type="pct"/>
          </w:tcPr>
          <w:p w14:paraId="086261D4" w14:textId="12696EC2" w:rsidR="00E941EB" w:rsidRPr="001C6031" w:rsidRDefault="00B062AD">
            <w:pPr>
              <w:spacing w:before="60" w:after="60"/>
              <w:jc w:val="both"/>
              <w:rPr>
                <w:rFonts w:ascii="Arial" w:eastAsia="Calibri" w:hAnsi="Arial" w:cs="Arial"/>
                <w:sz w:val="20"/>
                <w:szCs w:val="20"/>
              </w:rPr>
            </w:pPr>
            <w:r>
              <w:rPr>
                <w:rFonts w:ascii="Arial" w:hAnsi="Arial"/>
                <w:sz w:val="20"/>
                <w:szCs w:val="20"/>
              </w:rPr>
              <w:t>La mise au point de nouvelles unités de formation suppose de faire appel à des consultants experts d</w:t>
            </w:r>
            <w:r w:rsidR="00ED6BBD">
              <w:rPr>
                <w:rFonts w:ascii="Arial" w:hAnsi="Arial"/>
                <w:sz w:val="20"/>
                <w:szCs w:val="20"/>
              </w:rPr>
              <w:t>’</w:t>
            </w:r>
            <w:r>
              <w:rPr>
                <w:rFonts w:ascii="Arial" w:hAnsi="Arial"/>
                <w:sz w:val="20"/>
                <w:szCs w:val="20"/>
              </w:rPr>
              <w:t>un domaine en particulier et disposant des connaissances nécessaires à la préparation des documents. Le Secrétariat a pu identifier des consultants maîtrisant les domaines clés de la Convention, mais il est souvent plus difficile de garantir la qualité et la cohérence des documents écrits, et cela a entraîné des retards dans leur publication.</w:t>
            </w:r>
          </w:p>
        </w:tc>
        <w:tc>
          <w:tcPr>
            <w:tcW w:w="2500" w:type="pct"/>
          </w:tcPr>
          <w:p w14:paraId="414FACBA" w14:textId="3BF3A665" w:rsidR="00E941EB" w:rsidRPr="001C6031" w:rsidRDefault="00E941EB">
            <w:pPr>
              <w:spacing w:before="60" w:after="60"/>
              <w:jc w:val="both"/>
              <w:rPr>
                <w:rFonts w:ascii="Arial" w:eastAsia="Calibri" w:hAnsi="Arial" w:cs="Arial"/>
                <w:sz w:val="20"/>
                <w:szCs w:val="20"/>
              </w:rPr>
            </w:pPr>
            <w:r>
              <w:rPr>
                <w:rFonts w:ascii="Arial" w:hAnsi="Arial"/>
                <w:sz w:val="20"/>
                <w:szCs w:val="20"/>
              </w:rPr>
              <w:t>À court terme, le Secrétariat a utilisé plusieurs méthodes pour surmonter cette difficulté : des éditeurs ont été recrutés pour améliorer les documents, le Secrétariat s</w:t>
            </w:r>
            <w:r w:rsidR="00ED6BBD">
              <w:rPr>
                <w:rFonts w:ascii="Arial" w:hAnsi="Arial"/>
                <w:sz w:val="20"/>
                <w:szCs w:val="20"/>
              </w:rPr>
              <w:t>’</w:t>
            </w:r>
            <w:r>
              <w:rPr>
                <w:rFonts w:ascii="Arial" w:hAnsi="Arial"/>
                <w:sz w:val="20"/>
                <w:szCs w:val="20"/>
              </w:rPr>
              <w:t>est chargé d</w:t>
            </w:r>
            <w:r w:rsidR="00ED6BBD">
              <w:rPr>
                <w:rFonts w:ascii="Arial" w:hAnsi="Arial"/>
                <w:sz w:val="20"/>
                <w:szCs w:val="20"/>
              </w:rPr>
              <w:t>’</w:t>
            </w:r>
            <w:r>
              <w:rPr>
                <w:rFonts w:ascii="Arial" w:hAnsi="Arial"/>
                <w:sz w:val="20"/>
                <w:szCs w:val="20"/>
              </w:rPr>
              <w:t>une partie du travail de rédaction et a fourni davantage de conseils préalables aux consultants. Une idée, qui n</w:t>
            </w:r>
            <w:r w:rsidR="00ED6BBD">
              <w:rPr>
                <w:rFonts w:ascii="Arial" w:hAnsi="Arial"/>
                <w:sz w:val="20"/>
                <w:szCs w:val="20"/>
              </w:rPr>
              <w:t>’</w:t>
            </w:r>
            <w:r>
              <w:rPr>
                <w:rFonts w:ascii="Arial" w:hAnsi="Arial"/>
                <w:sz w:val="20"/>
                <w:szCs w:val="20"/>
              </w:rPr>
              <w:t>a pas encore été appliqué pour des raisons budgétaires, consisterait à créer une petite équipe dédiée à la préparation de tels supports dans laquelle chaque membre tiendrait un rôle précis (rédaction, élaboration conceptuelle, révision, etc.).</w:t>
            </w:r>
          </w:p>
        </w:tc>
      </w:tr>
    </w:tbl>
    <w:p w14:paraId="4E0F8AFF" w14:textId="0D433AB9" w:rsidR="00A74D6C" w:rsidRDefault="00A74D6C" w:rsidP="00473C13">
      <w:pPr>
        <w:keepNext/>
        <w:spacing w:before="240" w:after="120"/>
        <w:ind w:left="851" w:hanging="851"/>
        <w:rPr>
          <w:rFonts w:ascii="Arial" w:hAnsi="Arial" w:cs="Arial"/>
          <w:b/>
          <w:bCs/>
          <w:sz w:val="22"/>
          <w:szCs w:val="22"/>
        </w:rPr>
      </w:pPr>
      <w:r>
        <w:rPr>
          <w:rFonts w:ascii="Arial" w:hAnsi="Arial"/>
          <w:b/>
          <w:sz w:val="22"/>
          <w:szCs w:val="22"/>
        </w:rPr>
        <w:t>RE 3 :</w:t>
      </w:r>
      <w:r>
        <w:rPr>
          <w:rFonts w:ascii="Arial" w:hAnsi="Arial"/>
          <w:b/>
          <w:sz w:val="22"/>
          <w:szCs w:val="22"/>
        </w:rPr>
        <w:tab/>
      </w:r>
      <w:r>
        <w:rPr>
          <w:rFonts w:ascii="Arial" w:hAnsi="Arial"/>
          <w:b/>
          <w:bCs/>
          <w:sz w:val="22"/>
          <w:szCs w:val="22"/>
        </w:rPr>
        <w:t xml:space="preserve">Cadre de </w:t>
      </w:r>
      <w:r w:rsidR="005E6FE4">
        <w:rPr>
          <w:rFonts w:ascii="Arial" w:hAnsi="Arial"/>
          <w:b/>
          <w:bCs/>
          <w:sz w:val="22"/>
          <w:szCs w:val="22"/>
        </w:rPr>
        <w:t xml:space="preserve">global </w:t>
      </w:r>
      <w:r>
        <w:rPr>
          <w:rFonts w:ascii="Arial" w:hAnsi="Arial"/>
          <w:b/>
          <w:bCs/>
          <w:sz w:val="22"/>
          <w:szCs w:val="22"/>
        </w:rPr>
        <w:t>résultats élaboré pour suivre la mise en œuvre de la Convention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6"/>
        <w:gridCol w:w="3876"/>
        <w:gridCol w:w="1876"/>
      </w:tblGrid>
      <w:tr w:rsidR="00A74D6C" w:rsidRPr="001C6031" w14:paraId="017532F4" w14:textId="77777777" w:rsidTr="00E26B1E">
        <w:tc>
          <w:tcPr>
            <w:tcW w:w="2013" w:type="pct"/>
            <w:tcBorders>
              <w:bottom w:val="single" w:sz="4" w:space="0" w:color="auto"/>
            </w:tcBorders>
            <w:shd w:val="clear" w:color="auto" w:fill="C6D9F1"/>
            <w:vAlign w:val="center"/>
          </w:tcPr>
          <w:p w14:paraId="45543C71" w14:textId="77777777" w:rsidR="00A74D6C" w:rsidRPr="001C6031" w:rsidRDefault="00A74D6C" w:rsidP="001F4AB8">
            <w:pPr>
              <w:keepNext/>
              <w:spacing w:before="120" w:after="120"/>
              <w:jc w:val="center"/>
              <w:rPr>
                <w:rFonts w:ascii="Arial" w:eastAsia="Calibri" w:hAnsi="Arial" w:cs="Arial"/>
                <w:b/>
                <w:sz w:val="20"/>
                <w:szCs w:val="20"/>
              </w:rPr>
            </w:pPr>
            <w:r>
              <w:rPr>
                <w:rFonts w:ascii="Arial" w:hAnsi="Arial"/>
                <w:b/>
                <w:sz w:val="20"/>
                <w:szCs w:val="20"/>
              </w:rPr>
              <w:t>Allocation</w:t>
            </w:r>
          </w:p>
        </w:tc>
        <w:tc>
          <w:tcPr>
            <w:tcW w:w="2013" w:type="pct"/>
            <w:shd w:val="clear" w:color="auto" w:fill="C6D9F1"/>
            <w:vAlign w:val="center"/>
          </w:tcPr>
          <w:p w14:paraId="4B9F92CB" w14:textId="77777777" w:rsidR="00A74D6C" w:rsidRPr="001C6031" w:rsidRDefault="00A74D6C">
            <w:pPr>
              <w:keepNext/>
              <w:spacing w:before="120" w:after="120"/>
              <w:jc w:val="center"/>
              <w:rPr>
                <w:rFonts w:ascii="Arial" w:eastAsia="Calibri" w:hAnsi="Arial" w:cs="Arial"/>
                <w:b/>
                <w:sz w:val="20"/>
                <w:szCs w:val="20"/>
              </w:rPr>
            </w:pPr>
            <w:r>
              <w:rPr>
                <w:rFonts w:ascii="Arial" w:hAnsi="Arial"/>
                <w:b/>
                <w:sz w:val="20"/>
                <w:szCs w:val="20"/>
              </w:rPr>
              <w:t>Dépenses</w:t>
            </w:r>
          </w:p>
        </w:tc>
        <w:tc>
          <w:tcPr>
            <w:tcW w:w="974" w:type="pct"/>
            <w:shd w:val="clear" w:color="auto" w:fill="C6D9F1"/>
            <w:vAlign w:val="center"/>
          </w:tcPr>
          <w:p w14:paraId="43CF441F" w14:textId="77777777" w:rsidR="00A74D6C" w:rsidRPr="001C6031" w:rsidRDefault="00A74D6C">
            <w:pPr>
              <w:keepNext/>
              <w:spacing w:before="120" w:after="120"/>
              <w:jc w:val="center"/>
              <w:rPr>
                <w:rFonts w:ascii="Arial" w:eastAsia="Calibri" w:hAnsi="Arial" w:cs="Arial"/>
                <w:b/>
                <w:sz w:val="20"/>
                <w:szCs w:val="20"/>
              </w:rPr>
            </w:pPr>
            <w:r>
              <w:rPr>
                <w:rFonts w:ascii="Arial" w:hAnsi="Arial"/>
                <w:b/>
                <w:sz w:val="20"/>
                <w:szCs w:val="20"/>
              </w:rPr>
              <w:t>Taux de dépense (%)</w:t>
            </w:r>
          </w:p>
        </w:tc>
      </w:tr>
      <w:tr w:rsidR="00A74D6C" w:rsidRPr="001C6031" w14:paraId="4D4A0A4C" w14:textId="77777777" w:rsidTr="00842D1A">
        <w:tc>
          <w:tcPr>
            <w:tcW w:w="2013" w:type="pct"/>
            <w:tcBorders>
              <w:bottom w:val="single" w:sz="4" w:space="0" w:color="auto"/>
            </w:tcBorders>
            <w:shd w:val="clear" w:color="auto" w:fill="auto"/>
          </w:tcPr>
          <w:p w14:paraId="08307E61" w14:textId="616EBBB2" w:rsidR="00A74D6C" w:rsidRPr="001C6031" w:rsidRDefault="0076712C" w:rsidP="0076712C">
            <w:pPr>
              <w:keepNext/>
              <w:spacing w:before="120" w:after="120"/>
              <w:jc w:val="center"/>
              <w:rPr>
                <w:rFonts w:ascii="Arial" w:eastAsia="Calibri" w:hAnsi="Arial" w:cs="Arial"/>
                <w:sz w:val="20"/>
                <w:szCs w:val="20"/>
              </w:rPr>
            </w:pPr>
            <w:r>
              <w:rPr>
                <w:rFonts w:ascii="Arial" w:hAnsi="Arial"/>
                <w:sz w:val="20"/>
                <w:szCs w:val="20"/>
              </w:rPr>
              <w:t>50 000</w:t>
            </w:r>
          </w:p>
        </w:tc>
        <w:tc>
          <w:tcPr>
            <w:tcW w:w="2013" w:type="pct"/>
            <w:shd w:val="clear" w:color="auto" w:fill="auto"/>
          </w:tcPr>
          <w:p w14:paraId="476D0A82" w14:textId="70238B88" w:rsidR="00A74D6C" w:rsidRPr="001C6031" w:rsidRDefault="0076712C" w:rsidP="00473C13">
            <w:pPr>
              <w:keepNext/>
              <w:spacing w:before="120" w:after="120"/>
              <w:jc w:val="center"/>
              <w:rPr>
                <w:rFonts w:ascii="Arial" w:eastAsia="Calibri" w:hAnsi="Arial" w:cs="Arial"/>
                <w:sz w:val="20"/>
                <w:szCs w:val="20"/>
              </w:rPr>
            </w:pPr>
            <w:r>
              <w:rPr>
                <w:rFonts w:ascii="Arial" w:hAnsi="Arial"/>
                <w:sz w:val="20"/>
                <w:szCs w:val="20"/>
              </w:rPr>
              <w:t>32 621</w:t>
            </w:r>
          </w:p>
        </w:tc>
        <w:tc>
          <w:tcPr>
            <w:tcW w:w="974" w:type="pct"/>
            <w:shd w:val="clear" w:color="auto" w:fill="auto"/>
          </w:tcPr>
          <w:p w14:paraId="3D38F634" w14:textId="0099DF60" w:rsidR="00A74D6C" w:rsidRPr="001C6031" w:rsidRDefault="0076712C" w:rsidP="00473C13">
            <w:pPr>
              <w:keepNext/>
              <w:spacing w:before="120" w:after="120"/>
              <w:jc w:val="center"/>
              <w:rPr>
                <w:rFonts w:ascii="Arial" w:eastAsia="Calibri" w:hAnsi="Arial" w:cs="Arial"/>
                <w:sz w:val="20"/>
                <w:szCs w:val="20"/>
              </w:rPr>
            </w:pPr>
            <w:r>
              <w:rPr>
                <w:rFonts w:ascii="Arial" w:hAnsi="Arial"/>
                <w:sz w:val="20"/>
                <w:szCs w:val="20"/>
              </w:rPr>
              <w:t>65,2 %</w:t>
            </w:r>
          </w:p>
        </w:tc>
      </w:tr>
    </w:tbl>
    <w:p w14:paraId="2C79E48C" w14:textId="77777777" w:rsidR="00A74D6C" w:rsidRPr="00B973F3" w:rsidRDefault="00A74D6C" w:rsidP="00B973F3">
      <w:pPr>
        <w:ind w:left="851" w:hanging="851"/>
        <w:rPr>
          <w:rFonts w:ascii="Arial" w:hAnsi="Arial" w:cs="Arial"/>
          <w:bCs/>
          <w:sz w:val="22"/>
          <w:szCs w:val="22"/>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4"/>
        <w:gridCol w:w="3874"/>
        <w:gridCol w:w="1880"/>
      </w:tblGrid>
      <w:tr w:rsidR="00842D1A" w:rsidRPr="001C6031" w14:paraId="5B2EBEA2" w14:textId="10DDA90C" w:rsidTr="007656F8">
        <w:trPr>
          <w:tblHeader/>
          <w:jc w:val="center"/>
        </w:trPr>
        <w:tc>
          <w:tcPr>
            <w:tcW w:w="3969" w:type="dxa"/>
            <w:shd w:val="clear" w:color="auto" w:fill="D9D9D9" w:themeFill="background1" w:themeFillShade="D9"/>
          </w:tcPr>
          <w:p w14:paraId="5B4187A7" w14:textId="6730905D" w:rsidR="00842D1A" w:rsidRPr="001C6031" w:rsidRDefault="00842D1A" w:rsidP="005F7CB2">
            <w:pPr>
              <w:spacing w:before="60" w:after="60"/>
              <w:jc w:val="center"/>
              <w:rPr>
                <w:rFonts w:ascii="Arial" w:eastAsia="Calibri" w:hAnsi="Arial" w:cs="Arial"/>
                <w:b/>
                <w:sz w:val="20"/>
                <w:szCs w:val="20"/>
              </w:rPr>
            </w:pPr>
            <w:r>
              <w:rPr>
                <w:rFonts w:ascii="Arial" w:hAnsi="Arial"/>
                <w:b/>
                <w:sz w:val="20"/>
                <w:szCs w:val="20"/>
              </w:rPr>
              <w:t>Produit (P)</w:t>
            </w:r>
            <w:r>
              <w:rPr>
                <w:rFonts w:ascii="Arial" w:hAnsi="Arial"/>
                <w:b/>
                <w:sz w:val="20"/>
                <w:szCs w:val="20"/>
              </w:rPr>
              <w:br/>
              <w:t>Indicateurs/Repères (R)</w:t>
            </w:r>
          </w:p>
        </w:tc>
        <w:tc>
          <w:tcPr>
            <w:tcW w:w="3969" w:type="dxa"/>
            <w:shd w:val="clear" w:color="auto" w:fill="D9D9D9" w:themeFill="background1" w:themeFillShade="D9"/>
          </w:tcPr>
          <w:p w14:paraId="7BFE05BB" w14:textId="17377BA4" w:rsidR="00842D1A" w:rsidRPr="001C6031" w:rsidRDefault="00842D1A" w:rsidP="005F7CB2">
            <w:pPr>
              <w:spacing w:before="60" w:after="60"/>
              <w:jc w:val="center"/>
              <w:rPr>
                <w:rFonts w:ascii="Arial" w:eastAsia="Calibri" w:hAnsi="Arial" w:cs="Arial"/>
                <w:b/>
                <w:sz w:val="20"/>
                <w:szCs w:val="20"/>
              </w:rPr>
            </w:pPr>
            <w:r>
              <w:rPr>
                <w:rFonts w:ascii="Arial" w:hAnsi="Arial"/>
                <w:b/>
                <w:sz w:val="20"/>
                <w:szCs w:val="20"/>
              </w:rPr>
              <w:t>Évaluation des progrès accomplis :</w:t>
            </w:r>
            <w:r>
              <w:rPr>
                <w:rFonts w:ascii="Arial" w:hAnsi="Arial"/>
                <w:b/>
                <w:sz w:val="20"/>
                <w:szCs w:val="20"/>
              </w:rPr>
              <w:br/>
              <w:t>du 01/01/2016 au 31/12/2017</w:t>
            </w:r>
          </w:p>
        </w:tc>
        <w:tc>
          <w:tcPr>
            <w:tcW w:w="1922" w:type="dxa"/>
            <w:shd w:val="clear" w:color="auto" w:fill="D9D9D9" w:themeFill="background1" w:themeFillShade="D9"/>
            <w:vAlign w:val="center"/>
          </w:tcPr>
          <w:p w14:paraId="22AAE5D0" w14:textId="6F5EC4F6" w:rsidR="00842D1A" w:rsidRPr="001C6031" w:rsidRDefault="00842D1A" w:rsidP="005F7CB2">
            <w:pPr>
              <w:spacing w:before="60" w:after="60"/>
              <w:jc w:val="center"/>
              <w:rPr>
                <w:rFonts w:ascii="Arial" w:eastAsia="Calibri" w:hAnsi="Arial" w:cs="Arial"/>
                <w:b/>
                <w:sz w:val="20"/>
                <w:szCs w:val="20"/>
              </w:rPr>
            </w:pPr>
            <w:r>
              <w:rPr>
                <w:rFonts w:ascii="Arial" w:hAnsi="Arial"/>
                <w:b/>
                <w:sz w:val="20"/>
                <w:szCs w:val="20"/>
              </w:rPr>
              <w:t>Évaluation de la mise en œuvre</w:t>
            </w:r>
          </w:p>
        </w:tc>
      </w:tr>
      <w:tr w:rsidR="00842D1A" w:rsidRPr="002A2343" w14:paraId="13E00829" w14:textId="113F15BC" w:rsidTr="007656F8">
        <w:trPr>
          <w:jc w:val="center"/>
        </w:trPr>
        <w:tc>
          <w:tcPr>
            <w:tcW w:w="3969" w:type="dxa"/>
            <w:shd w:val="clear" w:color="auto" w:fill="auto"/>
          </w:tcPr>
          <w:p w14:paraId="2B5435AE" w14:textId="71EFE405" w:rsidR="00842D1A" w:rsidRPr="001C6031" w:rsidRDefault="00842D1A">
            <w:pPr>
              <w:spacing w:before="60" w:after="60"/>
              <w:rPr>
                <w:rFonts w:ascii="Arial" w:eastAsia="Calibri" w:hAnsi="Arial" w:cs="Arial"/>
                <w:b/>
                <w:sz w:val="20"/>
                <w:szCs w:val="20"/>
              </w:rPr>
            </w:pPr>
            <w:r>
              <w:rPr>
                <w:rFonts w:ascii="Arial" w:hAnsi="Arial"/>
                <w:b/>
                <w:sz w:val="20"/>
                <w:szCs w:val="20"/>
              </w:rPr>
              <w:t>P :</w:t>
            </w:r>
          </w:p>
          <w:p w14:paraId="2B262B90" w14:textId="4D1F32BA" w:rsidR="002021ED" w:rsidRPr="002021ED" w:rsidRDefault="00B062AD">
            <w:pPr>
              <w:spacing w:before="60" w:after="60"/>
              <w:rPr>
                <w:rFonts w:ascii="Arial" w:eastAsia="Calibri" w:hAnsi="Arial" w:cs="Arial"/>
                <w:sz w:val="20"/>
                <w:szCs w:val="20"/>
              </w:rPr>
            </w:pPr>
            <w:r>
              <w:rPr>
                <w:rFonts w:ascii="Arial" w:hAnsi="Arial"/>
                <w:sz w:val="20"/>
                <w:szCs w:val="20"/>
              </w:rPr>
              <w:t>Élaboration d</w:t>
            </w:r>
            <w:r w:rsidR="00ED6BBD">
              <w:rPr>
                <w:rFonts w:ascii="Arial" w:hAnsi="Arial"/>
                <w:sz w:val="20"/>
                <w:szCs w:val="20"/>
              </w:rPr>
              <w:t>’</w:t>
            </w:r>
            <w:r>
              <w:rPr>
                <w:rFonts w:ascii="Arial" w:hAnsi="Arial"/>
                <w:sz w:val="20"/>
                <w:szCs w:val="20"/>
              </w:rPr>
              <w:t>un cadre global de résultats pour la Convention</w:t>
            </w:r>
          </w:p>
          <w:p w14:paraId="43F52708" w14:textId="1DADAF2E" w:rsidR="002021ED" w:rsidRPr="001C6031" w:rsidRDefault="002021ED">
            <w:pPr>
              <w:spacing w:before="60" w:after="60"/>
              <w:rPr>
                <w:rFonts w:ascii="Arial" w:hAnsi="Arial" w:cs="Arial"/>
                <w:b/>
                <w:sz w:val="20"/>
                <w:szCs w:val="20"/>
              </w:rPr>
            </w:pPr>
            <w:r>
              <w:rPr>
                <w:rFonts w:ascii="Arial" w:hAnsi="Arial"/>
                <w:b/>
                <w:sz w:val="20"/>
                <w:szCs w:val="20"/>
              </w:rPr>
              <w:t>R 2016-2017 :</w:t>
            </w:r>
          </w:p>
          <w:p w14:paraId="2A5EC06E" w14:textId="65AF5CDE" w:rsidR="002021ED" w:rsidRPr="002021ED" w:rsidRDefault="00B062AD" w:rsidP="00951F05">
            <w:pPr>
              <w:pStyle w:val="ListParagraph"/>
              <w:numPr>
                <w:ilvl w:val="0"/>
                <w:numId w:val="37"/>
              </w:numPr>
              <w:spacing w:before="60" w:after="60"/>
              <w:ind w:left="357" w:hanging="357"/>
              <w:rPr>
                <w:rFonts w:ascii="Arial" w:eastAsia="Calibri" w:hAnsi="Arial" w:cs="Arial"/>
                <w:sz w:val="20"/>
                <w:szCs w:val="20"/>
              </w:rPr>
            </w:pPr>
            <w:r>
              <w:rPr>
                <w:rFonts w:ascii="Arial" w:hAnsi="Arial"/>
                <w:sz w:val="20"/>
                <w:szCs w:val="20"/>
              </w:rPr>
              <w:t>Réunion préliminaire d</w:t>
            </w:r>
            <w:r w:rsidR="00ED6BBD">
              <w:rPr>
                <w:rFonts w:ascii="Arial" w:hAnsi="Arial"/>
                <w:sz w:val="20"/>
                <w:szCs w:val="20"/>
              </w:rPr>
              <w:t>’</w:t>
            </w:r>
            <w:r>
              <w:rPr>
                <w:rFonts w:ascii="Arial" w:hAnsi="Arial"/>
                <w:sz w:val="20"/>
                <w:szCs w:val="20"/>
              </w:rPr>
              <w:t>experts de catégorie VI pour poser les bases d</w:t>
            </w:r>
            <w:r w:rsidR="00ED6BBD">
              <w:rPr>
                <w:rFonts w:ascii="Arial" w:hAnsi="Arial"/>
                <w:sz w:val="20"/>
                <w:szCs w:val="20"/>
              </w:rPr>
              <w:t>’</w:t>
            </w:r>
            <w:r>
              <w:rPr>
                <w:rFonts w:ascii="Arial" w:hAnsi="Arial"/>
                <w:sz w:val="20"/>
                <w:szCs w:val="20"/>
              </w:rPr>
              <w:t xml:space="preserve">un cadre global de résultats pour la Convention </w:t>
            </w:r>
          </w:p>
          <w:p w14:paraId="703C69B4" w14:textId="138AAFA8" w:rsidR="002021ED" w:rsidRDefault="00B062AD" w:rsidP="00B973F3">
            <w:pPr>
              <w:pStyle w:val="ListParagraph"/>
              <w:numPr>
                <w:ilvl w:val="0"/>
                <w:numId w:val="37"/>
              </w:numPr>
              <w:spacing w:before="60" w:after="60"/>
              <w:ind w:left="360"/>
              <w:contextualSpacing w:val="0"/>
              <w:rPr>
                <w:rFonts w:ascii="Arial" w:eastAsia="Calibri" w:hAnsi="Arial" w:cs="Arial"/>
                <w:sz w:val="20"/>
                <w:szCs w:val="20"/>
              </w:rPr>
            </w:pPr>
            <w:r>
              <w:rPr>
                <w:rFonts w:ascii="Arial" w:hAnsi="Arial"/>
                <w:sz w:val="20"/>
                <w:szCs w:val="20"/>
              </w:rPr>
              <w:lastRenderedPageBreak/>
              <w:t>Création d</w:t>
            </w:r>
            <w:r w:rsidR="00ED6BBD">
              <w:rPr>
                <w:rFonts w:ascii="Arial" w:hAnsi="Arial"/>
                <w:sz w:val="20"/>
                <w:szCs w:val="20"/>
              </w:rPr>
              <w:t>’</w:t>
            </w:r>
            <w:r>
              <w:rPr>
                <w:rFonts w:ascii="Arial" w:hAnsi="Arial"/>
                <w:sz w:val="20"/>
                <w:szCs w:val="20"/>
              </w:rPr>
              <w:t>un groupe de travail intergouvernemental à composition non limitée pour examiner les recommandations préliminaires sur de possibles directives</w:t>
            </w:r>
          </w:p>
          <w:p w14:paraId="308DED9D" w14:textId="6289BBC9" w:rsidR="00842D1A" w:rsidRPr="001C6031" w:rsidRDefault="00B062AD" w:rsidP="00B973F3">
            <w:pPr>
              <w:pStyle w:val="ListParagraph"/>
              <w:numPr>
                <w:ilvl w:val="0"/>
                <w:numId w:val="37"/>
              </w:numPr>
              <w:spacing w:before="60" w:after="60"/>
              <w:ind w:left="360"/>
              <w:contextualSpacing w:val="0"/>
              <w:rPr>
                <w:rFonts w:ascii="Arial" w:eastAsia="Calibri" w:hAnsi="Arial" w:cs="Arial"/>
                <w:sz w:val="20"/>
                <w:szCs w:val="20"/>
              </w:rPr>
            </w:pPr>
            <w:r>
              <w:rPr>
                <w:rFonts w:ascii="Arial" w:hAnsi="Arial"/>
                <w:sz w:val="20"/>
                <w:szCs w:val="20"/>
              </w:rPr>
              <w:t>Élaboration d</w:t>
            </w:r>
            <w:r w:rsidR="00ED6BBD">
              <w:rPr>
                <w:rFonts w:ascii="Arial" w:hAnsi="Arial"/>
                <w:sz w:val="20"/>
                <w:szCs w:val="20"/>
              </w:rPr>
              <w:t>’</w:t>
            </w:r>
            <w:r>
              <w:rPr>
                <w:rFonts w:ascii="Arial" w:hAnsi="Arial"/>
                <w:sz w:val="20"/>
                <w:szCs w:val="20"/>
              </w:rPr>
              <w:t>un outil préliminaire permettant de systématiser la collecte et l</w:t>
            </w:r>
            <w:r w:rsidR="00ED6BBD">
              <w:rPr>
                <w:rFonts w:ascii="Arial" w:hAnsi="Arial"/>
                <w:sz w:val="20"/>
                <w:szCs w:val="20"/>
              </w:rPr>
              <w:t>’</w:t>
            </w:r>
            <w:r>
              <w:rPr>
                <w:rFonts w:ascii="Arial" w:hAnsi="Arial"/>
                <w:sz w:val="20"/>
                <w:szCs w:val="20"/>
              </w:rPr>
              <w:t>analyse des données afin de suivre la mise en œuvre de la Convention.</w:t>
            </w:r>
          </w:p>
        </w:tc>
        <w:tc>
          <w:tcPr>
            <w:tcW w:w="3969" w:type="dxa"/>
            <w:shd w:val="clear" w:color="auto" w:fill="auto"/>
          </w:tcPr>
          <w:p w14:paraId="47CBDF83" w14:textId="2C056B37" w:rsidR="00DA49F6" w:rsidRPr="00B973F3" w:rsidRDefault="00B062AD" w:rsidP="00951F05">
            <w:pPr>
              <w:pStyle w:val="ListParagraph"/>
              <w:numPr>
                <w:ilvl w:val="0"/>
                <w:numId w:val="37"/>
              </w:numPr>
              <w:spacing w:before="360" w:after="60"/>
              <w:ind w:left="357" w:hanging="357"/>
              <w:contextualSpacing w:val="0"/>
              <w:rPr>
                <w:rFonts w:ascii="Arial" w:eastAsia="Calibri" w:hAnsi="Arial" w:cs="Arial"/>
                <w:sz w:val="20"/>
                <w:szCs w:val="20"/>
              </w:rPr>
            </w:pPr>
            <w:r>
              <w:rPr>
                <w:rFonts w:ascii="Arial" w:hAnsi="Arial"/>
                <w:sz w:val="20"/>
                <w:szCs w:val="20"/>
              </w:rPr>
              <w:lastRenderedPageBreak/>
              <w:t>Mise au point d</w:t>
            </w:r>
            <w:r w:rsidR="00ED6BBD">
              <w:rPr>
                <w:rFonts w:ascii="Arial" w:hAnsi="Arial"/>
                <w:sz w:val="20"/>
                <w:szCs w:val="20"/>
              </w:rPr>
              <w:t>’</w:t>
            </w:r>
            <w:r>
              <w:rPr>
                <w:rFonts w:ascii="Arial" w:hAnsi="Arial"/>
                <w:sz w:val="20"/>
                <w:szCs w:val="20"/>
              </w:rPr>
              <w:t>une carte de résultats à l</w:t>
            </w:r>
            <w:r w:rsidR="00ED6BBD">
              <w:rPr>
                <w:rFonts w:ascii="Arial" w:hAnsi="Arial"/>
                <w:sz w:val="20"/>
                <w:szCs w:val="20"/>
              </w:rPr>
              <w:t>’</w:t>
            </w:r>
            <w:r>
              <w:rPr>
                <w:rFonts w:ascii="Arial" w:hAnsi="Arial"/>
                <w:sz w:val="20"/>
                <w:szCs w:val="20"/>
              </w:rPr>
              <w:t>issue d</w:t>
            </w:r>
            <w:r w:rsidR="00ED6BBD">
              <w:rPr>
                <w:rFonts w:ascii="Arial" w:hAnsi="Arial"/>
                <w:sz w:val="20"/>
                <w:szCs w:val="20"/>
              </w:rPr>
              <w:t>’</w:t>
            </w:r>
            <w:r>
              <w:rPr>
                <w:rFonts w:ascii="Arial" w:hAnsi="Arial"/>
                <w:sz w:val="20"/>
                <w:szCs w:val="20"/>
              </w:rPr>
              <w:t>une réunion préliminaire d</w:t>
            </w:r>
            <w:r w:rsidR="00ED6BBD">
              <w:rPr>
                <w:rFonts w:ascii="Arial" w:hAnsi="Arial"/>
                <w:sz w:val="20"/>
                <w:szCs w:val="20"/>
              </w:rPr>
              <w:t>’</w:t>
            </w:r>
            <w:r>
              <w:rPr>
                <w:rFonts w:ascii="Arial" w:hAnsi="Arial"/>
                <w:sz w:val="20"/>
                <w:szCs w:val="20"/>
              </w:rPr>
              <w:t>experts de catégorie VI organisée en 2016</w:t>
            </w:r>
          </w:p>
          <w:p w14:paraId="734A90DC" w14:textId="6B1218FB" w:rsidR="00DA49F6" w:rsidRPr="00732E6E" w:rsidRDefault="00814EB2" w:rsidP="00951F05">
            <w:pPr>
              <w:pStyle w:val="ListParagraph"/>
              <w:numPr>
                <w:ilvl w:val="0"/>
                <w:numId w:val="37"/>
              </w:numPr>
              <w:spacing w:before="60" w:after="60"/>
              <w:ind w:left="357" w:hanging="357"/>
              <w:contextualSpacing w:val="0"/>
              <w:rPr>
                <w:rFonts w:ascii="Arial" w:eastAsia="Calibri" w:hAnsi="Arial" w:cs="Arial"/>
                <w:sz w:val="20"/>
                <w:szCs w:val="20"/>
              </w:rPr>
            </w:pPr>
            <w:r>
              <w:rPr>
                <w:rFonts w:ascii="Arial" w:hAnsi="Arial"/>
                <w:sz w:val="20"/>
                <w:szCs w:val="20"/>
              </w:rPr>
              <w:t xml:space="preserve">Projet de cadre global de résultats pour la Convention développé par le groupe de travail intergouvernemental à composition </w:t>
            </w:r>
            <w:r>
              <w:rPr>
                <w:rFonts w:ascii="Arial" w:hAnsi="Arial"/>
                <w:sz w:val="20"/>
                <w:szCs w:val="20"/>
              </w:rPr>
              <w:lastRenderedPageBreak/>
              <w:t xml:space="preserve">non limitée et approuvé par </w:t>
            </w:r>
            <w:r w:rsidR="004E0267">
              <w:rPr>
                <w:rFonts w:ascii="Arial" w:hAnsi="Arial"/>
                <w:sz w:val="20"/>
                <w:szCs w:val="20"/>
              </w:rPr>
              <w:t xml:space="preserve">la </w:t>
            </w:r>
            <w:r>
              <w:rPr>
                <w:rFonts w:ascii="Arial" w:hAnsi="Arial"/>
                <w:sz w:val="20"/>
                <w:szCs w:val="20"/>
              </w:rPr>
              <w:t>12 COM</w:t>
            </w:r>
          </w:p>
          <w:p w14:paraId="4FE15E00" w14:textId="7604648A" w:rsidR="00DA49F6" w:rsidRPr="00B973F3" w:rsidRDefault="000A0CE6" w:rsidP="00B973F3">
            <w:pPr>
              <w:pStyle w:val="ListParagraph"/>
              <w:numPr>
                <w:ilvl w:val="0"/>
                <w:numId w:val="37"/>
              </w:numPr>
              <w:spacing w:before="60" w:after="60"/>
              <w:ind w:left="357" w:hanging="357"/>
              <w:contextualSpacing w:val="0"/>
              <w:rPr>
                <w:rFonts w:ascii="Arial" w:eastAsia="Calibri" w:hAnsi="Arial" w:cs="Arial"/>
                <w:sz w:val="20"/>
                <w:szCs w:val="20"/>
              </w:rPr>
            </w:pPr>
            <w:r>
              <w:rPr>
                <w:rFonts w:ascii="Arial" w:hAnsi="Arial"/>
                <w:sz w:val="20"/>
                <w:szCs w:val="20"/>
              </w:rPr>
              <w:t xml:space="preserve">Lancement par </w:t>
            </w:r>
            <w:r w:rsidR="004E0267">
              <w:rPr>
                <w:rFonts w:ascii="Arial" w:hAnsi="Arial"/>
                <w:sz w:val="20"/>
                <w:szCs w:val="20"/>
              </w:rPr>
              <w:t xml:space="preserve">la </w:t>
            </w:r>
            <w:r>
              <w:rPr>
                <w:rFonts w:ascii="Arial" w:hAnsi="Arial"/>
                <w:sz w:val="20"/>
                <w:szCs w:val="20"/>
              </w:rPr>
              <w:t>12 COM d</w:t>
            </w:r>
            <w:r w:rsidR="00ED6BBD">
              <w:rPr>
                <w:rFonts w:ascii="Arial" w:hAnsi="Arial"/>
                <w:sz w:val="20"/>
                <w:szCs w:val="20"/>
              </w:rPr>
              <w:t>’</w:t>
            </w:r>
            <w:r>
              <w:rPr>
                <w:rFonts w:ascii="Arial" w:hAnsi="Arial"/>
                <w:sz w:val="20"/>
                <w:szCs w:val="20"/>
              </w:rPr>
              <w:t>une réforme du mécanisme des rapports périodiques, afin qu</w:t>
            </w:r>
            <w:r w:rsidR="00ED6BBD">
              <w:rPr>
                <w:rFonts w:ascii="Arial" w:hAnsi="Arial"/>
                <w:sz w:val="20"/>
                <w:szCs w:val="20"/>
              </w:rPr>
              <w:t>’</w:t>
            </w:r>
            <w:r>
              <w:rPr>
                <w:rFonts w:ascii="Arial" w:hAnsi="Arial"/>
                <w:sz w:val="20"/>
                <w:szCs w:val="20"/>
              </w:rPr>
              <w:t>ils servent de sources de données pour le suivi de la mise en œuvre de la Convention.</w:t>
            </w:r>
          </w:p>
        </w:tc>
        <w:tc>
          <w:tcPr>
            <w:tcW w:w="1922" w:type="dxa"/>
          </w:tcPr>
          <w:p w14:paraId="3C31977A" w14:textId="51DF31BC" w:rsidR="00842D1A" w:rsidRPr="001C6031" w:rsidRDefault="00850A0B" w:rsidP="00B973F3">
            <w:pPr>
              <w:spacing w:before="360" w:after="60"/>
              <w:jc w:val="center"/>
              <w:rPr>
                <w:rFonts w:ascii="Arial" w:eastAsia="Calibri" w:hAnsi="Arial" w:cs="Arial"/>
                <w:sz w:val="20"/>
                <w:szCs w:val="20"/>
              </w:rPr>
            </w:pPr>
            <w:r>
              <w:rPr>
                <w:rFonts w:ascii="Arial" w:hAnsi="Arial"/>
                <w:sz w:val="20"/>
                <w:szCs w:val="20"/>
              </w:rPr>
              <w:lastRenderedPageBreak/>
              <w:t>Accomplie</w:t>
            </w:r>
          </w:p>
        </w:tc>
      </w:tr>
    </w:tbl>
    <w:p w14:paraId="018F7D83" w14:textId="2FCB8FC8" w:rsidR="00A74D6C" w:rsidRPr="001C6031" w:rsidRDefault="00A74D6C" w:rsidP="005F7CB2">
      <w:pPr>
        <w:keepNext/>
        <w:spacing w:before="240" w:after="120"/>
        <w:rPr>
          <w:rFonts w:ascii="Arial" w:hAnsi="Arial" w:cs="Arial"/>
          <w:b/>
          <w:sz w:val="22"/>
          <w:szCs w:val="22"/>
        </w:rPr>
      </w:pPr>
      <w:r>
        <w:rPr>
          <w:rFonts w:ascii="Arial" w:hAnsi="Arial"/>
          <w:b/>
          <w:sz w:val="22"/>
          <w:szCs w:val="22"/>
        </w:rPr>
        <w:t>Défis et risques rencontrés dans la mise en œuvre et mesures correctives</w:t>
      </w:r>
    </w:p>
    <w:tbl>
      <w:tblPr>
        <w:tblStyle w:val="TableGrid"/>
        <w:tblW w:w="5000" w:type="pct"/>
        <w:tblLook w:val="04A0" w:firstRow="1" w:lastRow="0" w:firstColumn="1" w:lastColumn="0" w:noHBand="0" w:noVBand="1"/>
      </w:tblPr>
      <w:tblGrid>
        <w:gridCol w:w="4814"/>
        <w:gridCol w:w="4814"/>
      </w:tblGrid>
      <w:tr w:rsidR="00A74D6C" w:rsidRPr="001C6031" w14:paraId="3B47F251" w14:textId="77777777" w:rsidTr="00907D3B">
        <w:trPr>
          <w:tblHeader/>
        </w:trPr>
        <w:tc>
          <w:tcPr>
            <w:tcW w:w="2500" w:type="pct"/>
            <w:shd w:val="clear" w:color="auto" w:fill="D9D9D9"/>
          </w:tcPr>
          <w:p w14:paraId="78CEB632" w14:textId="77777777" w:rsidR="00A74D6C" w:rsidRPr="001C6031" w:rsidRDefault="00A74D6C" w:rsidP="005F7CB2">
            <w:pPr>
              <w:keepNext/>
              <w:spacing w:before="120" w:after="120"/>
              <w:jc w:val="center"/>
              <w:rPr>
                <w:rFonts w:ascii="Arial" w:hAnsi="Arial" w:cs="Arial"/>
                <w:b/>
                <w:sz w:val="20"/>
                <w:szCs w:val="20"/>
              </w:rPr>
            </w:pPr>
            <w:r>
              <w:rPr>
                <w:rFonts w:ascii="Arial" w:hAnsi="Arial"/>
                <w:b/>
                <w:sz w:val="20"/>
                <w:szCs w:val="20"/>
              </w:rPr>
              <w:t>Principaux défis</w:t>
            </w:r>
          </w:p>
        </w:tc>
        <w:tc>
          <w:tcPr>
            <w:tcW w:w="2500" w:type="pct"/>
            <w:shd w:val="clear" w:color="auto" w:fill="D9D9D9"/>
          </w:tcPr>
          <w:p w14:paraId="2D30916E" w14:textId="77777777" w:rsidR="00A74D6C" w:rsidRPr="001C6031" w:rsidRDefault="00A74D6C" w:rsidP="005F7CB2">
            <w:pPr>
              <w:keepNext/>
              <w:spacing w:before="120" w:after="120"/>
              <w:jc w:val="center"/>
              <w:rPr>
                <w:rFonts w:ascii="Arial" w:hAnsi="Arial" w:cs="Arial"/>
                <w:b/>
                <w:sz w:val="20"/>
                <w:szCs w:val="20"/>
              </w:rPr>
            </w:pPr>
            <w:r>
              <w:rPr>
                <w:rFonts w:ascii="Arial" w:hAnsi="Arial"/>
                <w:b/>
                <w:sz w:val="20"/>
                <w:szCs w:val="20"/>
              </w:rPr>
              <w:t>Mesures correctives</w:t>
            </w:r>
          </w:p>
        </w:tc>
      </w:tr>
      <w:tr w:rsidR="00DA49F6" w:rsidRPr="00DD6C76" w14:paraId="562784FF" w14:textId="77777777" w:rsidTr="00C410E4">
        <w:tc>
          <w:tcPr>
            <w:tcW w:w="2500" w:type="pct"/>
            <w:tcBorders>
              <w:bottom w:val="single" w:sz="4" w:space="0" w:color="000000"/>
            </w:tcBorders>
          </w:tcPr>
          <w:p w14:paraId="5227E098" w14:textId="6661B2E3" w:rsidR="00DA49F6" w:rsidRPr="001C6031" w:rsidRDefault="000A0CE6" w:rsidP="00765472">
            <w:pPr>
              <w:spacing w:before="60" w:after="60"/>
              <w:jc w:val="both"/>
              <w:rPr>
                <w:rFonts w:ascii="Arial" w:hAnsi="Arial" w:cs="Arial"/>
                <w:sz w:val="20"/>
                <w:szCs w:val="20"/>
              </w:rPr>
            </w:pPr>
            <w:r>
              <w:rPr>
                <w:rFonts w:ascii="Arial" w:hAnsi="Arial"/>
                <w:sz w:val="20"/>
                <w:szCs w:val="20"/>
              </w:rPr>
              <w:t>La mise au point d</w:t>
            </w:r>
            <w:r w:rsidR="00ED6BBD">
              <w:rPr>
                <w:rFonts w:ascii="Arial" w:hAnsi="Arial"/>
                <w:sz w:val="20"/>
                <w:szCs w:val="20"/>
              </w:rPr>
              <w:t>’</w:t>
            </w:r>
            <w:r>
              <w:rPr>
                <w:rFonts w:ascii="Arial" w:hAnsi="Arial"/>
                <w:sz w:val="20"/>
                <w:szCs w:val="20"/>
              </w:rPr>
              <w:t>un cadre global de résultats a nécessité une grande expertise, non seulement en matière de sauvegarde du patrimoine culturel immatériel mais aussi dans les domaines du suivi et de l</w:t>
            </w:r>
            <w:r w:rsidR="00ED6BBD">
              <w:rPr>
                <w:rFonts w:ascii="Arial" w:hAnsi="Arial"/>
                <w:sz w:val="20"/>
                <w:szCs w:val="20"/>
              </w:rPr>
              <w:t>’</w:t>
            </w:r>
            <w:r>
              <w:rPr>
                <w:rFonts w:ascii="Arial" w:hAnsi="Arial"/>
                <w:sz w:val="20"/>
                <w:szCs w:val="20"/>
              </w:rPr>
              <w:t>évaluation. L</w:t>
            </w:r>
            <w:r w:rsidR="00ED6BBD">
              <w:rPr>
                <w:rFonts w:ascii="Arial" w:hAnsi="Arial"/>
                <w:sz w:val="20"/>
                <w:szCs w:val="20"/>
              </w:rPr>
              <w:t>’</w:t>
            </w:r>
            <w:r>
              <w:rPr>
                <w:rFonts w:ascii="Arial" w:hAnsi="Arial"/>
                <w:sz w:val="20"/>
                <w:szCs w:val="20"/>
              </w:rPr>
              <w:t>équipe d</w:t>
            </w:r>
            <w:r w:rsidR="00ED6BBD">
              <w:rPr>
                <w:rFonts w:ascii="Arial" w:hAnsi="Arial"/>
                <w:sz w:val="20"/>
                <w:szCs w:val="20"/>
              </w:rPr>
              <w:t>’</w:t>
            </w:r>
            <w:r>
              <w:rPr>
                <w:rFonts w:ascii="Arial" w:hAnsi="Arial"/>
                <w:sz w:val="20"/>
                <w:szCs w:val="20"/>
              </w:rPr>
              <w:t>experts et de facilitateurs qui coopère habituellement avec le Secrétariat de l</w:t>
            </w:r>
            <w:r w:rsidR="00ED6BBD">
              <w:rPr>
                <w:rFonts w:ascii="Arial" w:hAnsi="Arial"/>
                <w:sz w:val="20"/>
                <w:szCs w:val="20"/>
              </w:rPr>
              <w:t>’</w:t>
            </w:r>
            <w:r>
              <w:rPr>
                <w:rFonts w:ascii="Arial" w:hAnsi="Arial"/>
                <w:sz w:val="20"/>
                <w:szCs w:val="20"/>
              </w:rPr>
              <w:t>UNESCO ne compte pas de spécialistes du suivi, de l</w:t>
            </w:r>
            <w:r w:rsidR="00ED6BBD">
              <w:rPr>
                <w:rFonts w:ascii="Arial" w:hAnsi="Arial"/>
                <w:sz w:val="20"/>
                <w:szCs w:val="20"/>
              </w:rPr>
              <w:t>’</w:t>
            </w:r>
            <w:r>
              <w:rPr>
                <w:rFonts w:ascii="Arial" w:hAnsi="Arial"/>
                <w:sz w:val="20"/>
                <w:szCs w:val="20"/>
              </w:rPr>
              <w:t>évaluation ou de la gestion axée sur les résultats (GAR). Même pour la réunion organisée en 2016, il a été difficile de trouver des experts disposant à la fois de bonnes connaissances sur le patrimoine culturel immatériel et d</w:t>
            </w:r>
            <w:r w:rsidR="00ED6BBD">
              <w:rPr>
                <w:rFonts w:ascii="Arial" w:hAnsi="Arial"/>
                <w:sz w:val="20"/>
                <w:szCs w:val="20"/>
              </w:rPr>
              <w:t>’</w:t>
            </w:r>
            <w:r>
              <w:rPr>
                <w:rFonts w:ascii="Arial" w:hAnsi="Arial"/>
                <w:sz w:val="20"/>
                <w:szCs w:val="20"/>
              </w:rPr>
              <w:t>une maîtrise de l</w:t>
            </w:r>
            <w:r w:rsidR="00ED6BBD">
              <w:rPr>
                <w:rFonts w:ascii="Arial" w:hAnsi="Arial"/>
                <w:sz w:val="20"/>
                <w:szCs w:val="20"/>
              </w:rPr>
              <w:t>’</w:t>
            </w:r>
            <w:r>
              <w:rPr>
                <w:rFonts w:ascii="Arial" w:hAnsi="Arial"/>
                <w:sz w:val="20"/>
                <w:szCs w:val="20"/>
              </w:rPr>
              <w:t>approche de GAR.</w:t>
            </w:r>
          </w:p>
        </w:tc>
        <w:tc>
          <w:tcPr>
            <w:tcW w:w="2500" w:type="pct"/>
            <w:tcBorders>
              <w:bottom w:val="single" w:sz="4" w:space="0" w:color="000000"/>
            </w:tcBorders>
          </w:tcPr>
          <w:p w14:paraId="5EE018E2" w14:textId="5D813DAC" w:rsidR="00DA49F6" w:rsidRPr="001C6031" w:rsidRDefault="00DA49F6" w:rsidP="004E0267">
            <w:pPr>
              <w:spacing w:before="60" w:after="60"/>
              <w:jc w:val="both"/>
              <w:rPr>
                <w:rFonts w:ascii="Arial" w:hAnsi="Arial" w:cs="Arial"/>
                <w:sz w:val="20"/>
                <w:szCs w:val="20"/>
              </w:rPr>
            </w:pPr>
            <w:r>
              <w:rPr>
                <w:rFonts w:ascii="Arial" w:hAnsi="Arial"/>
                <w:sz w:val="20"/>
                <w:szCs w:val="20"/>
              </w:rPr>
              <w:t>De vastes recherches ont été menées pour identifier quelques spécialistes expérimentés dans les domaines du suivi et de l</w:t>
            </w:r>
            <w:r w:rsidR="00ED6BBD">
              <w:rPr>
                <w:rFonts w:ascii="Arial" w:hAnsi="Arial"/>
                <w:sz w:val="20"/>
                <w:szCs w:val="20"/>
              </w:rPr>
              <w:t>’</w:t>
            </w:r>
            <w:r>
              <w:rPr>
                <w:rFonts w:ascii="Arial" w:hAnsi="Arial"/>
                <w:sz w:val="20"/>
                <w:szCs w:val="20"/>
              </w:rPr>
              <w:t>évaluation mais aussi du patrimoine culturel immatériel. Certains d</w:t>
            </w:r>
            <w:r w:rsidR="00ED6BBD">
              <w:rPr>
                <w:rFonts w:ascii="Arial" w:hAnsi="Arial"/>
                <w:sz w:val="20"/>
                <w:szCs w:val="20"/>
              </w:rPr>
              <w:t>’</w:t>
            </w:r>
            <w:r>
              <w:rPr>
                <w:rFonts w:ascii="Arial" w:hAnsi="Arial"/>
                <w:sz w:val="20"/>
                <w:szCs w:val="20"/>
              </w:rPr>
              <w:t>entre eux ont également été invités à travailler avec le Secrétariat pour préparer les deux réunions, les documents de travail et les présentations. Une équipe de quatre spécialistes aux domaines d</w:t>
            </w:r>
            <w:r w:rsidR="00ED6BBD">
              <w:rPr>
                <w:rFonts w:ascii="Arial" w:hAnsi="Arial"/>
                <w:sz w:val="20"/>
                <w:szCs w:val="20"/>
              </w:rPr>
              <w:t>’</w:t>
            </w:r>
            <w:r>
              <w:rPr>
                <w:rFonts w:ascii="Arial" w:hAnsi="Arial"/>
                <w:sz w:val="20"/>
                <w:szCs w:val="20"/>
              </w:rPr>
              <w:t xml:space="preserve">expertise différents a aidé le Secrétariat à </w:t>
            </w:r>
            <w:r w:rsidR="004E0267">
              <w:rPr>
                <w:rFonts w:ascii="Arial" w:hAnsi="Arial"/>
                <w:sz w:val="20"/>
                <w:szCs w:val="20"/>
              </w:rPr>
              <w:t>préparer les travaux du</w:t>
            </w:r>
            <w:r>
              <w:rPr>
                <w:rFonts w:ascii="Arial" w:hAnsi="Arial"/>
                <w:sz w:val="20"/>
                <w:szCs w:val="20"/>
              </w:rPr>
              <w:t xml:space="preserve"> groupe de travail à composition non limitée.</w:t>
            </w:r>
          </w:p>
        </w:tc>
      </w:tr>
      <w:tr w:rsidR="00DA49F6" w:rsidRPr="00DD6C76" w14:paraId="331C519A" w14:textId="77777777" w:rsidTr="00203F98">
        <w:tc>
          <w:tcPr>
            <w:tcW w:w="2500" w:type="pct"/>
          </w:tcPr>
          <w:p w14:paraId="61AC1EFE" w14:textId="04619494" w:rsidR="00DA49F6" w:rsidRDefault="00DA49F6" w:rsidP="00D403F3">
            <w:pPr>
              <w:spacing w:before="60" w:after="60"/>
              <w:jc w:val="both"/>
              <w:rPr>
                <w:rFonts w:ascii="Arial" w:hAnsi="Arial" w:cs="Arial"/>
                <w:sz w:val="20"/>
                <w:szCs w:val="20"/>
              </w:rPr>
            </w:pPr>
            <w:r>
              <w:rPr>
                <w:rFonts w:ascii="Arial" w:hAnsi="Arial"/>
                <w:sz w:val="20"/>
                <w:szCs w:val="20"/>
              </w:rPr>
              <w:t>Au début du processus d</w:t>
            </w:r>
            <w:r w:rsidR="00ED6BBD">
              <w:rPr>
                <w:rFonts w:ascii="Arial" w:hAnsi="Arial"/>
                <w:sz w:val="20"/>
                <w:szCs w:val="20"/>
              </w:rPr>
              <w:t>’</w:t>
            </w:r>
            <w:r>
              <w:rPr>
                <w:rFonts w:ascii="Arial" w:hAnsi="Arial"/>
                <w:sz w:val="20"/>
                <w:szCs w:val="20"/>
              </w:rPr>
              <w:t>élaboration du cadre global de résultats, les fonds nécessaires à la convocation d</w:t>
            </w:r>
            <w:r w:rsidR="00ED6BBD">
              <w:rPr>
                <w:rFonts w:ascii="Arial" w:hAnsi="Arial"/>
                <w:sz w:val="20"/>
                <w:szCs w:val="20"/>
              </w:rPr>
              <w:t>’</w:t>
            </w:r>
            <w:r>
              <w:rPr>
                <w:rFonts w:ascii="Arial" w:hAnsi="Arial"/>
                <w:sz w:val="20"/>
                <w:szCs w:val="20"/>
              </w:rPr>
              <w:t>un groupe de travail intergouvernemental à composition non limitée (objet de la décision 9.COM 13 e) n</w:t>
            </w:r>
            <w:r w:rsidR="00ED6BBD">
              <w:rPr>
                <w:rFonts w:ascii="Arial" w:hAnsi="Arial"/>
                <w:sz w:val="20"/>
                <w:szCs w:val="20"/>
              </w:rPr>
              <w:t>’</w:t>
            </w:r>
            <w:r>
              <w:rPr>
                <w:rFonts w:ascii="Arial" w:hAnsi="Arial"/>
                <w:sz w:val="20"/>
                <w:szCs w:val="20"/>
              </w:rPr>
              <w:t>étaient pas disponibles.</w:t>
            </w:r>
          </w:p>
        </w:tc>
        <w:tc>
          <w:tcPr>
            <w:tcW w:w="2500" w:type="pct"/>
          </w:tcPr>
          <w:p w14:paraId="232DE7A4" w14:textId="67EE4B83" w:rsidR="00DA49F6" w:rsidRDefault="00DA49F6">
            <w:pPr>
              <w:spacing w:before="60" w:after="60"/>
              <w:jc w:val="both"/>
              <w:rPr>
                <w:rFonts w:ascii="Arial" w:hAnsi="Arial" w:cs="Arial"/>
                <w:sz w:val="20"/>
                <w:szCs w:val="20"/>
              </w:rPr>
            </w:pPr>
            <w:r>
              <w:rPr>
                <w:rFonts w:ascii="Arial" w:hAnsi="Arial"/>
                <w:sz w:val="20"/>
                <w:szCs w:val="20"/>
              </w:rPr>
              <w:t>Dans un premier temps, la Commission nationale de la République populaire de Chine pour l</w:t>
            </w:r>
            <w:r w:rsidR="00ED6BBD">
              <w:rPr>
                <w:rFonts w:ascii="Arial" w:hAnsi="Arial"/>
                <w:sz w:val="20"/>
                <w:szCs w:val="20"/>
              </w:rPr>
              <w:t>’</w:t>
            </w:r>
            <w:r>
              <w:rPr>
                <w:rFonts w:ascii="Arial" w:hAnsi="Arial"/>
                <w:sz w:val="20"/>
                <w:szCs w:val="20"/>
              </w:rPr>
              <w:t>UNESCO a proposé de soutenir une réunion plus restreinte d</w:t>
            </w:r>
            <w:r w:rsidR="00ED6BBD">
              <w:rPr>
                <w:rFonts w:ascii="Arial" w:hAnsi="Arial"/>
                <w:sz w:val="20"/>
                <w:szCs w:val="20"/>
              </w:rPr>
              <w:t>’</w:t>
            </w:r>
            <w:r>
              <w:rPr>
                <w:rFonts w:ascii="Arial" w:hAnsi="Arial"/>
                <w:sz w:val="20"/>
                <w:szCs w:val="20"/>
              </w:rPr>
              <w:t>experts afin qu</w:t>
            </w:r>
            <w:r w:rsidR="00ED6BBD">
              <w:rPr>
                <w:rFonts w:ascii="Arial" w:hAnsi="Arial"/>
                <w:sz w:val="20"/>
                <w:szCs w:val="20"/>
              </w:rPr>
              <w:t>’</w:t>
            </w:r>
            <w:r>
              <w:rPr>
                <w:rFonts w:ascii="Arial" w:hAnsi="Arial"/>
                <w:sz w:val="20"/>
                <w:szCs w:val="20"/>
              </w:rPr>
              <w:t>ils élaborent un cadre préliminaire qui serait soumis à un groupe de travail intergouvernemental ultérieur. La réunion d</w:t>
            </w:r>
            <w:r w:rsidR="00ED6BBD">
              <w:rPr>
                <w:rFonts w:ascii="Arial" w:hAnsi="Arial"/>
                <w:sz w:val="20"/>
                <w:szCs w:val="20"/>
              </w:rPr>
              <w:t>’</w:t>
            </w:r>
            <w:r>
              <w:rPr>
                <w:rFonts w:ascii="Arial" w:hAnsi="Arial"/>
                <w:sz w:val="20"/>
                <w:szCs w:val="20"/>
              </w:rPr>
              <w:t xml:space="preserve">experts de catégorie VI qui a été convoquée a permis de préparer une première carte de résultats, </w:t>
            </w:r>
            <w:r w:rsidR="004E0267">
              <w:rPr>
                <w:rFonts w:ascii="Arial" w:hAnsi="Arial"/>
                <w:sz w:val="20"/>
                <w:szCs w:val="20"/>
              </w:rPr>
              <w:t>qui s</w:t>
            </w:r>
            <w:r w:rsidR="00ED6BBD">
              <w:rPr>
                <w:rFonts w:ascii="Arial" w:hAnsi="Arial"/>
                <w:sz w:val="20"/>
                <w:szCs w:val="20"/>
              </w:rPr>
              <w:t>’</w:t>
            </w:r>
            <w:r w:rsidR="004E0267">
              <w:rPr>
                <w:rFonts w:ascii="Arial" w:hAnsi="Arial"/>
                <w:sz w:val="20"/>
                <w:szCs w:val="20"/>
              </w:rPr>
              <w:t xml:space="preserve">est avérée </w:t>
            </w:r>
            <w:r>
              <w:rPr>
                <w:rFonts w:ascii="Arial" w:hAnsi="Arial"/>
                <w:sz w:val="20"/>
                <w:szCs w:val="20"/>
              </w:rPr>
              <w:t>essentiel en vue de l</w:t>
            </w:r>
            <w:r w:rsidR="00ED6BBD">
              <w:rPr>
                <w:rFonts w:ascii="Arial" w:hAnsi="Arial"/>
                <w:sz w:val="20"/>
                <w:szCs w:val="20"/>
              </w:rPr>
              <w:t>’</w:t>
            </w:r>
            <w:r>
              <w:rPr>
                <w:rFonts w:ascii="Arial" w:hAnsi="Arial"/>
                <w:sz w:val="20"/>
                <w:szCs w:val="20"/>
              </w:rPr>
              <w:t>élaboration du cadre de résultats.</w:t>
            </w:r>
          </w:p>
        </w:tc>
      </w:tr>
    </w:tbl>
    <w:p w14:paraId="552103D4" w14:textId="3BD3D9F9" w:rsidR="00A74D6C" w:rsidRDefault="00A74D6C" w:rsidP="005F7CB2">
      <w:pPr>
        <w:spacing w:before="240" w:after="120"/>
        <w:ind w:left="851" w:hanging="851"/>
        <w:rPr>
          <w:rFonts w:ascii="Arial" w:hAnsi="Arial" w:cs="Arial"/>
          <w:b/>
          <w:bCs/>
          <w:sz w:val="22"/>
          <w:szCs w:val="22"/>
        </w:rPr>
      </w:pPr>
      <w:r>
        <w:rPr>
          <w:rFonts w:ascii="Arial" w:hAnsi="Arial"/>
          <w:b/>
          <w:sz w:val="22"/>
          <w:szCs w:val="22"/>
        </w:rPr>
        <w:t>RE 4 :</w:t>
      </w:r>
      <w:r>
        <w:rPr>
          <w:rFonts w:ascii="Arial" w:hAnsi="Arial"/>
          <w:b/>
          <w:sz w:val="22"/>
          <w:szCs w:val="22"/>
        </w:rPr>
        <w:tab/>
      </w:r>
      <w:r>
        <w:rPr>
          <w:rFonts w:ascii="Arial" w:hAnsi="Arial"/>
          <w:b/>
          <w:bCs/>
          <w:sz w:val="22"/>
          <w:szCs w:val="22"/>
        </w:rPr>
        <w:t>Objectifs de la Convention promus par des actions de sensibilisation et d</w:t>
      </w:r>
      <w:r w:rsidR="00ED6BBD">
        <w:rPr>
          <w:rFonts w:ascii="Arial" w:hAnsi="Arial"/>
          <w:b/>
          <w:bCs/>
          <w:sz w:val="22"/>
          <w:szCs w:val="22"/>
        </w:rPr>
        <w:t>’</w:t>
      </w:r>
      <w:r>
        <w:rPr>
          <w:rFonts w:ascii="Arial" w:hAnsi="Arial"/>
          <w:b/>
          <w:bCs/>
          <w:sz w:val="22"/>
          <w:szCs w:val="22"/>
        </w:rPr>
        <w:t>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6"/>
        <w:gridCol w:w="3876"/>
        <w:gridCol w:w="1876"/>
      </w:tblGrid>
      <w:tr w:rsidR="00A74D6C" w:rsidRPr="001C6031" w14:paraId="67B9B530" w14:textId="77777777" w:rsidTr="00E26B1E">
        <w:tc>
          <w:tcPr>
            <w:tcW w:w="2013" w:type="pct"/>
            <w:shd w:val="clear" w:color="auto" w:fill="C6D9F1"/>
            <w:vAlign w:val="center"/>
          </w:tcPr>
          <w:p w14:paraId="6E9CC92F" w14:textId="77777777" w:rsidR="00A74D6C" w:rsidRPr="001C6031" w:rsidRDefault="00A74D6C" w:rsidP="001F4AB8">
            <w:pPr>
              <w:spacing w:before="60" w:after="60"/>
              <w:jc w:val="center"/>
              <w:rPr>
                <w:rFonts w:ascii="Arial" w:eastAsia="Calibri" w:hAnsi="Arial" w:cs="Arial"/>
                <w:b/>
                <w:sz w:val="20"/>
                <w:szCs w:val="20"/>
              </w:rPr>
            </w:pPr>
            <w:r>
              <w:rPr>
                <w:rFonts w:ascii="Arial" w:hAnsi="Arial"/>
                <w:b/>
                <w:sz w:val="20"/>
                <w:szCs w:val="20"/>
              </w:rPr>
              <w:t>Allocation</w:t>
            </w:r>
          </w:p>
        </w:tc>
        <w:tc>
          <w:tcPr>
            <w:tcW w:w="2013" w:type="pct"/>
            <w:shd w:val="clear" w:color="auto" w:fill="C6D9F1"/>
            <w:vAlign w:val="center"/>
          </w:tcPr>
          <w:p w14:paraId="0FDF02DE" w14:textId="77777777" w:rsidR="00A74D6C" w:rsidRPr="001C6031" w:rsidRDefault="00A74D6C">
            <w:pPr>
              <w:spacing w:before="60" w:after="60"/>
              <w:jc w:val="center"/>
              <w:rPr>
                <w:rFonts w:ascii="Arial" w:eastAsia="Calibri" w:hAnsi="Arial" w:cs="Arial"/>
                <w:b/>
                <w:sz w:val="20"/>
                <w:szCs w:val="20"/>
              </w:rPr>
            </w:pPr>
            <w:r>
              <w:rPr>
                <w:rFonts w:ascii="Arial" w:hAnsi="Arial"/>
                <w:b/>
                <w:sz w:val="20"/>
                <w:szCs w:val="20"/>
              </w:rPr>
              <w:t>Dépenses</w:t>
            </w:r>
          </w:p>
        </w:tc>
        <w:tc>
          <w:tcPr>
            <w:tcW w:w="974" w:type="pct"/>
            <w:shd w:val="clear" w:color="auto" w:fill="C6D9F1"/>
            <w:vAlign w:val="center"/>
          </w:tcPr>
          <w:p w14:paraId="797DBC9C" w14:textId="77777777" w:rsidR="00A74D6C" w:rsidRPr="001C6031" w:rsidRDefault="00A74D6C">
            <w:pPr>
              <w:spacing w:before="60" w:after="60"/>
              <w:jc w:val="center"/>
              <w:rPr>
                <w:rFonts w:ascii="Arial" w:eastAsia="Calibri" w:hAnsi="Arial" w:cs="Arial"/>
                <w:b/>
                <w:sz w:val="20"/>
                <w:szCs w:val="20"/>
              </w:rPr>
            </w:pPr>
            <w:r>
              <w:rPr>
                <w:rFonts w:ascii="Arial" w:hAnsi="Arial"/>
                <w:b/>
                <w:sz w:val="20"/>
                <w:szCs w:val="20"/>
              </w:rPr>
              <w:t>Taux de dépense (%)</w:t>
            </w:r>
          </w:p>
        </w:tc>
      </w:tr>
      <w:tr w:rsidR="00A74D6C" w:rsidRPr="001C6031" w14:paraId="75CE93EF" w14:textId="77777777" w:rsidTr="00203F98">
        <w:tc>
          <w:tcPr>
            <w:tcW w:w="2013" w:type="pct"/>
            <w:shd w:val="clear" w:color="auto" w:fill="auto"/>
          </w:tcPr>
          <w:p w14:paraId="5A68F0D7" w14:textId="1EACC184" w:rsidR="00A74D6C" w:rsidRPr="001C6031" w:rsidRDefault="0076712C" w:rsidP="00826FE8">
            <w:pPr>
              <w:spacing w:before="60" w:after="60"/>
              <w:jc w:val="center"/>
              <w:rPr>
                <w:rFonts w:ascii="Arial" w:eastAsia="Calibri" w:hAnsi="Arial" w:cs="Arial"/>
                <w:sz w:val="20"/>
                <w:szCs w:val="20"/>
              </w:rPr>
            </w:pPr>
            <w:r>
              <w:rPr>
                <w:rFonts w:ascii="Arial" w:hAnsi="Arial"/>
                <w:sz w:val="20"/>
                <w:szCs w:val="20"/>
              </w:rPr>
              <w:t>336 500</w:t>
            </w:r>
          </w:p>
        </w:tc>
        <w:tc>
          <w:tcPr>
            <w:tcW w:w="2013" w:type="pct"/>
            <w:shd w:val="clear" w:color="auto" w:fill="auto"/>
          </w:tcPr>
          <w:p w14:paraId="06EC525C" w14:textId="6488A803" w:rsidR="00A74D6C" w:rsidRPr="001C6031" w:rsidRDefault="0076712C" w:rsidP="00826FE8">
            <w:pPr>
              <w:spacing w:before="60" w:after="60"/>
              <w:jc w:val="center"/>
              <w:rPr>
                <w:rFonts w:ascii="Arial" w:eastAsia="Calibri" w:hAnsi="Arial" w:cs="Arial"/>
                <w:sz w:val="20"/>
                <w:szCs w:val="20"/>
              </w:rPr>
            </w:pPr>
            <w:r>
              <w:rPr>
                <w:rFonts w:ascii="Arial" w:hAnsi="Arial"/>
                <w:sz w:val="20"/>
                <w:szCs w:val="20"/>
              </w:rPr>
              <w:t>280 710</w:t>
            </w:r>
          </w:p>
        </w:tc>
        <w:tc>
          <w:tcPr>
            <w:tcW w:w="974" w:type="pct"/>
            <w:shd w:val="clear" w:color="auto" w:fill="auto"/>
          </w:tcPr>
          <w:p w14:paraId="33203644" w14:textId="67E4F286" w:rsidR="00A74D6C" w:rsidRPr="001C6031" w:rsidRDefault="0076712C" w:rsidP="00826FE8">
            <w:pPr>
              <w:spacing w:before="60" w:after="60"/>
              <w:jc w:val="center"/>
              <w:rPr>
                <w:rFonts w:ascii="Arial" w:eastAsia="Calibri" w:hAnsi="Arial" w:cs="Arial"/>
                <w:sz w:val="20"/>
                <w:szCs w:val="20"/>
              </w:rPr>
            </w:pPr>
            <w:r>
              <w:rPr>
                <w:rFonts w:ascii="Arial" w:hAnsi="Arial"/>
                <w:sz w:val="20"/>
                <w:szCs w:val="20"/>
              </w:rPr>
              <w:t>83,4 %</w:t>
            </w:r>
          </w:p>
        </w:tc>
      </w:tr>
    </w:tbl>
    <w:p w14:paraId="110E31BC" w14:textId="509B1684" w:rsidR="00A74D6C" w:rsidRPr="00B973F3" w:rsidRDefault="00A74D6C" w:rsidP="00B973F3">
      <w:pPr>
        <w:ind w:left="851" w:hanging="851"/>
        <w:rPr>
          <w:rFonts w:ascii="Arial" w:hAnsi="Arial" w:cs="Arial"/>
          <w:bCs/>
          <w:sz w:val="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6"/>
        <w:gridCol w:w="3897"/>
        <w:gridCol w:w="1835"/>
      </w:tblGrid>
      <w:tr w:rsidR="00FF6586" w:rsidRPr="001C6031" w14:paraId="223AE499" w14:textId="645DEF7E" w:rsidTr="00FF6586">
        <w:trPr>
          <w:tblHeader/>
        </w:trPr>
        <w:tc>
          <w:tcPr>
            <w:tcW w:w="2023" w:type="pct"/>
            <w:shd w:val="clear" w:color="auto" w:fill="D9D9D9" w:themeFill="background1" w:themeFillShade="D9"/>
          </w:tcPr>
          <w:p w14:paraId="6896C127" w14:textId="495E0930" w:rsidR="00FF6586" w:rsidRPr="001C6031" w:rsidRDefault="00FF6586" w:rsidP="005F7CB2">
            <w:pPr>
              <w:spacing w:before="60" w:after="60"/>
              <w:jc w:val="center"/>
              <w:rPr>
                <w:rFonts w:ascii="Arial" w:eastAsia="Calibri" w:hAnsi="Arial" w:cs="Arial"/>
                <w:b/>
                <w:sz w:val="20"/>
                <w:szCs w:val="20"/>
              </w:rPr>
            </w:pPr>
            <w:r>
              <w:rPr>
                <w:rFonts w:ascii="Arial" w:hAnsi="Arial"/>
                <w:b/>
                <w:sz w:val="20"/>
                <w:szCs w:val="20"/>
              </w:rPr>
              <w:t>Produit (P)</w:t>
            </w:r>
            <w:r>
              <w:rPr>
                <w:rFonts w:ascii="Arial" w:hAnsi="Arial"/>
                <w:b/>
                <w:sz w:val="20"/>
                <w:szCs w:val="20"/>
              </w:rPr>
              <w:br/>
              <w:t>Indicateurs/Repères (R)</w:t>
            </w:r>
          </w:p>
        </w:tc>
        <w:tc>
          <w:tcPr>
            <w:tcW w:w="2024" w:type="pct"/>
            <w:shd w:val="clear" w:color="auto" w:fill="D9D9D9" w:themeFill="background1" w:themeFillShade="D9"/>
          </w:tcPr>
          <w:p w14:paraId="7A7CD66C" w14:textId="61322F81" w:rsidR="00FF6586" w:rsidRPr="001C6031" w:rsidRDefault="00FF6586" w:rsidP="005F7CB2">
            <w:pPr>
              <w:spacing w:before="60" w:after="60"/>
              <w:jc w:val="center"/>
              <w:rPr>
                <w:rFonts w:ascii="Arial" w:eastAsia="Calibri" w:hAnsi="Arial" w:cs="Arial"/>
                <w:b/>
                <w:sz w:val="20"/>
                <w:szCs w:val="20"/>
              </w:rPr>
            </w:pPr>
            <w:r>
              <w:rPr>
                <w:rFonts w:ascii="Arial" w:hAnsi="Arial"/>
                <w:b/>
                <w:sz w:val="20"/>
                <w:szCs w:val="20"/>
              </w:rPr>
              <w:t>Évaluation des progrès accomplis :</w:t>
            </w:r>
            <w:r>
              <w:rPr>
                <w:rFonts w:ascii="Arial" w:hAnsi="Arial"/>
                <w:b/>
                <w:sz w:val="20"/>
                <w:szCs w:val="20"/>
              </w:rPr>
              <w:br/>
              <w:t>du 01/01/2016 au 31/12/2017</w:t>
            </w:r>
          </w:p>
        </w:tc>
        <w:tc>
          <w:tcPr>
            <w:tcW w:w="953" w:type="pct"/>
            <w:shd w:val="clear" w:color="auto" w:fill="D9D9D9" w:themeFill="background1" w:themeFillShade="D9"/>
            <w:vAlign w:val="center"/>
          </w:tcPr>
          <w:p w14:paraId="02B99FDA" w14:textId="76C62333" w:rsidR="00FF6586" w:rsidRPr="001C6031" w:rsidRDefault="00FF6586" w:rsidP="005F7CB2">
            <w:pPr>
              <w:spacing w:before="60" w:after="60"/>
              <w:jc w:val="center"/>
              <w:rPr>
                <w:rFonts w:ascii="Arial" w:eastAsia="Calibri" w:hAnsi="Arial" w:cs="Arial"/>
                <w:b/>
                <w:sz w:val="20"/>
                <w:szCs w:val="20"/>
              </w:rPr>
            </w:pPr>
            <w:r>
              <w:rPr>
                <w:rFonts w:ascii="Arial" w:hAnsi="Arial"/>
                <w:b/>
                <w:sz w:val="20"/>
                <w:szCs w:val="20"/>
              </w:rPr>
              <w:t>Évaluation de la mise en œuvre</w:t>
            </w:r>
          </w:p>
        </w:tc>
      </w:tr>
      <w:tr w:rsidR="00FF6586" w:rsidRPr="001463D4" w14:paraId="0C84E8DE" w14:textId="263610F7" w:rsidTr="00FF6586">
        <w:tc>
          <w:tcPr>
            <w:tcW w:w="2023" w:type="pct"/>
            <w:shd w:val="clear" w:color="auto" w:fill="auto"/>
          </w:tcPr>
          <w:p w14:paraId="486082B2" w14:textId="4E695111" w:rsidR="00FF6586" w:rsidRPr="001C6031" w:rsidRDefault="00FF6586">
            <w:pPr>
              <w:spacing w:before="60" w:after="60"/>
              <w:rPr>
                <w:rFonts w:ascii="Arial" w:eastAsia="Calibri" w:hAnsi="Arial" w:cs="Arial"/>
                <w:b/>
                <w:sz w:val="20"/>
                <w:szCs w:val="20"/>
              </w:rPr>
            </w:pPr>
            <w:r>
              <w:rPr>
                <w:rFonts w:ascii="Arial" w:hAnsi="Arial"/>
                <w:b/>
                <w:sz w:val="20"/>
                <w:szCs w:val="20"/>
              </w:rPr>
              <w:t>P :</w:t>
            </w:r>
          </w:p>
          <w:p w14:paraId="7271CBB5" w14:textId="37934736" w:rsidR="00AA088F" w:rsidRPr="00AA088F" w:rsidRDefault="00AA088F">
            <w:pPr>
              <w:spacing w:before="60" w:after="60"/>
              <w:rPr>
                <w:rFonts w:ascii="Arial" w:eastAsia="Calibri" w:hAnsi="Arial" w:cs="Arial"/>
                <w:sz w:val="20"/>
                <w:szCs w:val="20"/>
              </w:rPr>
            </w:pPr>
            <w:r>
              <w:rPr>
                <w:rFonts w:ascii="Arial" w:hAnsi="Arial"/>
                <w:sz w:val="20"/>
                <w:szCs w:val="20"/>
              </w:rPr>
              <w:t>Nouveaux partenariats avec des institutions compétentes établis pour intégrer le patrimoine culturel immatériel dans l</w:t>
            </w:r>
            <w:r w:rsidR="00ED6BBD">
              <w:rPr>
                <w:rFonts w:ascii="Arial" w:hAnsi="Arial"/>
                <w:sz w:val="20"/>
                <w:szCs w:val="20"/>
              </w:rPr>
              <w:t>’</w:t>
            </w:r>
            <w:r>
              <w:rPr>
                <w:rFonts w:ascii="Arial" w:hAnsi="Arial"/>
                <w:sz w:val="20"/>
                <w:szCs w:val="20"/>
              </w:rPr>
              <w:t>éducation</w:t>
            </w:r>
          </w:p>
          <w:p w14:paraId="3DD185DF" w14:textId="77777777" w:rsidR="00AA088F" w:rsidRPr="001C6031" w:rsidRDefault="00AA088F">
            <w:pPr>
              <w:spacing w:before="60" w:after="60"/>
              <w:rPr>
                <w:rFonts w:ascii="Arial" w:hAnsi="Arial" w:cs="Arial"/>
                <w:b/>
                <w:sz w:val="20"/>
                <w:szCs w:val="20"/>
              </w:rPr>
            </w:pPr>
            <w:r>
              <w:rPr>
                <w:rFonts w:ascii="Arial" w:hAnsi="Arial"/>
                <w:b/>
                <w:sz w:val="20"/>
                <w:szCs w:val="20"/>
              </w:rPr>
              <w:t>R 2016-2017 :</w:t>
            </w:r>
          </w:p>
          <w:p w14:paraId="679856EF" w14:textId="6373F2D9" w:rsidR="00AA088F" w:rsidRPr="00AA088F" w:rsidRDefault="00AA088F" w:rsidP="00B973F3">
            <w:pPr>
              <w:pStyle w:val="ListParagraph"/>
              <w:numPr>
                <w:ilvl w:val="0"/>
                <w:numId w:val="37"/>
              </w:numPr>
              <w:spacing w:before="60" w:after="60"/>
              <w:ind w:left="360"/>
              <w:contextualSpacing w:val="0"/>
              <w:rPr>
                <w:rFonts w:ascii="Arial" w:eastAsia="Calibri" w:hAnsi="Arial" w:cs="Arial"/>
                <w:sz w:val="20"/>
                <w:szCs w:val="20"/>
              </w:rPr>
            </w:pPr>
            <w:r>
              <w:rPr>
                <w:rFonts w:ascii="Arial" w:hAnsi="Arial"/>
                <w:sz w:val="20"/>
                <w:szCs w:val="20"/>
              </w:rPr>
              <w:lastRenderedPageBreak/>
              <w:t>Organisation d</w:t>
            </w:r>
            <w:r w:rsidR="00ED6BBD">
              <w:rPr>
                <w:rFonts w:ascii="Arial" w:hAnsi="Arial"/>
                <w:sz w:val="20"/>
                <w:szCs w:val="20"/>
              </w:rPr>
              <w:t>’</w:t>
            </w:r>
            <w:r>
              <w:rPr>
                <w:rFonts w:ascii="Arial" w:hAnsi="Arial"/>
                <w:sz w:val="20"/>
                <w:szCs w:val="20"/>
              </w:rPr>
              <w:t>un atelier régional avec des établissements d</w:t>
            </w:r>
            <w:r w:rsidR="00ED6BBD">
              <w:rPr>
                <w:rFonts w:ascii="Arial" w:hAnsi="Arial"/>
                <w:sz w:val="20"/>
                <w:szCs w:val="20"/>
              </w:rPr>
              <w:t>’</w:t>
            </w:r>
            <w:r>
              <w:rPr>
                <w:rFonts w:ascii="Arial" w:hAnsi="Arial"/>
                <w:sz w:val="20"/>
                <w:szCs w:val="20"/>
              </w:rPr>
              <w:t>enseignement supérieur</w:t>
            </w:r>
          </w:p>
          <w:p w14:paraId="232141CC" w14:textId="5E9DCB34" w:rsidR="00FF6586" w:rsidRPr="001C6031" w:rsidRDefault="00AA088F" w:rsidP="00B973F3">
            <w:pPr>
              <w:pStyle w:val="ListParagraph"/>
              <w:numPr>
                <w:ilvl w:val="0"/>
                <w:numId w:val="37"/>
              </w:numPr>
              <w:spacing w:before="60" w:after="60"/>
              <w:ind w:left="360"/>
              <w:contextualSpacing w:val="0"/>
              <w:rPr>
                <w:rFonts w:ascii="Arial" w:eastAsia="Calibri" w:hAnsi="Arial" w:cs="Arial"/>
                <w:sz w:val="20"/>
                <w:szCs w:val="20"/>
              </w:rPr>
            </w:pPr>
            <w:r>
              <w:rPr>
                <w:rFonts w:ascii="Arial" w:hAnsi="Arial"/>
                <w:sz w:val="20"/>
                <w:szCs w:val="20"/>
              </w:rPr>
              <w:t>Consultation d</w:t>
            </w:r>
            <w:r w:rsidR="00ED6BBD">
              <w:rPr>
                <w:rFonts w:ascii="Arial" w:hAnsi="Arial"/>
                <w:sz w:val="20"/>
                <w:szCs w:val="20"/>
              </w:rPr>
              <w:t>’</w:t>
            </w:r>
            <w:r>
              <w:rPr>
                <w:rFonts w:ascii="Arial" w:hAnsi="Arial"/>
                <w:sz w:val="20"/>
                <w:szCs w:val="20"/>
              </w:rPr>
              <w:t>établissements d</w:t>
            </w:r>
            <w:r w:rsidR="00ED6BBD">
              <w:rPr>
                <w:rFonts w:ascii="Arial" w:hAnsi="Arial"/>
                <w:sz w:val="20"/>
                <w:szCs w:val="20"/>
              </w:rPr>
              <w:t>’</w:t>
            </w:r>
            <w:r>
              <w:rPr>
                <w:rFonts w:ascii="Arial" w:hAnsi="Arial"/>
                <w:sz w:val="20"/>
                <w:szCs w:val="20"/>
              </w:rPr>
              <w:t>enseignement compétents sur l</w:t>
            </w:r>
            <w:r w:rsidR="00ED6BBD">
              <w:rPr>
                <w:rFonts w:ascii="Arial" w:hAnsi="Arial"/>
                <w:sz w:val="20"/>
                <w:szCs w:val="20"/>
              </w:rPr>
              <w:t>’</w:t>
            </w:r>
            <w:r>
              <w:rPr>
                <w:rFonts w:ascii="Arial" w:hAnsi="Arial"/>
                <w:sz w:val="20"/>
                <w:szCs w:val="20"/>
              </w:rPr>
              <w:t>intégration du patrimoine culturel immatériel dans leurs programmes</w:t>
            </w:r>
          </w:p>
        </w:tc>
        <w:tc>
          <w:tcPr>
            <w:tcW w:w="2024" w:type="pct"/>
            <w:shd w:val="clear" w:color="auto" w:fill="auto"/>
          </w:tcPr>
          <w:p w14:paraId="52E96AC2" w14:textId="5DAE08C2" w:rsidR="00514AE5" w:rsidRDefault="00814EB2" w:rsidP="00B973F3">
            <w:pPr>
              <w:pStyle w:val="ListParagraph"/>
              <w:numPr>
                <w:ilvl w:val="0"/>
                <w:numId w:val="37"/>
              </w:numPr>
              <w:spacing w:before="360" w:after="60"/>
              <w:ind w:left="284" w:hanging="284"/>
              <w:contextualSpacing w:val="0"/>
              <w:rPr>
                <w:rFonts w:ascii="Arial" w:eastAsia="Calibri" w:hAnsi="Arial" w:cs="Arial"/>
                <w:sz w:val="20"/>
                <w:szCs w:val="20"/>
              </w:rPr>
            </w:pPr>
            <w:r>
              <w:rPr>
                <w:rFonts w:ascii="Arial" w:hAnsi="Arial"/>
                <w:sz w:val="20"/>
                <w:szCs w:val="20"/>
              </w:rPr>
              <w:lastRenderedPageBreak/>
              <w:t>Organisation d</w:t>
            </w:r>
            <w:r w:rsidR="00ED6BBD">
              <w:rPr>
                <w:rFonts w:ascii="Arial" w:hAnsi="Arial"/>
                <w:sz w:val="20"/>
                <w:szCs w:val="20"/>
              </w:rPr>
              <w:t>’</w:t>
            </w:r>
            <w:r>
              <w:rPr>
                <w:rFonts w:ascii="Arial" w:hAnsi="Arial"/>
                <w:sz w:val="20"/>
                <w:szCs w:val="20"/>
              </w:rPr>
              <w:t>un atelier régional rassemblant 43 représentants d</w:t>
            </w:r>
            <w:r w:rsidR="00ED6BBD">
              <w:rPr>
                <w:rFonts w:ascii="Arial" w:hAnsi="Arial"/>
                <w:sz w:val="20"/>
                <w:szCs w:val="20"/>
              </w:rPr>
              <w:t>’</w:t>
            </w:r>
            <w:r>
              <w:rPr>
                <w:rFonts w:ascii="Arial" w:hAnsi="Arial"/>
                <w:sz w:val="20"/>
                <w:szCs w:val="20"/>
              </w:rPr>
              <w:t>établissements d</w:t>
            </w:r>
            <w:r w:rsidR="00ED6BBD">
              <w:rPr>
                <w:rFonts w:ascii="Arial" w:hAnsi="Arial"/>
                <w:sz w:val="20"/>
                <w:szCs w:val="20"/>
              </w:rPr>
              <w:t>’</w:t>
            </w:r>
            <w:r>
              <w:rPr>
                <w:rFonts w:ascii="Arial" w:hAnsi="Arial"/>
                <w:sz w:val="20"/>
                <w:szCs w:val="20"/>
              </w:rPr>
              <w:t>enseignement supérieur d</w:t>
            </w:r>
            <w:r w:rsidR="00ED6BBD">
              <w:rPr>
                <w:rFonts w:ascii="Arial" w:hAnsi="Arial"/>
                <w:sz w:val="20"/>
                <w:szCs w:val="20"/>
              </w:rPr>
              <w:t>’</w:t>
            </w:r>
            <w:r>
              <w:rPr>
                <w:rFonts w:ascii="Arial" w:hAnsi="Arial"/>
                <w:sz w:val="20"/>
                <w:szCs w:val="20"/>
              </w:rPr>
              <w:t>Amérique latine et des Caraïbes (novembre 2017 à Buenos Aires, Argentine)</w:t>
            </w:r>
          </w:p>
          <w:p w14:paraId="4DE6061A" w14:textId="36EA5670" w:rsidR="00826A53" w:rsidRPr="00B973F3" w:rsidRDefault="00603E2F" w:rsidP="00B973F3">
            <w:pPr>
              <w:pStyle w:val="ListParagraph"/>
              <w:numPr>
                <w:ilvl w:val="0"/>
                <w:numId w:val="37"/>
              </w:numPr>
              <w:spacing w:before="60" w:after="60"/>
              <w:ind w:left="284" w:hanging="284"/>
              <w:contextualSpacing w:val="0"/>
              <w:rPr>
                <w:rFonts w:ascii="Arial" w:eastAsia="Calibri" w:hAnsi="Arial" w:cs="Arial"/>
                <w:sz w:val="20"/>
                <w:szCs w:val="20"/>
              </w:rPr>
            </w:pPr>
            <w:r>
              <w:rPr>
                <w:rFonts w:ascii="Arial" w:hAnsi="Arial"/>
                <w:sz w:val="20"/>
                <w:szCs w:val="20"/>
              </w:rPr>
              <w:lastRenderedPageBreak/>
              <w:t>Réunion de consultation intersectorielle intitulée « Intégrer le patrimoine culturel immatériel dans l</w:t>
            </w:r>
            <w:r w:rsidR="00ED6BBD">
              <w:rPr>
                <w:rFonts w:ascii="Arial" w:hAnsi="Arial"/>
                <w:sz w:val="20"/>
                <w:szCs w:val="20"/>
              </w:rPr>
              <w:t>’</w:t>
            </w:r>
            <w:r>
              <w:rPr>
                <w:rFonts w:ascii="Arial" w:hAnsi="Arial"/>
                <w:sz w:val="20"/>
                <w:szCs w:val="20"/>
              </w:rPr>
              <w:t>éducation », rassemblant plus de 40 participants des Secteurs de l</w:t>
            </w:r>
            <w:r w:rsidR="00ED6BBD">
              <w:rPr>
                <w:rFonts w:ascii="Arial" w:hAnsi="Arial"/>
                <w:sz w:val="20"/>
                <w:szCs w:val="20"/>
              </w:rPr>
              <w:t>’</w:t>
            </w:r>
            <w:r>
              <w:rPr>
                <w:rFonts w:ascii="Arial" w:hAnsi="Arial"/>
                <w:sz w:val="20"/>
                <w:szCs w:val="20"/>
              </w:rPr>
              <w:t>éducation et de la culture (mai 2017 à Paris).</w:t>
            </w:r>
          </w:p>
        </w:tc>
        <w:tc>
          <w:tcPr>
            <w:tcW w:w="953" w:type="pct"/>
          </w:tcPr>
          <w:p w14:paraId="03359201" w14:textId="46E77314" w:rsidR="00FF6586" w:rsidRPr="001C6031" w:rsidRDefault="007C2962" w:rsidP="00B973F3">
            <w:pPr>
              <w:pStyle w:val="ListParagraph"/>
              <w:spacing w:before="360" w:after="60"/>
              <w:ind w:left="0"/>
              <w:contextualSpacing w:val="0"/>
              <w:jc w:val="center"/>
              <w:rPr>
                <w:rFonts w:ascii="Arial" w:eastAsia="Calibri" w:hAnsi="Arial" w:cs="Arial"/>
                <w:sz w:val="20"/>
                <w:szCs w:val="20"/>
              </w:rPr>
            </w:pPr>
            <w:r>
              <w:rPr>
                <w:rFonts w:ascii="Arial" w:hAnsi="Arial"/>
                <w:sz w:val="20"/>
                <w:szCs w:val="20"/>
              </w:rPr>
              <w:lastRenderedPageBreak/>
              <w:t>Accomplie</w:t>
            </w:r>
          </w:p>
        </w:tc>
      </w:tr>
      <w:tr w:rsidR="00FF6586" w:rsidRPr="001C6031" w14:paraId="7ABE3B55" w14:textId="392ED24E" w:rsidTr="00FF6586">
        <w:tc>
          <w:tcPr>
            <w:tcW w:w="2023" w:type="pct"/>
            <w:shd w:val="clear" w:color="auto" w:fill="auto"/>
          </w:tcPr>
          <w:p w14:paraId="61E642D2" w14:textId="77777777" w:rsidR="00FF6586" w:rsidRPr="001C6031" w:rsidRDefault="00FF6586">
            <w:pPr>
              <w:spacing w:before="60" w:after="60"/>
              <w:rPr>
                <w:rFonts w:ascii="Arial" w:eastAsia="Calibri" w:hAnsi="Arial" w:cs="Arial"/>
                <w:b/>
                <w:sz w:val="20"/>
                <w:szCs w:val="20"/>
              </w:rPr>
            </w:pPr>
            <w:r>
              <w:rPr>
                <w:rFonts w:ascii="Arial" w:hAnsi="Arial"/>
                <w:b/>
                <w:sz w:val="20"/>
                <w:szCs w:val="20"/>
              </w:rPr>
              <w:t>P :</w:t>
            </w:r>
          </w:p>
          <w:p w14:paraId="628229A1" w14:textId="3B2E8680" w:rsidR="00AA088F" w:rsidRDefault="00AA088F">
            <w:pPr>
              <w:spacing w:before="60" w:after="60"/>
              <w:rPr>
                <w:rFonts w:ascii="Arial" w:eastAsia="Calibri" w:hAnsi="Arial" w:cs="Arial"/>
                <w:sz w:val="20"/>
                <w:szCs w:val="20"/>
              </w:rPr>
            </w:pPr>
            <w:r>
              <w:rPr>
                <w:rFonts w:ascii="Arial" w:hAnsi="Arial"/>
                <w:sz w:val="20"/>
                <w:szCs w:val="20"/>
              </w:rPr>
              <w:t>Coopération renforcée de l</w:t>
            </w:r>
            <w:r w:rsidR="00ED6BBD">
              <w:rPr>
                <w:rFonts w:ascii="Arial" w:hAnsi="Arial"/>
                <w:sz w:val="20"/>
                <w:szCs w:val="20"/>
              </w:rPr>
              <w:t>’</w:t>
            </w:r>
            <w:r>
              <w:rPr>
                <w:rFonts w:ascii="Arial" w:hAnsi="Arial"/>
                <w:sz w:val="20"/>
                <w:szCs w:val="20"/>
              </w:rPr>
              <w:t>UNESCO avec l</w:t>
            </w:r>
            <w:r w:rsidR="00ED6BBD">
              <w:rPr>
                <w:rFonts w:ascii="Arial" w:hAnsi="Arial"/>
                <w:sz w:val="20"/>
                <w:szCs w:val="20"/>
              </w:rPr>
              <w:t>’</w:t>
            </w:r>
            <w:r>
              <w:rPr>
                <w:rFonts w:ascii="Arial" w:hAnsi="Arial"/>
                <w:sz w:val="20"/>
                <w:szCs w:val="20"/>
              </w:rPr>
              <w:t>OMPI ou d</w:t>
            </w:r>
            <w:r w:rsidR="00ED6BBD">
              <w:rPr>
                <w:rFonts w:ascii="Arial" w:hAnsi="Arial"/>
                <w:sz w:val="20"/>
                <w:szCs w:val="20"/>
              </w:rPr>
              <w:t>’</w:t>
            </w:r>
            <w:r>
              <w:rPr>
                <w:rFonts w:ascii="Arial" w:hAnsi="Arial"/>
                <w:sz w:val="20"/>
                <w:szCs w:val="20"/>
              </w:rPr>
              <w:t>autres organisations des Nations Unies pour permettre un échange et un apprentissage permanents entre les organisations et leurs États membres</w:t>
            </w:r>
          </w:p>
          <w:p w14:paraId="2ABB6A10" w14:textId="65892536" w:rsidR="00FF6586" w:rsidRPr="001C6031" w:rsidRDefault="00AA088F">
            <w:pPr>
              <w:spacing w:before="60" w:after="60"/>
              <w:rPr>
                <w:rFonts w:ascii="Arial" w:hAnsi="Arial" w:cs="Arial"/>
                <w:b/>
                <w:sz w:val="20"/>
                <w:szCs w:val="20"/>
              </w:rPr>
            </w:pPr>
            <w:r>
              <w:rPr>
                <w:rFonts w:ascii="Arial" w:hAnsi="Arial"/>
                <w:b/>
                <w:sz w:val="20"/>
                <w:szCs w:val="20"/>
              </w:rPr>
              <w:t>R 2016-2017 :</w:t>
            </w:r>
          </w:p>
          <w:p w14:paraId="72E0C386" w14:textId="7FBB6C49" w:rsidR="00FF6586" w:rsidRPr="00AA088F" w:rsidRDefault="00AA088F" w:rsidP="00B973F3">
            <w:pPr>
              <w:pStyle w:val="ListParagraph"/>
              <w:numPr>
                <w:ilvl w:val="0"/>
                <w:numId w:val="37"/>
              </w:numPr>
              <w:spacing w:before="60" w:after="60"/>
              <w:ind w:left="360"/>
              <w:contextualSpacing w:val="0"/>
              <w:rPr>
                <w:rFonts w:ascii="Arial" w:eastAsia="Calibri" w:hAnsi="Arial" w:cs="Arial"/>
                <w:sz w:val="20"/>
                <w:szCs w:val="20"/>
              </w:rPr>
            </w:pPr>
            <w:r>
              <w:rPr>
                <w:rFonts w:ascii="Arial" w:hAnsi="Arial"/>
                <w:sz w:val="20"/>
                <w:szCs w:val="20"/>
              </w:rPr>
              <w:t>Participation à 3 réunions organisées par l</w:t>
            </w:r>
            <w:r w:rsidR="00ED6BBD">
              <w:rPr>
                <w:rFonts w:ascii="Arial" w:hAnsi="Arial"/>
                <w:sz w:val="20"/>
                <w:szCs w:val="20"/>
              </w:rPr>
              <w:t>’</w:t>
            </w:r>
            <w:r>
              <w:rPr>
                <w:rFonts w:ascii="Arial" w:hAnsi="Arial"/>
                <w:sz w:val="20"/>
                <w:szCs w:val="20"/>
              </w:rPr>
              <w:t>OMPI ou d</w:t>
            </w:r>
            <w:r w:rsidR="00ED6BBD">
              <w:rPr>
                <w:rFonts w:ascii="Arial" w:hAnsi="Arial"/>
                <w:sz w:val="20"/>
                <w:szCs w:val="20"/>
              </w:rPr>
              <w:t>’</w:t>
            </w:r>
            <w:r>
              <w:rPr>
                <w:rFonts w:ascii="Arial" w:hAnsi="Arial"/>
                <w:sz w:val="20"/>
                <w:szCs w:val="20"/>
              </w:rPr>
              <w:t>autres organisations des Nations Unies.</w:t>
            </w:r>
          </w:p>
        </w:tc>
        <w:tc>
          <w:tcPr>
            <w:tcW w:w="2024" w:type="pct"/>
            <w:shd w:val="clear" w:color="auto" w:fill="auto"/>
          </w:tcPr>
          <w:p w14:paraId="2785B1ED" w14:textId="54362442" w:rsidR="00B8492A" w:rsidRDefault="00B8492A" w:rsidP="00B973F3">
            <w:pPr>
              <w:pStyle w:val="ListParagraph"/>
              <w:numPr>
                <w:ilvl w:val="0"/>
                <w:numId w:val="37"/>
              </w:numPr>
              <w:spacing w:before="360" w:after="60"/>
              <w:ind w:left="284" w:hanging="284"/>
              <w:contextualSpacing w:val="0"/>
              <w:rPr>
                <w:rFonts w:ascii="Arial" w:eastAsia="Calibri" w:hAnsi="Arial" w:cs="Arial"/>
                <w:sz w:val="20"/>
                <w:szCs w:val="20"/>
              </w:rPr>
            </w:pPr>
            <w:r>
              <w:rPr>
                <w:rFonts w:ascii="Arial" w:hAnsi="Arial"/>
                <w:sz w:val="20"/>
                <w:szCs w:val="20"/>
              </w:rPr>
              <w:t>Poursuite du dialogue avec l</w:t>
            </w:r>
            <w:r w:rsidR="00ED6BBD">
              <w:rPr>
                <w:rFonts w:ascii="Arial" w:hAnsi="Arial"/>
                <w:sz w:val="20"/>
                <w:szCs w:val="20"/>
              </w:rPr>
              <w:t>’</w:t>
            </w:r>
            <w:r>
              <w:rPr>
                <w:rFonts w:ascii="Arial" w:hAnsi="Arial"/>
                <w:sz w:val="20"/>
                <w:szCs w:val="20"/>
              </w:rPr>
              <w:t xml:space="preserve">OMPI pour échanger des informations sur les dernières évolutions en date concernant la mise en œuvre de la Convention de 2003 </w:t>
            </w:r>
          </w:p>
          <w:p w14:paraId="33B9D21C" w14:textId="0EAFA2A1" w:rsidR="00FF6586" w:rsidRPr="00B973F3" w:rsidRDefault="00B8492A" w:rsidP="00B973F3">
            <w:pPr>
              <w:pStyle w:val="ListParagraph"/>
              <w:numPr>
                <w:ilvl w:val="0"/>
                <w:numId w:val="37"/>
              </w:numPr>
              <w:spacing w:before="60" w:after="60"/>
              <w:ind w:left="284" w:hanging="284"/>
              <w:contextualSpacing w:val="0"/>
              <w:rPr>
                <w:rFonts w:ascii="Arial" w:eastAsia="Calibri" w:hAnsi="Arial" w:cs="Arial"/>
                <w:sz w:val="20"/>
                <w:szCs w:val="20"/>
              </w:rPr>
            </w:pPr>
            <w:r>
              <w:rPr>
                <w:rFonts w:ascii="Arial" w:hAnsi="Arial"/>
                <w:sz w:val="20"/>
                <w:szCs w:val="20"/>
              </w:rPr>
              <w:t>Renforcement de la coopération avec le Mécanisme d</w:t>
            </w:r>
            <w:r w:rsidR="00ED6BBD">
              <w:rPr>
                <w:rFonts w:ascii="Arial" w:hAnsi="Arial"/>
                <w:sz w:val="20"/>
                <w:szCs w:val="20"/>
              </w:rPr>
              <w:t>’</w:t>
            </w:r>
            <w:r>
              <w:rPr>
                <w:rFonts w:ascii="Arial" w:hAnsi="Arial"/>
                <w:sz w:val="20"/>
                <w:szCs w:val="20"/>
              </w:rPr>
              <w:t xml:space="preserve">experts sur les droits des peuples autochtones, par la participation à la </w:t>
            </w:r>
            <w:hyperlink r:id="rId13" w:history="1">
              <w:r>
                <w:rPr>
                  <w:rStyle w:val="Hyperlink"/>
                  <w:rFonts w:ascii="Arial" w:hAnsi="Arial"/>
                  <w:sz w:val="20"/>
                  <w:szCs w:val="20"/>
                </w:rPr>
                <w:t>Conférence internationale sur le patrimoine culturel des peuples autochtones</w:t>
              </w:r>
            </w:hyperlink>
            <w:r>
              <w:rPr>
                <w:rFonts w:ascii="Arial" w:hAnsi="Arial"/>
                <w:sz w:val="20"/>
                <w:szCs w:val="20"/>
              </w:rPr>
              <w:t xml:space="preserve">, </w:t>
            </w:r>
            <w:proofErr w:type="spellStart"/>
            <w:r>
              <w:rPr>
                <w:rFonts w:ascii="Arial" w:hAnsi="Arial"/>
                <w:sz w:val="20"/>
                <w:szCs w:val="20"/>
              </w:rPr>
              <w:t>co</w:t>
            </w:r>
            <w:proofErr w:type="spellEnd"/>
            <w:r>
              <w:rPr>
                <w:rFonts w:ascii="Arial" w:hAnsi="Arial"/>
                <w:sz w:val="20"/>
                <w:szCs w:val="20"/>
              </w:rPr>
              <w:t>-organisée avec l</w:t>
            </w:r>
            <w:r w:rsidR="00ED6BBD">
              <w:rPr>
                <w:rFonts w:ascii="Arial" w:hAnsi="Arial"/>
                <w:sz w:val="20"/>
                <w:szCs w:val="20"/>
              </w:rPr>
              <w:t>’</w:t>
            </w:r>
            <w:r>
              <w:rPr>
                <w:rFonts w:ascii="Arial" w:hAnsi="Arial"/>
                <w:sz w:val="20"/>
                <w:szCs w:val="20"/>
              </w:rPr>
              <w:t>Université d</w:t>
            </w:r>
            <w:r w:rsidR="00ED6BBD">
              <w:rPr>
                <w:rFonts w:ascii="Arial" w:hAnsi="Arial"/>
                <w:sz w:val="20"/>
                <w:szCs w:val="20"/>
              </w:rPr>
              <w:t>’</w:t>
            </w:r>
            <w:r>
              <w:rPr>
                <w:rFonts w:ascii="Arial" w:hAnsi="Arial"/>
                <w:sz w:val="20"/>
                <w:szCs w:val="20"/>
              </w:rPr>
              <w:t>Helsinki à Helsinki (novembre 2017).</w:t>
            </w:r>
          </w:p>
        </w:tc>
        <w:tc>
          <w:tcPr>
            <w:tcW w:w="953" w:type="pct"/>
          </w:tcPr>
          <w:p w14:paraId="5446DF0A" w14:textId="4A90C49F" w:rsidR="00FF6586" w:rsidRPr="001C6031" w:rsidRDefault="00573AE2" w:rsidP="00B973F3">
            <w:pPr>
              <w:spacing w:before="360" w:after="60"/>
              <w:jc w:val="center"/>
              <w:rPr>
                <w:rFonts w:ascii="Arial" w:eastAsia="Calibri" w:hAnsi="Arial" w:cs="Arial"/>
                <w:sz w:val="20"/>
                <w:szCs w:val="20"/>
              </w:rPr>
            </w:pPr>
            <w:r>
              <w:rPr>
                <w:rFonts w:ascii="Arial" w:hAnsi="Arial"/>
                <w:sz w:val="20"/>
                <w:szCs w:val="20"/>
              </w:rPr>
              <w:t>Partiellement accomplie</w:t>
            </w:r>
          </w:p>
        </w:tc>
      </w:tr>
      <w:tr w:rsidR="00FF6586" w:rsidRPr="002972F5" w14:paraId="498DA67E" w14:textId="3DE77845" w:rsidTr="00FF6586">
        <w:tc>
          <w:tcPr>
            <w:tcW w:w="2023" w:type="pct"/>
            <w:shd w:val="clear" w:color="auto" w:fill="auto"/>
          </w:tcPr>
          <w:p w14:paraId="6EF730CD" w14:textId="14B17593" w:rsidR="00FF6586" w:rsidRPr="001C6031" w:rsidRDefault="00FF6586">
            <w:pPr>
              <w:spacing w:before="60" w:after="60"/>
              <w:rPr>
                <w:rFonts w:ascii="Arial" w:hAnsi="Arial" w:cs="Arial"/>
                <w:b/>
                <w:sz w:val="20"/>
                <w:szCs w:val="20"/>
              </w:rPr>
            </w:pPr>
            <w:r>
              <w:rPr>
                <w:rFonts w:ascii="Arial" w:hAnsi="Arial"/>
                <w:b/>
                <w:sz w:val="20"/>
                <w:szCs w:val="20"/>
              </w:rPr>
              <w:t>P :</w:t>
            </w:r>
          </w:p>
          <w:p w14:paraId="183F498F" w14:textId="1476A09C" w:rsidR="00C016DE" w:rsidRPr="00C016DE" w:rsidRDefault="005A6C13">
            <w:pPr>
              <w:spacing w:before="60" w:after="60"/>
              <w:rPr>
                <w:rFonts w:ascii="Arial" w:eastAsia="Calibri" w:hAnsi="Arial" w:cs="Arial"/>
                <w:sz w:val="20"/>
                <w:szCs w:val="20"/>
              </w:rPr>
            </w:pPr>
            <w:r>
              <w:rPr>
                <w:rFonts w:ascii="Arial" w:hAnsi="Arial"/>
                <w:sz w:val="20"/>
                <w:szCs w:val="20"/>
              </w:rPr>
              <w:t>Stratégie de sensibilisation élaborée pour promouvoir les objectifs de la Convention et mobiliser efficacement les parties prenantes</w:t>
            </w:r>
          </w:p>
          <w:p w14:paraId="6176794A" w14:textId="25FC2A09" w:rsidR="00FF6586" w:rsidRPr="001C6031" w:rsidRDefault="00C016DE">
            <w:pPr>
              <w:spacing w:before="60" w:after="60"/>
              <w:rPr>
                <w:rFonts w:ascii="Arial" w:hAnsi="Arial" w:cs="Arial"/>
                <w:b/>
                <w:sz w:val="20"/>
                <w:szCs w:val="20"/>
              </w:rPr>
            </w:pPr>
            <w:r>
              <w:rPr>
                <w:rFonts w:ascii="Arial" w:hAnsi="Arial"/>
                <w:b/>
                <w:sz w:val="20"/>
                <w:szCs w:val="20"/>
              </w:rPr>
              <w:t>R 2016-2017 :</w:t>
            </w:r>
          </w:p>
          <w:p w14:paraId="4D1696AD" w14:textId="02FEAE7E" w:rsidR="00FF6586" w:rsidRDefault="00C016DE" w:rsidP="00B973F3">
            <w:pPr>
              <w:pStyle w:val="ListParagraph"/>
              <w:numPr>
                <w:ilvl w:val="0"/>
                <w:numId w:val="37"/>
              </w:numPr>
              <w:spacing w:before="60" w:after="60"/>
              <w:ind w:left="360"/>
              <w:contextualSpacing w:val="0"/>
              <w:rPr>
                <w:rFonts w:ascii="Arial" w:hAnsi="Arial" w:cs="Arial"/>
                <w:sz w:val="20"/>
                <w:szCs w:val="20"/>
              </w:rPr>
            </w:pPr>
            <w:r>
              <w:rPr>
                <w:rFonts w:ascii="Arial" w:hAnsi="Arial"/>
                <w:sz w:val="20"/>
                <w:szCs w:val="20"/>
              </w:rPr>
              <w:t>Établissement d</w:t>
            </w:r>
            <w:r w:rsidR="00ED6BBD">
              <w:rPr>
                <w:rFonts w:ascii="Arial" w:hAnsi="Arial"/>
                <w:sz w:val="20"/>
                <w:szCs w:val="20"/>
              </w:rPr>
              <w:t>’</w:t>
            </w:r>
            <w:r>
              <w:rPr>
                <w:rFonts w:ascii="Arial" w:hAnsi="Arial"/>
                <w:sz w:val="20"/>
                <w:szCs w:val="20"/>
              </w:rPr>
              <w:t>un partenariat en vue du développement de supports de sensibilisation</w:t>
            </w:r>
          </w:p>
          <w:p w14:paraId="1917F070" w14:textId="22EBA4F9" w:rsidR="00C016DE" w:rsidRPr="00C016DE" w:rsidRDefault="00C016DE" w:rsidP="00B973F3">
            <w:pPr>
              <w:pStyle w:val="ListParagraph"/>
              <w:numPr>
                <w:ilvl w:val="0"/>
                <w:numId w:val="37"/>
              </w:numPr>
              <w:spacing w:before="60" w:after="60"/>
              <w:ind w:left="360"/>
              <w:contextualSpacing w:val="0"/>
              <w:rPr>
                <w:rFonts w:ascii="Arial" w:hAnsi="Arial" w:cs="Arial"/>
                <w:sz w:val="20"/>
                <w:szCs w:val="20"/>
              </w:rPr>
            </w:pPr>
            <w:r>
              <w:rPr>
                <w:rFonts w:ascii="Arial" w:hAnsi="Arial"/>
                <w:sz w:val="20"/>
                <w:szCs w:val="20"/>
              </w:rPr>
              <w:t>Conception et production de 2 matériels/outils de sensibilisation</w:t>
            </w:r>
          </w:p>
        </w:tc>
        <w:tc>
          <w:tcPr>
            <w:tcW w:w="2024" w:type="pct"/>
            <w:shd w:val="clear" w:color="auto" w:fill="auto"/>
          </w:tcPr>
          <w:p w14:paraId="17CC4DA7" w14:textId="4749A158" w:rsidR="008F252F" w:rsidRPr="00B973F3" w:rsidRDefault="008F252F" w:rsidP="00B973F3">
            <w:pPr>
              <w:pStyle w:val="ListParagraph"/>
              <w:numPr>
                <w:ilvl w:val="0"/>
                <w:numId w:val="37"/>
              </w:numPr>
              <w:spacing w:before="360" w:after="60"/>
              <w:ind w:left="284" w:hanging="284"/>
              <w:contextualSpacing w:val="0"/>
              <w:rPr>
                <w:rFonts w:ascii="Arial" w:eastAsia="Calibri" w:hAnsi="Arial" w:cs="Arial"/>
                <w:sz w:val="20"/>
                <w:szCs w:val="20"/>
              </w:rPr>
            </w:pPr>
            <w:r>
              <w:rPr>
                <w:rFonts w:ascii="Arial" w:hAnsi="Arial"/>
                <w:sz w:val="20"/>
                <w:szCs w:val="20"/>
              </w:rPr>
              <w:t>Identification d</w:t>
            </w:r>
            <w:r w:rsidR="00ED6BBD">
              <w:rPr>
                <w:rFonts w:ascii="Arial" w:hAnsi="Arial"/>
                <w:sz w:val="20"/>
                <w:szCs w:val="20"/>
              </w:rPr>
              <w:t>’</w:t>
            </w:r>
            <w:r>
              <w:rPr>
                <w:rFonts w:ascii="Arial" w:hAnsi="Arial"/>
                <w:sz w:val="20"/>
                <w:szCs w:val="20"/>
              </w:rPr>
              <w:t>un partenaire expérimenté dans le domaine de la communication culturelle à l</w:t>
            </w:r>
            <w:r w:rsidR="00ED6BBD">
              <w:rPr>
                <w:rFonts w:ascii="Arial" w:hAnsi="Arial"/>
                <w:sz w:val="20"/>
                <w:szCs w:val="20"/>
              </w:rPr>
              <w:t>’</w:t>
            </w:r>
            <w:r>
              <w:rPr>
                <w:rFonts w:ascii="Arial" w:hAnsi="Arial"/>
                <w:sz w:val="20"/>
                <w:szCs w:val="20"/>
              </w:rPr>
              <w:t>échelle internationale, à l</w:t>
            </w:r>
            <w:r w:rsidR="00ED6BBD">
              <w:rPr>
                <w:rFonts w:ascii="Arial" w:hAnsi="Arial"/>
                <w:sz w:val="20"/>
                <w:szCs w:val="20"/>
              </w:rPr>
              <w:t>’</w:t>
            </w:r>
            <w:r>
              <w:rPr>
                <w:rFonts w:ascii="Arial" w:hAnsi="Arial"/>
                <w:sz w:val="20"/>
                <w:szCs w:val="20"/>
              </w:rPr>
              <w:t>issue d</w:t>
            </w:r>
            <w:r w:rsidR="00ED6BBD">
              <w:rPr>
                <w:rFonts w:ascii="Arial" w:hAnsi="Arial"/>
                <w:sz w:val="20"/>
                <w:szCs w:val="20"/>
              </w:rPr>
              <w:t>’</w:t>
            </w:r>
            <w:r>
              <w:rPr>
                <w:rFonts w:ascii="Arial" w:hAnsi="Arial"/>
                <w:sz w:val="20"/>
                <w:szCs w:val="20"/>
              </w:rPr>
              <w:t>un appel à propositions et d</w:t>
            </w:r>
            <w:r w:rsidR="00ED6BBD">
              <w:rPr>
                <w:rFonts w:ascii="Arial" w:hAnsi="Arial"/>
                <w:sz w:val="20"/>
                <w:szCs w:val="20"/>
              </w:rPr>
              <w:t>’</w:t>
            </w:r>
            <w:r>
              <w:rPr>
                <w:rFonts w:ascii="Arial" w:hAnsi="Arial"/>
                <w:sz w:val="20"/>
                <w:szCs w:val="20"/>
              </w:rPr>
              <w:t>un processus rigoureux de sélection parmi les 45 propositions faites par des agences de communication représentant 28 pays</w:t>
            </w:r>
          </w:p>
          <w:p w14:paraId="3F5C4B19" w14:textId="6EBF74E6" w:rsidR="008F252F" w:rsidRPr="00B973F3" w:rsidRDefault="002972F5" w:rsidP="00B973F3">
            <w:pPr>
              <w:pStyle w:val="ListParagraph"/>
              <w:numPr>
                <w:ilvl w:val="0"/>
                <w:numId w:val="37"/>
              </w:numPr>
              <w:spacing w:before="60" w:after="60"/>
              <w:ind w:left="284" w:hanging="284"/>
              <w:contextualSpacing w:val="0"/>
              <w:rPr>
                <w:rFonts w:ascii="Arial" w:eastAsia="Calibri" w:hAnsi="Arial" w:cs="Arial"/>
                <w:sz w:val="20"/>
                <w:szCs w:val="20"/>
              </w:rPr>
            </w:pPr>
            <w:r>
              <w:rPr>
                <w:rFonts w:ascii="Arial" w:hAnsi="Arial"/>
                <w:sz w:val="20"/>
                <w:szCs w:val="20"/>
              </w:rPr>
              <w:t>Examen et analyse approfondis des outils et matériels de communication existants, réalisés avec la collaboration de l</w:t>
            </w:r>
            <w:r w:rsidR="00ED6BBD">
              <w:rPr>
                <w:rFonts w:ascii="Arial" w:hAnsi="Arial"/>
                <w:sz w:val="20"/>
                <w:szCs w:val="20"/>
              </w:rPr>
              <w:t>’</w:t>
            </w:r>
            <w:r>
              <w:rPr>
                <w:rFonts w:ascii="Arial" w:hAnsi="Arial"/>
                <w:sz w:val="20"/>
                <w:szCs w:val="20"/>
              </w:rPr>
              <w:t>agence de communication partenaire</w:t>
            </w:r>
          </w:p>
          <w:p w14:paraId="34DE0FE5" w14:textId="5C705C9B" w:rsidR="008F252F" w:rsidRPr="00B973F3" w:rsidRDefault="002972F5" w:rsidP="00B973F3">
            <w:pPr>
              <w:pStyle w:val="ListParagraph"/>
              <w:numPr>
                <w:ilvl w:val="0"/>
                <w:numId w:val="37"/>
              </w:numPr>
              <w:spacing w:before="60" w:after="60"/>
              <w:ind w:left="284" w:hanging="284"/>
              <w:contextualSpacing w:val="0"/>
              <w:rPr>
                <w:rFonts w:ascii="Arial" w:eastAsia="Calibri" w:hAnsi="Arial" w:cs="Arial"/>
                <w:sz w:val="20"/>
                <w:szCs w:val="20"/>
              </w:rPr>
            </w:pPr>
            <w:r>
              <w:rPr>
                <w:rFonts w:ascii="Arial" w:hAnsi="Arial"/>
                <w:sz w:val="20"/>
                <w:szCs w:val="20"/>
              </w:rPr>
              <w:t>Grande consultation, au moyen d</w:t>
            </w:r>
            <w:r w:rsidR="00ED6BBD">
              <w:rPr>
                <w:rFonts w:ascii="Arial" w:hAnsi="Arial"/>
                <w:sz w:val="20"/>
                <w:szCs w:val="20"/>
              </w:rPr>
              <w:t>’</w:t>
            </w:r>
            <w:r>
              <w:rPr>
                <w:rFonts w:ascii="Arial" w:hAnsi="Arial"/>
                <w:sz w:val="20"/>
                <w:szCs w:val="20"/>
              </w:rPr>
              <w:t>entretiens, de quelque 50 acteurs concernés – Bureaux hors Siège de l</w:t>
            </w:r>
            <w:r w:rsidR="00ED6BBD">
              <w:rPr>
                <w:rFonts w:ascii="Arial" w:hAnsi="Arial"/>
                <w:sz w:val="20"/>
                <w:szCs w:val="20"/>
              </w:rPr>
              <w:t>’</w:t>
            </w:r>
            <w:r>
              <w:rPr>
                <w:rFonts w:ascii="Arial" w:hAnsi="Arial"/>
                <w:sz w:val="20"/>
                <w:szCs w:val="20"/>
              </w:rPr>
              <w:t>UNESCO, États parties, donateurs, ONG accréditées, institutions nationales, professionnels du patrimoine, membres de communautés, etc. – afin de connaître leur point de vue sur les actions de sensibilisation portant sur la Convention de 2003</w:t>
            </w:r>
          </w:p>
          <w:p w14:paraId="29CF496E" w14:textId="5D9D950D" w:rsidR="008F252F" w:rsidRPr="00573AE2" w:rsidRDefault="002972F5" w:rsidP="00B973F3">
            <w:pPr>
              <w:pStyle w:val="ListParagraph"/>
              <w:numPr>
                <w:ilvl w:val="0"/>
                <w:numId w:val="37"/>
              </w:numPr>
              <w:spacing w:before="60" w:after="60"/>
              <w:ind w:left="284" w:hanging="284"/>
              <w:contextualSpacing w:val="0"/>
              <w:rPr>
                <w:rFonts w:ascii="Arial" w:hAnsi="Arial" w:cs="Arial"/>
                <w:color w:val="000000"/>
                <w:sz w:val="20"/>
                <w:szCs w:val="20"/>
              </w:rPr>
            </w:pPr>
            <w:r>
              <w:rPr>
                <w:rFonts w:ascii="Arial" w:hAnsi="Arial"/>
                <w:sz w:val="20"/>
                <w:szCs w:val="20"/>
              </w:rPr>
              <w:t>Élaboration d</w:t>
            </w:r>
            <w:r w:rsidR="00ED6BBD">
              <w:rPr>
                <w:rFonts w:ascii="Arial" w:hAnsi="Arial"/>
                <w:sz w:val="20"/>
                <w:szCs w:val="20"/>
              </w:rPr>
              <w:t>’</w:t>
            </w:r>
            <w:r>
              <w:rPr>
                <w:rFonts w:ascii="Arial" w:hAnsi="Arial"/>
                <w:sz w:val="20"/>
                <w:szCs w:val="20"/>
              </w:rPr>
              <w:t>un plan stratégique de communication pour la Convention de 2003, qui présente les orientations stratégiques mais aussi les missions et les valeurs fondamentales et qui contient des directives préliminaires concernant les actions prioritaires à mener et les outils à développer</w:t>
            </w:r>
          </w:p>
          <w:p w14:paraId="466FC963" w14:textId="35DBD4EB" w:rsidR="00FF6586" w:rsidRPr="00B973F3" w:rsidRDefault="002972F5" w:rsidP="00B973F3">
            <w:pPr>
              <w:pStyle w:val="ListParagraph"/>
              <w:numPr>
                <w:ilvl w:val="0"/>
                <w:numId w:val="37"/>
              </w:numPr>
              <w:spacing w:before="60" w:after="60"/>
              <w:ind w:left="284" w:hanging="284"/>
              <w:contextualSpacing w:val="0"/>
              <w:rPr>
                <w:rFonts w:ascii="Arial" w:hAnsi="Arial" w:cs="Arial"/>
                <w:sz w:val="20"/>
                <w:szCs w:val="20"/>
              </w:rPr>
            </w:pPr>
            <w:r>
              <w:rPr>
                <w:rFonts w:ascii="Arial" w:hAnsi="Arial"/>
                <w:sz w:val="20"/>
                <w:szCs w:val="20"/>
              </w:rPr>
              <w:lastRenderedPageBreak/>
              <w:t>Production et diffusion d</w:t>
            </w:r>
            <w:r w:rsidR="00ED6BBD">
              <w:rPr>
                <w:rFonts w:ascii="Arial" w:hAnsi="Arial"/>
                <w:sz w:val="20"/>
                <w:szCs w:val="20"/>
              </w:rPr>
              <w:t>’</w:t>
            </w:r>
            <w:r>
              <w:rPr>
                <w:rFonts w:ascii="Arial" w:hAnsi="Arial"/>
                <w:sz w:val="20"/>
                <w:szCs w:val="20"/>
              </w:rPr>
              <w:t>outils de communication (courtes vidéos à l</w:t>
            </w:r>
            <w:r w:rsidR="00ED6BBD">
              <w:rPr>
                <w:rFonts w:ascii="Arial" w:hAnsi="Arial"/>
                <w:sz w:val="20"/>
                <w:szCs w:val="20"/>
              </w:rPr>
              <w:t>’</w:t>
            </w:r>
            <w:r>
              <w:rPr>
                <w:rFonts w:ascii="Arial" w:hAnsi="Arial"/>
                <w:sz w:val="20"/>
                <w:szCs w:val="20"/>
              </w:rPr>
              <w:t>intention des jeunes, kit média destiné à la presse) pour sensibiliser le grand public et les médias à l</w:t>
            </w:r>
            <w:r w:rsidR="00ED6BBD">
              <w:rPr>
                <w:rFonts w:ascii="Arial" w:hAnsi="Arial"/>
                <w:sz w:val="20"/>
                <w:szCs w:val="20"/>
              </w:rPr>
              <w:t>’</w:t>
            </w:r>
            <w:r>
              <w:rPr>
                <w:rFonts w:ascii="Arial" w:hAnsi="Arial"/>
                <w:sz w:val="20"/>
                <w:szCs w:val="20"/>
              </w:rPr>
              <w:t>importance de la sauvegarde du patrimoine culturel immatériel.</w:t>
            </w:r>
          </w:p>
        </w:tc>
        <w:tc>
          <w:tcPr>
            <w:tcW w:w="953" w:type="pct"/>
          </w:tcPr>
          <w:p w14:paraId="73FDCFA5" w14:textId="2718D410" w:rsidR="00FF6586" w:rsidRPr="001C6031" w:rsidRDefault="008E15D4" w:rsidP="00B973F3">
            <w:pPr>
              <w:pStyle w:val="ListParagraph"/>
              <w:spacing w:before="360" w:after="60"/>
              <w:ind w:left="0"/>
              <w:contextualSpacing w:val="0"/>
              <w:jc w:val="center"/>
              <w:rPr>
                <w:rFonts w:ascii="Arial" w:eastAsia="Calibri" w:hAnsi="Arial" w:cs="Arial"/>
                <w:sz w:val="20"/>
                <w:szCs w:val="20"/>
              </w:rPr>
            </w:pPr>
            <w:r>
              <w:rPr>
                <w:rFonts w:ascii="Arial" w:hAnsi="Arial"/>
                <w:sz w:val="20"/>
                <w:szCs w:val="20"/>
              </w:rPr>
              <w:lastRenderedPageBreak/>
              <w:t>Accomplie</w:t>
            </w:r>
          </w:p>
        </w:tc>
      </w:tr>
    </w:tbl>
    <w:p w14:paraId="01A98FFF" w14:textId="77777777" w:rsidR="00A74D6C" w:rsidRPr="001C6031" w:rsidRDefault="00A74D6C" w:rsidP="005F7CB2">
      <w:pPr>
        <w:keepNext/>
        <w:spacing w:before="240" w:after="120"/>
        <w:rPr>
          <w:rFonts w:ascii="Arial" w:hAnsi="Arial" w:cs="Arial"/>
          <w:b/>
          <w:sz w:val="22"/>
          <w:szCs w:val="22"/>
        </w:rPr>
      </w:pPr>
      <w:r>
        <w:rPr>
          <w:rFonts w:ascii="Arial" w:hAnsi="Arial"/>
          <w:b/>
          <w:sz w:val="22"/>
          <w:szCs w:val="22"/>
        </w:rPr>
        <w:t>Défis et risques rencontrés dans la mise en œuvre et mesures correctives</w:t>
      </w:r>
    </w:p>
    <w:tbl>
      <w:tblPr>
        <w:tblStyle w:val="TableGrid"/>
        <w:tblW w:w="5000" w:type="pct"/>
        <w:tblLook w:val="04A0" w:firstRow="1" w:lastRow="0" w:firstColumn="1" w:lastColumn="0" w:noHBand="0" w:noVBand="1"/>
      </w:tblPr>
      <w:tblGrid>
        <w:gridCol w:w="4814"/>
        <w:gridCol w:w="4814"/>
      </w:tblGrid>
      <w:tr w:rsidR="00A74D6C" w:rsidRPr="001C6031" w14:paraId="6762A09E" w14:textId="77777777" w:rsidTr="00907D3B">
        <w:trPr>
          <w:tblHeader/>
        </w:trPr>
        <w:tc>
          <w:tcPr>
            <w:tcW w:w="2500" w:type="pct"/>
            <w:shd w:val="clear" w:color="auto" w:fill="D9D9D9"/>
          </w:tcPr>
          <w:p w14:paraId="6105D698" w14:textId="77777777" w:rsidR="00A74D6C" w:rsidRPr="001C6031" w:rsidRDefault="00A74D6C" w:rsidP="005F7CB2">
            <w:pPr>
              <w:keepNext/>
              <w:spacing w:before="120" w:after="120"/>
              <w:jc w:val="center"/>
              <w:rPr>
                <w:rFonts w:ascii="Arial" w:hAnsi="Arial" w:cs="Arial"/>
                <w:b/>
                <w:sz w:val="20"/>
                <w:szCs w:val="20"/>
              </w:rPr>
            </w:pPr>
            <w:r>
              <w:rPr>
                <w:rFonts w:ascii="Arial" w:hAnsi="Arial"/>
                <w:b/>
                <w:sz w:val="20"/>
                <w:szCs w:val="20"/>
              </w:rPr>
              <w:t>Principaux défis</w:t>
            </w:r>
          </w:p>
        </w:tc>
        <w:tc>
          <w:tcPr>
            <w:tcW w:w="2500" w:type="pct"/>
            <w:shd w:val="clear" w:color="auto" w:fill="D9D9D9"/>
          </w:tcPr>
          <w:p w14:paraId="38065E76" w14:textId="77777777" w:rsidR="00A74D6C" w:rsidRPr="001C6031" w:rsidRDefault="00A74D6C" w:rsidP="005F7CB2">
            <w:pPr>
              <w:keepNext/>
              <w:spacing w:before="120" w:after="120"/>
              <w:jc w:val="center"/>
              <w:rPr>
                <w:rFonts w:ascii="Arial" w:hAnsi="Arial" w:cs="Arial"/>
                <w:b/>
                <w:sz w:val="20"/>
                <w:szCs w:val="20"/>
              </w:rPr>
            </w:pPr>
            <w:r>
              <w:rPr>
                <w:rFonts w:ascii="Arial" w:hAnsi="Arial"/>
                <w:b/>
                <w:sz w:val="20"/>
                <w:szCs w:val="20"/>
              </w:rPr>
              <w:t>Mesures correctives</w:t>
            </w:r>
          </w:p>
        </w:tc>
      </w:tr>
      <w:tr w:rsidR="00A74D6C" w:rsidRPr="00DD6C76" w14:paraId="02BC2705" w14:textId="77777777" w:rsidTr="00203F98">
        <w:tc>
          <w:tcPr>
            <w:tcW w:w="2500" w:type="pct"/>
          </w:tcPr>
          <w:p w14:paraId="4DB8BFBD" w14:textId="5B47A731" w:rsidR="00A74D6C" w:rsidRPr="001C6031" w:rsidRDefault="0076049E">
            <w:pPr>
              <w:spacing w:before="60" w:after="60"/>
              <w:jc w:val="both"/>
              <w:rPr>
                <w:rFonts w:ascii="Arial" w:hAnsi="Arial" w:cs="Arial"/>
                <w:sz w:val="20"/>
                <w:szCs w:val="20"/>
              </w:rPr>
            </w:pPr>
            <w:r>
              <w:rPr>
                <w:rFonts w:ascii="Arial" w:hAnsi="Arial"/>
                <w:sz w:val="20"/>
                <w:szCs w:val="20"/>
              </w:rPr>
              <w:t>La préparation de la réunion intersectorielle intitulée « Intégrer le patrimoine culturel immatériel dans l</w:t>
            </w:r>
            <w:r w:rsidR="00ED6BBD">
              <w:rPr>
                <w:rFonts w:ascii="Arial" w:hAnsi="Arial"/>
                <w:sz w:val="20"/>
                <w:szCs w:val="20"/>
              </w:rPr>
              <w:t>’</w:t>
            </w:r>
            <w:r>
              <w:rPr>
                <w:rFonts w:ascii="Arial" w:hAnsi="Arial"/>
                <w:sz w:val="20"/>
                <w:szCs w:val="20"/>
              </w:rPr>
              <w:t>éducation » a nécessité une vingtaine de consultations avec des collaborateurs du Secteur de l</w:t>
            </w:r>
            <w:r w:rsidR="00ED6BBD">
              <w:rPr>
                <w:rFonts w:ascii="Arial" w:hAnsi="Arial"/>
                <w:sz w:val="20"/>
                <w:szCs w:val="20"/>
              </w:rPr>
              <w:t>’</w:t>
            </w:r>
            <w:r>
              <w:rPr>
                <w:rFonts w:ascii="Arial" w:hAnsi="Arial"/>
                <w:sz w:val="20"/>
                <w:szCs w:val="20"/>
              </w:rPr>
              <w:t>éducation. Le Secrétariat a donc dû y consacrer un temps certain.</w:t>
            </w:r>
          </w:p>
        </w:tc>
        <w:tc>
          <w:tcPr>
            <w:tcW w:w="2500" w:type="pct"/>
          </w:tcPr>
          <w:p w14:paraId="43A0968B" w14:textId="66E5E554" w:rsidR="00A74D6C" w:rsidRPr="00C410E4" w:rsidRDefault="0076049E" w:rsidP="00C410E4">
            <w:pPr>
              <w:spacing w:before="60" w:after="60"/>
              <w:jc w:val="both"/>
              <w:rPr>
                <w:rFonts w:ascii="Arial" w:hAnsi="Arial" w:cs="Arial"/>
                <w:sz w:val="20"/>
                <w:szCs w:val="20"/>
              </w:rPr>
            </w:pPr>
            <w:r>
              <w:rPr>
                <w:rFonts w:ascii="Arial" w:hAnsi="Arial"/>
                <w:sz w:val="20"/>
                <w:szCs w:val="20"/>
              </w:rPr>
              <w:t>Il a été difficile de dégager suffisamment de temps pour toutes ces consultations, mais elles ont grandement contribué au développement de solides partenariats avant, pendant et après la réunion, sur lesquels les futures activités pourront donc s</w:t>
            </w:r>
            <w:r w:rsidR="00ED6BBD">
              <w:rPr>
                <w:rFonts w:ascii="Arial" w:hAnsi="Arial"/>
                <w:sz w:val="20"/>
                <w:szCs w:val="20"/>
              </w:rPr>
              <w:t>’</w:t>
            </w:r>
            <w:r>
              <w:rPr>
                <w:rFonts w:ascii="Arial" w:hAnsi="Arial"/>
                <w:sz w:val="20"/>
                <w:szCs w:val="20"/>
              </w:rPr>
              <w:t>appuyer.</w:t>
            </w:r>
          </w:p>
        </w:tc>
      </w:tr>
      <w:tr w:rsidR="00DB2021" w:rsidRPr="00DD6C76" w14:paraId="49E2E503" w14:textId="77777777" w:rsidTr="00203F98">
        <w:tc>
          <w:tcPr>
            <w:tcW w:w="2500" w:type="pct"/>
          </w:tcPr>
          <w:p w14:paraId="7715CFDA" w14:textId="57FFFA0E" w:rsidR="00DB2021" w:rsidRPr="001C6031" w:rsidRDefault="00CF1CE2">
            <w:pPr>
              <w:spacing w:before="60" w:after="60"/>
              <w:jc w:val="both"/>
              <w:rPr>
                <w:rFonts w:ascii="Arial" w:hAnsi="Arial" w:cs="Arial"/>
                <w:sz w:val="20"/>
                <w:szCs w:val="20"/>
              </w:rPr>
            </w:pPr>
            <w:r>
              <w:rPr>
                <w:rFonts w:ascii="Arial" w:hAnsi="Arial"/>
                <w:sz w:val="20"/>
                <w:szCs w:val="20"/>
              </w:rPr>
              <w:t>L</w:t>
            </w:r>
            <w:r w:rsidR="00ED6BBD">
              <w:rPr>
                <w:rFonts w:ascii="Arial" w:hAnsi="Arial"/>
                <w:sz w:val="20"/>
                <w:szCs w:val="20"/>
              </w:rPr>
              <w:t>’</w:t>
            </w:r>
            <w:r>
              <w:rPr>
                <w:rFonts w:ascii="Arial" w:hAnsi="Arial"/>
                <w:sz w:val="20"/>
                <w:szCs w:val="20"/>
              </w:rPr>
              <w:t>élaboration d</w:t>
            </w:r>
            <w:r w:rsidR="00ED6BBD">
              <w:rPr>
                <w:rFonts w:ascii="Arial" w:hAnsi="Arial"/>
                <w:sz w:val="20"/>
                <w:szCs w:val="20"/>
              </w:rPr>
              <w:t>’</w:t>
            </w:r>
            <w:r>
              <w:rPr>
                <w:rFonts w:ascii="Arial" w:hAnsi="Arial"/>
                <w:sz w:val="20"/>
                <w:szCs w:val="20"/>
              </w:rPr>
              <w:t>un cadre complet de communication et de sensibilisation étant une première expérience pour la Convention, le Secrétariat a éprouvé des difficultés à identifier de potentielles agences partenaires possédant l</w:t>
            </w:r>
            <w:r w:rsidR="00ED6BBD">
              <w:rPr>
                <w:rFonts w:ascii="Arial" w:hAnsi="Arial"/>
                <w:sz w:val="20"/>
                <w:szCs w:val="20"/>
              </w:rPr>
              <w:t>’</w:t>
            </w:r>
            <w:r>
              <w:rPr>
                <w:rFonts w:ascii="Arial" w:hAnsi="Arial"/>
                <w:sz w:val="20"/>
                <w:szCs w:val="20"/>
              </w:rPr>
              <w:t>expérience appropriée en matière de culture à l</w:t>
            </w:r>
            <w:r w:rsidR="00ED6BBD">
              <w:rPr>
                <w:rFonts w:ascii="Arial" w:hAnsi="Arial"/>
                <w:sz w:val="20"/>
                <w:szCs w:val="20"/>
              </w:rPr>
              <w:t>’</w:t>
            </w:r>
            <w:r>
              <w:rPr>
                <w:rFonts w:ascii="Arial" w:hAnsi="Arial"/>
                <w:sz w:val="20"/>
                <w:szCs w:val="20"/>
              </w:rPr>
              <w:t>échelle internationale ; et aussi à faire comprendre à ces partenaires la mission et les principaux objectifs de la Convention, ainsi que les mandats et fonctions de l</w:t>
            </w:r>
            <w:r w:rsidR="00ED6BBD">
              <w:rPr>
                <w:rFonts w:ascii="Arial" w:hAnsi="Arial"/>
                <w:sz w:val="20"/>
                <w:szCs w:val="20"/>
              </w:rPr>
              <w:t>’</w:t>
            </w:r>
            <w:r>
              <w:rPr>
                <w:rFonts w:ascii="Arial" w:hAnsi="Arial"/>
                <w:sz w:val="20"/>
                <w:szCs w:val="20"/>
              </w:rPr>
              <w:t>UNESCO.</w:t>
            </w:r>
            <w:r>
              <w:rPr>
                <w:rFonts w:ascii="Arial" w:hAnsi="Arial"/>
                <w:color w:val="244061" w:themeColor="accent1" w:themeShade="80"/>
                <w:sz w:val="20"/>
                <w:szCs w:val="20"/>
              </w:rPr>
              <w:t xml:space="preserve">  </w:t>
            </w:r>
          </w:p>
        </w:tc>
        <w:tc>
          <w:tcPr>
            <w:tcW w:w="2500" w:type="pct"/>
          </w:tcPr>
          <w:p w14:paraId="1AD3C96C" w14:textId="4142A7D4" w:rsidR="00DB2021" w:rsidRPr="001C6031" w:rsidRDefault="00CF1CE2" w:rsidP="00C410E4">
            <w:pPr>
              <w:spacing w:before="60" w:after="60"/>
              <w:jc w:val="both"/>
              <w:rPr>
                <w:rFonts w:ascii="Arial" w:hAnsi="Arial" w:cs="Arial"/>
                <w:sz w:val="20"/>
                <w:szCs w:val="20"/>
              </w:rPr>
            </w:pPr>
            <w:r>
              <w:rPr>
                <w:rFonts w:ascii="Arial" w:hAnsi="Arial"/>
                <w:sz w:val="20"/>
                <w:szCs w:val="20"/>
              </w:rPr>
              <w:t>Le Secrétariat a déployé des efforts supplémentaires pour rechercher des réseaux externes et des plateformes en ligne où diffuser l</w:t>
            </w:r>
            <w:r w:rsidR="00ED6BBD">
              <w:rPr>
                <w:rFonts w:ascii="Arial" w:hAnsi="Arial"/>
                <w:sz w:val="20"/>
                <w:szCs w:val="20"/>
              </w:rPr>
              <w:t>’</w:t>
            </w:r>
            <w:r>
              <w:rPr>
                <w:rFonts w:ascii="Arial" w:hAnsi="Arial"/>
                <w:sz w:val="20"/>
                <w:szCs w:val="20"/>
              </w:rPr>
              <w:t>appel à grande échelle (par exemple, le Portail mondial pour les fournisseurs des organismes des Nations Unies), ce qui a donné lieu à une forte participation de potentielles agences partenaires. L</w:t>
            </w:r>
            <w:r w:rsidR="00ED6BBD">
              <w:rPr>
                <w:rFonts w:ascii="Arial" w:hAnsi="Arial"/>
                <w:sz w:val="20"/>
                <w:szCs w:val="20"/>
              </w:rPr>
              <w:t>’</w:t>
            </w:r>
            <w:r>
              <w:rPr>
                <w:rFonts w:ascii="Arial" w:hAnsi="Arial"/>
                <w:sz w:val="20"/>
                <w:szCs w:val="20"/>
              </w:rPr>
              <w:t>agence finalement choisie se trouvant à Paris, de nombreuses réunions ont pu être organisées, en complément de la correspondance régulière et des échanges par e-mail, pour combler les lacunes et favoriser une compréhension mutuelle.</w:t>
            </w:r>
          </w:p>
        </w:tc>
      </w:tr>
    </w:tbl>
    <w:p w14:paraId="482713F2" w14:textId="77777777" w:rsidR="001E21CE" w:rsidRPr="002763E0" w:rsidRDefault="001E21CE" w:rsidP="00C410E4">
      <w:pPr>
        <w:pStyle w:val="Marge"/>
        <w:spacing w:before="120" w:after="120"/>
        <w:rPr>
          <w:rFonts w:cs="Arial"/>
          <w:b/>
          <w:bCs/>
          <w:szCs w:val="22"/>
        </w:rPr>
      </w:pPr>
    </w:p>
    <w:sectPr w:rsidR="001E21CE" w:rsidRPr="002763E0" w:rsidSect="00C26996">
      <w:headerReference w:type="even" r:id="rId14"/>
      <w:headerReference w:type="default" r:id="rId15"/>
      <w:headerReference w:type="first" r:id="rId16"/>
      <w:pgSz w:w="11906" w:h="16838" w:code="9"/>
      <w:pgMar w:top="1418" w:right="1134" w:bottom="1134" w:left="1134" w:header="397" w:footer="284"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B7D703" w16cid:durableId="1E8AEFBD"/>
  <w16cid:commentId w16cid:paraId="58AB4696" w16cid:durableId="1E8AF0AB"/>
  <w16cid:commentId w16cid:paraId="181493AA" w16cid:durableId="1E8AE2C4"/>
  <w16cid:commentId w16cid:paraId="4DED6F52" w16cid:durableId="1E8AE52D"/>
  <w16cid:commentId w16cid:paraId="2532D0DB" w16cid:durableId="1E8AE5E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A1E4F" w14:textId="77777777" w:rsidR="00ED6BBD" w:rsidRDefault="00ED6BBD" w:rsidP="00655736">
      <w:r>
        <w:separator/>
      </w:r>
    </w:p>
  </w:endnote>
  <w:endnote w:type="continuationSeparator" w:id="0">
    <w:p w14:paraId="0CF889B5" w14:textId="77777777" w:rsidR="00ED6BBD" w:rsidRDefault="00ED6BBD"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2F2FCB" w14:textId="77777777" w:rsidR="00ED6BBD" w:rsidRDefault="00ED6BBD" w:rsidP="00655736">
      <w:r>
        <w:separator/>
      </w:r>
    </w:p>
  </w:footnote>
  <w:footnote w:type="continuationSeparator" w:id="0">
    <w:p w14:paraId="3312C6A3" w14:textId="77777777" w:rsidR="00ED6BBD" w:rsidRDefault="00ED6BBD" w:rsidP="00655736">
      <w:r>
        <w:continuationSeparator/>
      </w:r>
    </w:p>
  </w:footnote>
  <w:footnote w:id="1">
    <w:p w14:paraId="42D39A77" w14:textId="3D7899B2" w:rsidR="00ED6BBD" w:rsidRPr="00B973F3" w:rsidRDefault="00ED6BBD" w:rsidP="003C1A1C">
      <w:pPr>
        <w:pStyle w:val="FootnoteText"/>
        <w:ind w:left="567" w:hanging="567"/>
        <w:rPr>
          <w:sz w:val="18"/>
          <w:szCs w:val="18"/>
        </w:rPr>
      </w:pPr>
      <w:r>
        <w:rPr>
          <w:rStyle w:val="FootnoteReference"/>
          <w:sz w:val="18"/>
          <w:szCs w:val="18"/>
          <w:vertAlign w:val="baseline"/>
        </w:rPr>
        <w:footnoteRef/>
      </w:r>
      <w:r>
        <w:rPr>
          <w:sz w:val="18"/>
          <w:szCs w:val="18"/>
        </w:rPr>
        <w:t>.</w:t>
      </w:r>
      <w:r>
        <w:rPr>
          <w:sz w:val="18"/>
          <w:szCs w:val="18"/>
        </w:rPr>
        <w:tab/>
        <w:t>L’Assemblée générale a également approuvé le budget provisoire pour la période du 1</w:t>
      </w:r>
      <w:r>
        <w:rPr>
          <w:sz w:val="18"/>
          <w:szCs w:val="18"/>
          <w:vertAlign w:val="superscript"/>
        </w:rPr>
        <w:t>er</w:t>
      </w:r>
      <w:r>
        <w:rPr>
          <w:sz w:val="18"/>
          <w:szCs w:val="18"/>
        </w:rPr>
        <w:t xml:space="preserve"> janvier 2018 au 30 juin 2018. Cependant, puisque cette période n’est pas achevée au moment de sa rédaction et conformément à la </w:t>
      </w:r>
      <w:hyperlink r:id="rId1" w:history="1">
        <w:r>
          <w:rPr>
            <w:rStyle w:val="Hyperlink"/>
            <w:sz w:val="18"/>
            <w:szCs w:val="18"/>
          </w:rPr>
          <w:t>résolution 6.GA 6</w:t>
        </w:r>
      </w:hyperlink>
      <w:r>
        <w:rPr>
          <w:sz w:val="18"/>
          <w:szCs w:val="18"/>
        </w:rPr>
        <w:t xml:space="preserve"> de l’Assemblée générale, le présent rapport couvre uniquement la période du 1</w:t>
      </w:r>
      <w:r>
        <w:rPr>
          <w:sz w:val="18"/>
          <w:szCs w:val="18"/>
          <w:vertAlign w:val="superscript"/>
        </w:rPr>
        <w:t>er</w:t>
      </w:r>
      <w:r>
        <w:rPr>
          <w:sz w:val="18"/>
          <w:szCs w:val="18"/>
        </w:rPr>
        <w:t> janvier 2016 au 31 décembre 2017 et utilise le format des rapports biennaux pour suivre le cycle biennal de l’UNESCO.</w:t>
      </w:r>
    </w:p>
  </w:footnote>
  <w:footnote w:id="2">
    <w:p w14:paraId="49E0D157" w14:textId="209BFF41" w:rsidR="00ED6BBD" w:rsidRPr="00B973F3" w:rsidRDefault="00ED6BBD" w:rsidP="00473C13">
      <w:pPr>
        <w:pStyle w:val="FootnoteText"/>
        <w:ind w:left="567" w:hanging="567"/>
        <w:rPr>
          <w:sz w:val="18"/>
          <w:szCs w:val="18"/>
        </w:rPr>
      </w:pPr>
      <w:r>
        <w:rPr>
          <w:rStyle w:val="FootnoteReference"/>
          <w:rFonts w:cs="Arial"/>
          <w:sz w:val="18"/>
          <w:szCs w:val="18"/>
          <w:vertAlign w:val="baseline"/>
        </w:rPr>
        <w:footnoteRef/>
      </w:r>
      <w:r>
        <w:rPr>
          <w:sz w:val="18"/>
          <w:szCs w:val="18"/>
        </w:rPr>
        <w:t>.</w:t>
      </w:r>
      <w:r>
        <w:rPr>
          <w:rStyle w:val="FootnoteReference"/>
          <w:sz w:val="18"/>
          <w:szCs w:val="18"/>
          <w:vertAlign w:val="baseline"/>
        </w:rPr>
        <w:tab/>
        <w:t>Tous les chiffres des tableaux ci-dessus sont exprimés en dollars des États-Unis</w:t>
      </w:r>
      <w:r>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4F994" w14:textId="13739746" w:rsidR="00ED6BBD" w:rsidRPr="00473C13" w:rsidRDefault="00ED6BBD" w:rsidP="00F7622D">
    <w:pPr>
      <w:pStyle w:val="Header"/>
    </w:pPr>
    <w:r>
      <w:rPr>
        <w:rFonts w:ascii="Arial" w:hAnsi="Arial"/>
        <w:sz w:val="20"/>
        <w:szCs w:val="20"/>
      </w:rPr>
      <w:t xml:space="preserve">ITH/18/13.COM 2.BUR/INF.3 – page </w:t>
    </w:r>
    <w:r w:rsidRPr="00C23A97">
      <w:rPr>
        <w:rStyle w:val="PageNumber"/>
        <w:rFonts w:ascii="Arial" w:hAnsi="Arial" w:cs="Arial"/>
        <w:sz w:val="20"/>
        <w:szCs w:val="20"/>
      </w:rPr>
      <w:fldChar w:fldCharType="begin"/>
    </w:r>
    <w:r w:rsidRPr="00C23A97">
      <w:rPr>
        <w:rStyle w:val="PageNumber"/>
        <w:rFonts w:ascii="Arial" w:hAnsi="Arial" w:cs="Arial"/>
        <w:sz w:val="20"/>
        <w:szCs w:val="20"/>
      </w:rPr>
      <w:instrText xml:space="preserve"> PAGE </w:instrText>
    </w:r>
    <w:r w:rsidRPr="00C23A97">
      <w:rPr>
        <w:rStyle w:val="PageNumber"/>
        <w:rFonts w:ascii="Arial" w:hAnsi="Arial" w:cs="Arial"/>
        <w:sz w:val="20"/>
        <w:szCs w:val="20"/>
      </w:rPr>
      <w:fldChar w:fldCharType="separate"/>
    </w:r>
    <w:r w:rsidR="006B157A">
      <w:rPr>
        <w:rStyle w:val="PageNumber"/>
        <w:rFonts w:ascii="Arial" w:hAnsi="Arial" w:cs="Arial"/>
        <w:noProof/>
        <w:sz w:val="20"/>
        <w:szCs w:val="20"/>
      </w:rPr>
      <w:t>10</w:t>
    </w:r>
    <w:r w:rsidRPr="00C23A97">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67113" w14:textId="28437D1A" w:rsidR="00ED6BBD" w:rsidRPr="00473C13" w:rsidRDefault="00ED6BBD" w:rsidP="00C26996">
    <w:pPr>
      <w:pStyle w:val="Header"/>
      <w:jc w:val="right"/>
    </w:pPr>
    <w:r>
      <w:rPr>
        <w:rFonts w:ascii="Arial" w:hAnsi="Arial"/>
        <w:sz w:val="20"/>
        <w:szCs w:val="20"/>
      </w:rPr>
      <w:t xml:space="preserve">ITH/18/13.COM 2.BUR/INF.3 – page </w:t>
    </w:r>
    <w:r w:rsidRPr="00C23A97">
      <w:rPr>
        <w:rStyle w:val="PageNumber"/>
        <w:rFonts w:ascii="Arial" w:hAnsi="Arial" w:cs="Arial"/>
        <w:sz w:val="20"/>
        <w:szCs w:val="20"/>
      </w:rPr>
      <w:fldChar w:fldCharType="begin"/>
    </w:r>
    <w:r w:rsidRPr="00C23A97">
      <w:rPr>
        <w:rStyle w:val="PageNumber"/>
        <w:rFonts w:ascii="Arial" w:hAnsi="Arial" w:cs="Arial"/>
        <w:sz w:val="20"/>
        <w:szCs w:val="20"/>
      </w:rPr>
      <w:instrText xml:space="preserve"> PAGE </w:instrText>
    </w:r>
    <w:r w:rsidRPr="00C23A97">
      <w:rPr>
        <w:rStyle w:val="PageNumber"/>
        <w:rFonts w:ascii="Arial" w:hAnsi="Arial" w:cs="Arial"/>
        <w:sz w:val="20"/>
        <w:szCs w:val="20"/>
      </w:rPr>
      <w:fldChar w:fldCharType="separate"/>
    </w:r>
    <w:r w:rsidR="006B157A">
      <w:rPr>
        <w:rStyle w:val="PageNumber"/>
        <w:rFonts w:ascii="Arial" w:hAnsi="Arial" w:cs="Arial"/>
        <w:noProof/>
        <w:sz w:val="20"/>
        <w:szCs w:val="20"/>
      </w:rPr>
      <w:t>11</w:t>
    </w:r>
    <w:r w:rsidRPr="00C23A97">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17CDB" w14:textId="22290621" w:rsidR="00ED6BBD" w:rsidRPr="00F32C23" w:rsidRDefault="00C05011">
    <w:pPr>
      <w:pStyle w:val="Header"/>
    </w:pPr>
    <w:r>
      <w:rPr>
        <w:noProof/>
      </w:rPr>
      <w:drawing>
        <wp:anchor distT="0" distB="0" distL="114300" distR="114300" simplePos="0" relativeHeight="251659264" behindDoc="0" locked="0" layoutInCell="1" allowOverlap="1" wp14:anchorId="1ADCD75D" wp14:editId="08EC94C8">
          <wp:simplePos x="0" y="0"/>
          <wp:positionH relativeFrom="page">
            <wp:posOffset>342265</wp:posOffset>
          </wp:positionH>
          <wp:positionV relativeFrom="page">
            <wp:posOffset>255905</wp:posOffset>
          </wp:positionV>
          <wp:extent cx="2037600" cy="1530000"/>
          <wp:effectExtent l="0" t="0" r="1270" b="0"/>
          <wp:wrapNone/>
          <wp:docPr id="2" name="Picture 15"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600" cy="153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DFC3C2" w14:textId="7EF3EFC2" w:rsidR="00ED6BBD" w:rsidRPr="002763E0" w:rsidRDefault="00ED6BBD" w:rsidP="00655736">
    <w:pPr>
      <w:pStyle w:val="Header"/>
      <w:spacing w:after="520"/>
      <w:jc w:val="right"/>
      <w:rPr>
        <w:rFonts w:ascii="Arial" w:hAnsi="Arial" w:cs="Arial"/>
        <w:b/>
        <w:sz w:val="44"/>
        <w:szCs w:val="44"/>
        <w:lang w:val="en-US"/>
      </w:rPr>
    </w:pPr>
    <w:r w:rsidRPr="002763E0">
      <w:rPr>
        <w:rFonts w:ascii="Arial" w:hAnsi="Arial"/>
        <w:b/>
        <w:sz w:val="44"/>
        <w:szCs w:val="44"/>
        <w:lang w:val="en-US"/>
      </w:rPr>
      <w:t>13 COM 2 BUR</w:t>
    </w:r>
  </w:p>
  <w:p w14:paraId="5365E063" w14:textId="37A60873" w:rsidR="00ED6BBD" w:rsidRPr="002763E0" w:rsidRDefault="00ED6BBD" w:rsidP="00655736">
    <w:pPr>
      <w:jc w:val="right"/>
      <w:rPr>
        <w:rFonts w:ascii="Arial" w:hAnsi="Arial" w:cs="Arial"/>
        <w:b/>
        <w:sz w:val="22"/>
        <w:szCs w:val="22"/>
        <w:lang w:val="en-US"/>
      </w:rPr>
    </w:pPr>
    <w:r w:rsidRPr="002763E0">
      <w:rPr>
        <w:rFonts w:ascii="Arial" w:hAnsi="Arial"/>
        <w:b/>
        <w:sz w:val="22"/>
        <w:szCs w:val="22"/>
        <w:lang w:val="en-US"/>
      </w:rPr>
      <w:t>ITH/18/13.COM 2.BUR/INF.3</w:t>
    </w:r>
  </w:p>
  <w:p w14:paraId="065E19FF" w14:textId="352D5851" w:rsidR="00ED6BBD" w:rsidRPr="002763E0" w:rsidRDefault="00ED6BBD" w:rsidP="00655736">
    <w:pPr>
      <w:jc w:val="right"/>
      <w:rPr>
        <w:rFonts w:ascii="Arial" w:hAnsi="Arial" w:cs="Arial"/>
        <w:b/>
        <w:sz w:val="22"/>
        <w:szCs w:val="22"/>
        <w:lang w:val="en-US"/>
      </w:rPr>
    </w:pPr>
    <w:r w:rsidRPr="002763E0">
      <w:rPr>
        <w:rFonts w:ascii="Arial" w:hAnsi="Arial"/>
        <w:b/>
        <w:sz w:val="22"/>
        <w:szCs w:val="22"/>
        <w:lang w:val="en-US"/>
      </w:rPr>
      <w:t xml:space="preserve">Paris, </w:t>
    </w:r>
    <w:r>
      <w:rPr>
        <w:rFonts w:ascii="Arial" w:hAnsi="Arial"/>
        <w:b/>
        <w:sz w:val="22"/>
        <w:szCs w:val="22"/>
        <w:lang w:val="en-US"/>
      </w:rPr>
      <w:t xml:space="preserve">le </w:t>
    </w:r>
    <w:r w:rsidR="009826A5">
      <w:rPr>
        <w:rFonts w:ascii="Arial" w:hAnsi="Arial"/>
        <w:b/>
        <w:sz w:val="22"/>
        <w:szCs w:val="22"/>
        <w:lang w:val="en-US"/>
      </w:rPr>
      <w:t>6</w:t>
    </w:r>
    <w:r w:rsidRPr="002763E0">
      <w:rPr>
        <w:rFonts w:ascii="Arial" w:hAnsi="Arial"/>
        <w:b/>
        <w:sz w:val="22"/>
        <w:szCs w:val="22"/>
        <w:lang w:val="en-US"/>
      </w:rPr>
      <w:t xml:space="preserve"> </w:t>
    </w:r>
    <w:proofErr w:type="spellStart"/>
    <w:r w:rsidRPr="002763E0">
      <w:rPr>
        <w:rFonts w:ascii="Arial" w:hAnsi="Arial"/>
        <w:b/>
        <w:sz w:val="22"/>
        <w:szCs w:val="22"/>
        <w:lang w:val="en-US"/>
      </w:rPr>
      <w:t>juin</w:t>
    </w:r>
    <w:proofErr w:type="spellEnd"/>
    <w:r w:rsidRPr="002763E0">
      <w:rPr>
        <w:rFonts w:ascii="Arial" w:hAnsi="Arial"/>
        <w:b/>
        <w:sz w:val="22"/>
        <w:szCs w:val="22"/>
        <w:lang w:val="en-US"/>
      </w:rPr>
      <w:t xml:space="preserve"> 2018</w:t>
    </w:r>
  </w:p>
  <w:p w14:paraId="586369FE" w14:textId="0B94BEE1" w:rsidR="00ED6BBD" w:rsidRPr="006B157A" w:rsidRDefault="00ED6BBD" w:rsidP="006B157A">
    <w:pPr>
      <w:jc w:val="right"/>
      <w:rPr>
        <w:rFonts w:ascii="Arial" w:hAnsi="Arial" w:cs="Arial"/>
        <w:b/>
        <w:sz w:val="22"/>
        <w:szCs w:val="22"/>
      </w:rPr>
    </w:pPr>
    <w:r>
      <w:rPr>
        <w:rFonts w:ascii="Arial" w:hAnsi="Arial"/>
        <w:b/>
        <w:sz w:val="22"/>
        <w:szCs w:val="22"/>
      </w:rPr>
      <w:t>Original : anglais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162AC226"/>
    <w:lvl w:ilvl="0">
      <w:start w:val="1"/>
      <w:numFmt w:val="decimal"/>
      <w:lvlText w:val="%1."/>
      <w:lvlJc w:val="left"/>
      <w:pPr>
        <w:tabs>
          <w:tab w:val="num" w:pos="2062"/>
        </w:tabs>
        <w:ind w:left="2062" w:hanging="360"/>
      </w:pPr>
      <w:rPr>
        <w:rFonts w:ascii="Arial" w:eastAsia="Arial" w:hAnsi="Arial" w:cs="Arial"/>
        <w:sz w:val="22"/>
        <w:szCs w:val="22"/>
        <w:bdr w:val="none" w:sz="0" w:space="0" w:color="auto" w:frame="1"/>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47754B"/>
    <w:multiLevelType w:val="hybridMultilevel"/>
    <w:tmpl w:val="B5E8F750"/>
    <w:lvl w:ilvl="0" w:tplc="8234782C">
      <w:start w:val="200"/>
      <w:numFmt w:val="bullet"/>
      <w:lvlText w:val="-"/>
      <w:lvlJc w:val="left"/>
      <w:pPr>
        <w:ind w:left="720" w:hanging="360"/>
      </w:pPr>
      <w:rPr>
        <w:rFonts w:ascii="Arial" w:eastAsia="Calibri" w:hAnsi="Arial" w:cs="Arial" w:hint="default"/>
        <w:b w:val="0"/>
        <w:bCs w:val="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8A7F8F"/>
    <w:multiLevelType w:val="hybridMultilevel"/>
    <w:tmpl w:val="331C14DC"/>
    <w:lvl w:ilvl="0" w:tplc="040C0001">
      <w:start w:val="1"/>
      <w:numFmt w:val="bullet"/>
      <w:lvlText w:val=""/>
      <w:lvlJc w:val="left"/>
      <w:pPr>
        <w:ind w:left="720" w:hanging="360"/>
      </w:pPr>
      <w:rPr>
        <w:rFonts w:ascii="Symbol" w:hAnsi="Symbol"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DA76B9"/>
    <w:multiLevelType w:val="hybridMultilevel"/>
    <w:tmpl w:val="A4F2784A"/>
    <w:lvl w:ilvl="0" w:tplc="3208CFA2">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7762FF8"/>
    <w:multiLevelType w:val="hybridMultilevel"/>
    <w:tmpl w:val="E0DCF2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7" w15:restartNumberingAfterBreak="0">
    <w:nsid w:val="1D7D728D"/>
    <w:multiLevelType w:val="hybridMultilevel"/>
    <w:tmpl w:val="E1BA52DC"/>
    <w:lvl w:ilvl="0" w:tplc="2A6A9BB0">
      <w:start w:val="1"/>
      <w:numFmt w:val="decimal"/>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5AE481C"/>
    <w:multiLevelType w:val="hybridMultilevel"/>
    <w:tmpl w:val="C0DC2852"/>
    <w:lvl w:ilvl="0" w:tplc="0714CA76">
      <w:start w:val="20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6F960B4"/>
    <w:multiLevelType w:val="hybridMultilevel"/>
    <w:tmpl w:val="399445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3"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4" w15:restartNumberingAfterBreak="0">
    <w:nsid w:val="3AC30BD2"/>
    <w:multiLevelType w:val="hybridMultilevel"/>
    <w:tmpl w:val="27C40886"/>
    <w:lvl w:ilvl="0" w:tplc="F2A68DC4">
      <w:start w:val="1"/>
      <w:numFmt w:val="upperRoman"/>
      <w:pStyle w:val="Heading4"/>
      <w:lvlText w:val="%1."/>
      <w:lvlJc w:val="left"/>
      <w:pPr>
        <w:ind w:left="36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E0D2D12"/>
    <w:multiLevelType w:val="hybridMultilevel"/>
    <w:tmpl w:val="6FBACBA0"/>
    <w:lvl w:ilvl="0" w:tplc="8AF8E5AA">
      <w:start w:val="20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7"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8" w15:restartNumberingAfterBreak="0">
    <w:nsid w:val="47140D93"/>
    <w:multiLevelType w:val="hybridMultilevel"/>
    <w:tmpl w:val="3914388C"/>
    <w:lvl w:ilvl="0" w:tplc="A9B86E72">
      <w:start w:val="1"/>
      <w:numFmt w:val="decimal"/>
      <w:pStyle w:val="5GAparabodytext"/>
      <w:lvlText w:val="%1."/>
      <w:lvlJc w:val="left"/>
      <w:pPr>
        <w:ind w:left="1287" w:hanging="360"/>
      </w:pPr>
      <w:rPr>
        <w:b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9" w15:restartNumberingAfterBreak="0">
    <w:nsid w:val="485F376B"/>
    <w:multiLevelType w:val="hybridMultilevel"/>
    <w:tmpl w:val="986A85C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A63A97"/>
    <w:multiLevelType w:val="hybridMultilevel"/>
    <w:tmpl w:val="EED4BE02"/>
    <w:lvl w:ilvl="0" w:tplc="BD5AB06E">
      <w:start w:val="1"/>
      <w:numFmt w:val="upperRoman"/>
      <w:lvlText w:val="%1."/>
      <w:lvlJc w:val="lef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994573A"/>
    <w:multiLevelType w:val="hybridMultilevel"/>
    <w:tmpl w:val="7256B022"/>
    <w:lvl w:ilvl="0" w:tplc="A574CF68">
      <w:start w:val="1"/>
      <w:numFmt w:val="bullet"/>
      <w:pStyle w:val="Bullet1"/>
      <w:lvlText w:val=""/>
      <w:lvlJc w:val="left"/>
      <w:pPr>
        <w:ind w:left="720" w:hanging="360"/>
      </w:pPr>
      <w:rPr>
        <w:rFonts w:ascii="Symbol" w:hAnsi="Symbol" w:hint="default"/>
      </w:rPr>
    </w:lvl>
    <w:lvl w:ilvl="1" w:tplc="19845772">
      <w:start w:val="1"/>
      <w:numFmt w:val="bullet"/>
      <w:pStyle w:val="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DC778C2"/>
    <w:multiLevelType w:val="hybridMultilevel"/>
    <w:tmpl w:val="08B2D8F0"/>
    <w:lvl w:ilvl="0" w:tplc="24D08236">
      <w:start w:val="1"/>
      <w:numFmt w:val="decimal"/>
      <w:pStyle w:val="Paragraph"/>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24"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A89559F"/>
    <w:multiLevelType w:val="hybridMultilevel"/>
    <w:tmpl w:val="3E5A683E"/>
    <w:lvl w:ilvl="0" w:tplc="EEDAB292">
      <w:start w:val="1"/>
      <w:numFmt w:val="upp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6" w15:restartNumberingAfterBreak="0">
    <w:nsid w:val="737765A9"/>
    <w:multiLevelType w:val="hybridMultilevel"/>
    <w:tmpl w:val="99E092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A7B1A72"/>
    <w:multiLevelType w:val="hybridMultilevel"/>
    <w:tmpl w:val="14B83C50"/>
    <w:lvl w:ilvl="0" w:tplc="F872F9E2">
      <w:start w:val="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3"/>
  </w:num>
  <w:num w:numId="2">
    <w:abstractNumId w:val="12"/>
  </w:num>
  <w:num w:numId="3">
    <w:abstractNumId w:val="6"/>
  </w:num>
  <w:num w:numId="4">
    <w:abstractNumId w:val="27"/>
  </w:num>
  <w:num w:numId="5">
    <w:abstractNumId w:val="24"/>
  </w:num>
  <w:num w:numId="6">
    <w:abstractNumId w:val="4"/>
  </w:num>
  <w:num w:numId="7">
    <w:abstractNumId w:val="8"/>
  </w:num>
  <w:num w:numId="8">
    <w:abstractNumId w:val="17"/>
  </w:num>
  <w:num w:numId="9">
    <w:abstractNumId w:val="11"/>
  </w:num>
  <w:num w:numId="10">
    <w:abstractNumId w:val="13"/>
  </w:num>
  <w:num w:numId="11">
    <w:abstractNumId w:val="16"/>
  </w:num>
  <w:num w:numId="12">
    <w:abstractNumId w:val="14"/>
  </w:num>
  <w:num w:numId="13">
    <w:abstractNumId w:val="22"/>
  </w:num>
  <w:num w:numId="14">
    <w:abstractNumId w:val="7"/>
  </w:num>
  <w:num w:numId="15">
    <w:abstractNumId w:val="7"/>
  </w:num>
  <w:num w:numId="16">
    <w:abstractNumId w:val="19"/>
  </w:num>
  <w:num w:numId="17">
    <w:abstractNumId w:val="14"/>
  </w:num>
  <w:num w:numId="18">
    <w:abstractNumId w:val="7"/>
  </w:num>
  <w:num w:numId="19">
    <w:abstractNumId w:val="7"/>
  </w:num>
  <w:num w:numId="20">
    <w:abstractNumId w:val="7"/>
  </w:num>
  <w:num w:numId="21">
    <w:abstractNumId w:val="7"/>
  </w:num>
  <w:num w:numId="22">
    <w:abstractNumId w:val="7"/>
  </w:num>
  <w:num w:numId="23">
    <w:abstractNumId w:val="14"/>
  </w:num>
  <w:num w:numId="24">
    <w:abstractNumId w:val="7"/>
  </w:num>
  <w:num w:numId="25">
    <w:abstractNumId w:val="10"/>
  </w:num>
  <w:num w:numId="26">
    <w:abstractNumId w:val="20"/>
  </w:num>
  <w:num w:numId="27">
    <w:abstractNumId w:val="2"/>
  </w:num>
  <w:num w:numId="28">
    <w:abstractNumId w:val="5"/>
  </w:num>
  <w:num w:numId="29">
    <w:abstractNumId w:val="7"/>
  </w:num>
  <w:num w:numId="30">
    <w:abstractNumId w:val="0"/>
  </w:num>
  <w:num w:numId="31">
    <w:abstractNumId w:val="7"/>
  </w:num>
  <w:num w:numId="32">
    <w:abstractNumId w:val="7"/>
  </w:num>
  <w:num w:numId="33">
    <w:abstractNumId w:val="7"/>
  </w:num>
  <w:num w:numId="34">
    <w:abstractNumId w:val="7"/>
  </w:num>
  <w:num w:numId="35">
    <w:abstractNumId w:val="7"/>
  </w:num>
  <w:num w:numId="36">
    <w:abstractNumId w:val="18"/>
  </w:num>
  <w:num w:numId="37">
    <w:abstractNumId w:val="1"/>
  </w:num>
  <w:num w:numId="38">
    <w:abstractNumId w:val="9"/>
  </w:num>
  <w:num w:numId="39">
    <w:abstractNumId w:val="28"/>
  </w:num>
  <w:num w:numId="40">
    <w:abstractNumId w:val="26"/>
  </w:num>
  <w:num w:numId="41">
    <w:abstractNumId w:val="3"/>
  </w:num>
  <w:num w:numId="42">
    <w:abstractNumId w:val="18"/>
  </w:num>
  <w:num w:numId="43">
    <w:abstractNumId w:val="18"/>
  </w:num>
  <w:num w:numId="44">
    <w:abstractNumId w:val="18"/>
  </w:num>
  <w:num w:numId="45">
    <w:abstractNumId w:val="15"/>
  </w:num>
  <w:num w:numId="46">
    <w:abstractNumId w:val="18"/>
  </w:num>
  <w:num w:numId="47">
    <w:abstractNumId w:val="18"/>
  </w:num>
  <w:num w:numId="48">
    <w:abstractNumId w:val="18"/>
  </w:num>
  <w:num w:numId="49">
    <w:abstractNumId w:val="18"/>
    <w:lvlOverride w:ilvl="0">
      <w:startOverride w:val="1"/>
    </w:lvlOverride>
  </w:num>
  <w:num w:numId="50">
    <w:abstractNumId w:val="18"/>
  </w:num>
  <w:num w:numId="51">
    <w:abstractNumId w:val="18"/>
  </w:num>
  <w:num w:numId="52">
    <w:abstractNumId w:val="21"/>
  </w:num>
  <w:num w:numId="53">
    <w:abstractNumId w:val="18"/>
  </w:num>
  <w:num w:numId="54">
    <w:abstractNumId w:val="18"/>
  </w:num>
  <w:num w:numId="55">
    <w:abstractNumId w:val="25"/>
  </w:num>
  <w:num w:numId="56">
    <w:abstractNumId w:val="18"/>
  </w:num>
  <w:num w:numId="57">
    <w:abstractNumId w:val="14"/>
  </w:num>
  <w:num w:numId="58">
    <w:abstractNumId w:val="18"/>
  </w:num>
  <w:num w:numId="59">
    <w:abstractNumId w:val="18"/>
  </w:num>
  <w:num w:numId="60">
    <w:abstractNumId w:val="18"/>
  </w:num>
  <w:num w:numId="61">
    <w:abstractNumId w:val="14"/>
  </w:num>
  <w:num w:numId="62">
    <w:abstractNumId w:val="18"/>
  </w:num>
  <w:num w:numId="63">
    <w:abstractNumId w:val="18"/>
  </w:num>
  <w:num w:numId="64">
    <w:abstractNumId w:val="18"/>
  </w:num>
  <w:num w:numId="65">
    <w:abstractNumId w:val="18"/>
  </w:num>
  <w:num w:numId="66">
    <w:abstractNumId w:val="18"/>
  </w:num>
  <w:num w:numId="67">
    <w:abstractNumId w:val="14"/>
  </w:num>
  <w:num w:numId="68">
    <w:abstractNumId w:val="18"/>
  </w:num>
  <w:num w:numId="69">
    <w:abstractNumId w:val="1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0"/>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542"/>
    <w:rsid w:val="00000098"/>
    <w:rsid w:val="00000B37"/>
    <w:rsid w:val="00001AAF"/>
    <w:rsid w:val="000043D7"/>
    <w:rsid w:val="000048ED"/>
    <w:rsid w:val="000066CA"/>
    <w:rsid w:val="00006A30"/>
    <w:rsid w:val="00012450"/>
    <w:rsid w:val="000203AD"/>
    <w:rsid w:val="0002088D"/>
    <w:rsid w:val="00024861"/>
    <w:rsid w:val="00032764"/>
    <w:rsid w:val="00041A66"/>
    <w:rsid w:val="00043D8B"/>
    <w:rsid w:val="0004543D"/>
    <w:rsid w:val="00050402"/>
    <w:rsid w:val="0005176E"/>
    <w:rsid w:val="0005488C"/>
    <w:rsid w:val="000563F5"/>
    <w:rsid w:val="00056942"/>
    <w:rsid w:val="00060F44"/>
    <w:rsid w:val="00062AE4"/>
    <w:rsid w:val="00062F60"/>
    <w:rsid w:val="00062FEC"/>
    <w:rsid w:val="0006578F"/>
    <w:rsid w:val="00067A73"/>
    <w:rsid w:val="00072F12"/>
    <w:rsid w:val="000765F7"/>
    <w:rsid w:val="00077748"/>
    <w:rsid w:val="00077AB7"/>
    <w:rsid w:val="00081CD8"/>
    <w:rsid w:val="0008533B"/>
    <w:rsid w:val="00094696"/>
    <w:rsid w:val="00096476"/>
    <w:rsid w:val="000A0CE6"/>
    <w:rsid w:val="000A435E"/>
    <w:rsid w:val="000A7F0E"/>
    <w:rsid w:val="000B0173"/>
    <w:rsid w:val="000B03CE"/>
    <w:rsid w:val="000B03E7"/>
    <w:rsid w:val="000B1C8F"/>
    <w:rsid w:val="000B764C"/>
    <w:rsid w:val="000C0D61"/>
    <w:rsid w:val="000C1FBA"/>
    <w:rsid w:val="000C7204"/>
    <w:rsid w:val="000E146B"/>
    <w:rsid w:val="000E3F49"/>
    <w:rsid w:val="000E58F2"/>
    <w:rsid w:val="000E668D"/>
    <w:rsid w:val="000F2172"/>
    <w:rsid w:val="000F3A3F"/>
    <w:rsid w:val="000F5CE6"/>
    <w:rsid w:val="00101464"/>
    <w:rsid w:val="00102156"/>
    <w:rsid w:val="00102557"/>
    <w:rsid w:val="0010511F"/>
    <w:rsid w:val="0010561F"/>
    <w:rsid w:val="0010568C"/>
    <w:rsid w:val="00115A4C"/>
    <w:rsid w:val="001240CD"/>
    <w:rsid w:val="0012620F"/>
    <w:rsid w:val="00130C28"/>
    <w:rsid w:val="00133FA7"/>
    <w:rsid w:val="00134671"/>
    <w:rsid w:val="00135185"/>
    <w:rsid w:val="0013608A"/>
    <w:rsid w:val="0013706C"/>
    <w:rsid w:val="00140A35"/>
    <w:rsid w:val="00141864"/>
    <w:rsid w:val="00143F74"/>
    <w:rsid w:val="001463D4"/>
    <w:rsid w:val="001503B3"/>
    <w:rsid w:val="00154EA6"/>
    <w:rsid w:val="00164D56"/>
    <w:rsid w:val="00167B10"/>
    <w:rsid w:val="00170052"/>
    <w:rsid w:val="00171503"/>
    <w:rsid w:val="00172B3B"/>
    <w:rsid w:val="00173E88"/>
    <w:rsid w:val="0017402F"/>
    <w:rsid w:val="00174663"/>
    <w:rsid w:val="00176D9F"/>
    <w:rsid w:val="001804D1"/>
    <w:rsid w:val="001828B7"/>
    <w:rsid w:val="00184CCF"/>
    <w:rsid w:val="00190065"/>
    <w:rsid w:val="00192337"/>
    <w:rsid w:val="00196C1B"/>
    <w:rsid w:val="00197D64"/>
    <w:rsid w:val="001A5BDE"/>
    <w:rsid w:val="001A5C77"/>
    <w:rsid w:val="001B0F73"/>
    <w:rsid w:val="001B285F"/>
    <w:rsid w:val="001B4D5A"/>
    <w:rsid w:val="001C088C"/>
    <w:rsid w:val="001C2DB7"/>
    <w:rsid w:val="001C6031"/>
    <w:rsid w:val="001D1004"/>
    <w:rsid w:val="001D5C04"/>
    <w:rsid w:val="001E21CE"/>
    <w:rsid w:val="001E429B"/>
    <w:rsid w:val="001F0ABB"/>
    <w:rsid w:val="001F4AB8"/>
    <w:rsid w:val="001F75DB"/>
    <w:rsid w:val="002021ED"/>
    <w:rsid w:val="0020272E"/>
    <w:rsid w:val="00203F98"/>
    <w:rsid w:val="0020764F"/>
    <w:rsid w:val="00210A86"/>
    <w:rsid w:val="00212493"/>
    <w:rsid w:val="0021580D"/>
    <w:rsid w:val="0021741F"/>
    <w:rsid w:val="00222A2D"/>
    <w:rsid w:val="00223029"/>
    <w:rsid w:val="002244C9"/>
    <w:rsid w:val="00230F80"/>
    <w:rsid w:val="00234067"/>
    <w:rsid w:val="00234745"/>
    <w:rsid w:val="002407AF"/>
    <w:rsid w:val="00240833"/>
    <w:rsid w:val="00247946"/>
    <w:rsid w:val="00251542"/>
    <w:rsid w:val="00261C9E"/>
    <w:rsid w:val="00267C8A"/>
    <w:rsid w:val="002724B3"/>
    <w:rsid w:val="0027466B"/>
    <w:rsid w:val="002749C5"/>
    <w:rsid w:val="002763E0"/>
    <w:rsid w:val="002810A7"/>
    <w:rsid w:val="00282CE8"/>
    <w:rsid w:val="002838A5"/>
    <w:rsid w:val="00283E93"/>
    <w:rsid w:val="00285BB4"/>
    <w:rsid w:val="00285CCF"/>
    <w:rsid w:val="00286A27"/>
    <w:rsid w:val="00286D07"/>
    <w:rsid w:val="0029399C"/>
    <w:rsid w:val="002972F5"/>
    <w:rsid w:val="002A0427"/>
    <w:rsid w:val="002A21B7"/>
    <w:rsid w:val="002A2343"/>
    <w:rsid w:val="002A730E"/>
    <w:rsid w:val="002B1603"/>
    <w:rsid w:val="002B16B9"/>
    <w:rsid w:val="002B2767"/>
    <w:rsid w:val="002B70B6"/>
    <w:rsid w:val="002B7C8E"/>
    <w:rsid w:val="002C026A"/>
    <w:rsid w:val="002C09E3"/>
    <w:rsid w:val="002C1265"/>
    <w:rsid w:val="002D03A7"/>
    <w:rsid w:val="002D4E23"/>
    <w:rsid w:val="002E646E"/>
    <w:rsid w:val="002F3744"/>
    <w:rsid w:val="002F585A"/>
    <w:rsid w:val="002F5994"/>
    <w:rsid w:val="002F71D5"/>
    <w:rsid w:val="002F7D7E"/>
    <w:rsid w:val="00302068"/>
    <w:rsid w:val="0031706E"/>
    <w:rsid w:val="00321C2E"/>
    <w:rsid w:val="003242D2"/>
    <w:rsid w:val="00326520"/>
    <w:rsid w:val="003272F6"/>
    <w:rsid w:val="003277CE"/>
    <w:rsid w:val="0033050C"/>
    <w:rsid w:val="00334D91"/>
    <w:rsid w:val="0033515B"/>
    <w:rsid w:val="0034072B"/>
    <w:rsid w:val="00340E07"/>
    <w:rsid w:val="00340EBB"/>
    <w:rsid w:val="00341F89"/>
    <w:rsid w:val="00343F84"/>
    <w:rsid w:val="00344B58"/>
    <w:rsid w:val="00345CB4"/>
    <w:rsid w:val="00350080"/>
    <w:rsid w:val="00351013"/>
    <w:rsid w:val="003520B6"/>
    <w:rsid w:val="0035543D"/>
    <w:rsid w:val="00357ABE"/>
    <w:rsid w:val="00364DB9"/>
    <w:rsid w:val="00365A44"/>
    <w:rsid w:val="00367D2F"/>
    <w:rsid w:val="0037592C"/>
    <w:rsid w:val="00375D42"/>
    <w:rsid w:val="003774E5"/>
    <w:rsid w:val="00385066"/>
    <w:rsid w:val="003A3114"/>
    <w:rsid w:val="003A34F1"/>
    <w:rsid w:val="003A3A61"/>
    <w:rsid w:val="003A6EC6"/>
    <w:rsid w:val="003A7B01"/>
    <w:rsid w:val="003B045A"/>
    <w:rsid w:val="003B4563"/>
    <w:rsid w:val="003B76AE"/>
    <w:rsid w:val="003C06A4"/>
    <w:rsid w:val="003C1A1C"/>
    <w:rsid w:val="003C45E6"/>
    <w:rsid w:val="003D069C"/>
    <w:rsid w:val="003D12B5"/>
    <w:rsid w:val="003D1397"/>
    <w:rsid w:val="003D7646"/>
    <w:rsid w:val="003E20BB"/>
    <w:rsid w:val="003E346A"/>
    <w:rsid w:val="003F113A"/>
    <w:rsid w:val="003F1D48"/>
    <w:rsid w:val="003F238A"/>
    <w:rsid w:val="003F3DF8"/>
    <w:rsid w:val="003F3E63"/>
    <w:rsid w:val="003F6F36"/>
    <w:rsid w:val="004054C2"/>
    <w:rsid w:val="00407480"/>
    <w:rsid w:val="0041162A"/>
    <w:rsid w:val="00412AFB"/>
    <w:rsid w:val="00414596"/>
    <w:rsid w:val="00414643"/>
    <w:rsid w:val="00416AAC"/>
    <w:rsid w:val="004215AB"/>
    <w:rsid w:val="00422D9F"/>
    <w:rsid w:val="00430FB2"/>
    <w:rsid w:val="0043160E"/>
    <w:rsid w:val="00434E6B"/>
    <w:rsid w:val="004407F1"/>
    <w:rsid w:val="00441F38"/>
    <w:rsid w:val="004421E5"/>
    <w:rsid w:val="00446578"/>
    <w:rsid w:val="00451B6E"/>
    <w:rsid w:val="00452284"/>
    <w:rsid w:val="0045556F"/>
    <w:rsid w:val="00456731"/>
    <w:rsid w:val="00457C8E"/>
    <w:rsid w:val="0046331B"/>
    <w:rsid w:val="00464037"/>
    <w:rsid w:val="00465D94"/>
    <w:rsid w:val="00471F54"/>
    <w:rsid w:val="00473C13"/>
    <w:rsid w:val="00474B65"/>
    <w:rsid w:val="00477226"/>
    <w:rsid w:val="004804DF"/>
    <w:rsid w:val="00484176"/>
    <w:rsid w:val="00484AFA"/>
    <w:rsid w:val="00484E0F"/>
    <w:rsid w:val="004856CA"/>
    <w:rsid w:val="004863FE"/>
    <w:rsid w:val="00487577"/>
    <w:rsid w:val="00487E67"/>
    <w:rsid w:val="00487E82"/>
    <w:rsid w:val="00494F29"/>
    <w:rsid w:val="00495C37"/>
    <w:rsid w:val="00495F6E"/>
    <w:rsid w:val="004968BF"/>
    <w:rsid w:val="00496A19"/>
    <w:rsid w:val="0049705E"/>
    <w:rsid w:val="004A143A"/>
    <w:rsid w:val="004A34A0"/>
    <w:rsid w:val="004A62C0"/>
    <w:rsid w:val="004A67D9"/>
    <w:rsid w:val="004B47C3"/>
    <w:rsid w:val="004B6917"/>
    <w:rsid w:val="004C1324"/>
    <w:rsid w:val="004C720B"/>
    <w:rsid w:val="004D0C87"/>
    <w:rsid w:val="004D13C5"/>
    <w:rsid w:val="004D5E94"/>
    <w:rsid w:val="004D65B0"/>
    <w:rsid w:val="004E0267"/>
    <w:rsid w:val="004E3497"/>
    <w:rsid w:val="004E4F35"/>
    <w:rsid w:val="004F69A4"/>
    <w:rsid w:val="005008A8"/>
    <w:rsid w:val="00502207"/>
    <w:rsid w:val="00502C11"/>
    <w:rsid w:val="005039E3"/>
    <w:rsid w:val="00505C8A"/>
    <w:rsid w:val="00506936"/>
    <w:rsid w:val="0050794F"/>
    <w:rsid w:val="00510674"/>
    <w:rsid w:val="0051394B"/>
    <w:rsid w:val="00514AE5"/>
    <w:rsid w:val="0051576E"/>
    <w:rsid w:val="00524579"/>
    <w:rsid w:val="00526B7B"/>
    <w:rsid w:val="00526EAE"/>
    <w:rsid w:val="005308CE"/>
    <w:rsid w:val="00531117"/>
    <w:rsid w:val="00545847"/>
    <w:rsid w:val="00550EDE"/>
    <w:rsid w:val="00551038"/>
    <w:rsid w:val="005543E8"/>
    <w:rsid w:val="00556F04"/>
    <w:rsid w:val="005618EB"/>
    <w:rsid w:val="00566A6C"/>
    <w:rsid w:val="00573AE2"/>
    <w:rsid w:val="0057439C"/>
    <w:rsid w:val="00580117"/>
    <w:rsid w:val="00580B48"/>
    <w:rsid w:val="00587444"/>
    <w:rsid w:val="00590D24"/>
    <w:rsid w:val="00597709"/>
    <w:rsid w:val="005A4661"/>
    <w:rsid w:val="005A6C13"/>
    <w:rsid w:val="005B00F0"/>
    <w:rsid w:val="005B0127"/>
    <w:rsid w:val="005B1D65"/>
    <w:rsid w:val="005B22EA"/>
    <w:rsid w:val="005B4B14"/>
    <w:rsid w:val="005B5B41"/>
    <w:rsid w:val="005B7A35"/>
    <w:rsid w:val="005B7F29"/>
    <w:rsid w:val="005C18CB"/>
    <w:rsid w:val="005C3833"/>
    <w:rsid w:val="005C4B73"/>
    <w:rsid w:val="005D229E"/>
    <w:rsid w:val="005D42AE"/>
    <w:rsid w:val="005D6603"/>
    <w:rsid w:val="005E1D2B"/>
    <w:rsid w:val="005E6FE4"/>
    <w:rsid w:val="005E7074"/>
    <w:rsid w:val="005E7872"/>
    <w:rsid w:val="005F1373"/>
    <w:rsid w:val="005F24B0"/>
    <w:rsid w:val="005F2BAF"/>
    <w:rsid w:val="005F658A"/>
    <w:rsid w:val="005F7CB2"/>
    <w:rsid w:val="00600A76"/>
    <w:rsid w:val="00600D93"/>
    <w:rsid w:val="00603E2F"/>
    <w:rsid w:val="00604676"/>
    <w:rsid w:val="00623D79"/>
    <w:rsid w:val="00624EBA"/>
    <w:rsid w:val="00630B09"/>
    <w:rsid w:val="0063300C"/>
    <w:rsid w:val="006376AF"/>
    <w:rsid w:val="006514DA"/>
    <w:rsid w:val="00655435"/>
    <w:rsid w:val="00655736"/>
    <w:rsid w:val="00663B8D"/>
    <w:rsid w:val="00664588"/>
    <w:rsid w:val="00665ACB"/>
    <w:rsid w:val="006671C0"/>
    <w:rsid w:val="00670DC3"/>
    <w:rsid w:val="006717E4"/>
    <w:rsid w:val="00672763"/>
    <w:rsid w:val="006830E5"/>
    <w:rsid w:val="006936D9"/>
    <w:rsid w:val="00696C8D"/>
    <w:rsid w:val="006A0FDF"/>
    <w:rsid w:val="006A2AC2"/>
    <w:rsid w:val="006A2D15"/>
    <w:rsid w:val="006A3617"/>
    <w:rsid w:val="006A3A70"/>
    <w:rsid w:val="006A51C2"/>
    <w:rsid w:val="006A6032"/>
    <w:rsid w:val="006B157A"/>
    <w:rsid w:val="006C0EF1"/>
    <w:rsid w:val="006C18C5"/>
    <w:rsid w:val="006C4F9B"/>
    <w:rsid w:val="006C5043"/>
    <w:rsid w:val="006C6AED"/>
    <w:rsid w:val="006C7EE5"/>
    <w:rsid w:val="006D23EE"/>
    <w:rsid w:val="006D3D83"/>
    <w:rsid w:val="006D5FED"/>
    <w:rsid w:val="006D6A82"/>
    <w:rsid w:val="006E2DF6"/>
    <w:rsid w:val="006E3532"/>
    <w:rsid w:val="006E46E4"/>
    <w:rsid w:val="006E4A78"/>
    <w:rsid w:val="006E7A23"/>
    <w:rsid w:val="006F1006"/>
    <w:rsid w:val="006F2D5B"/>
    <w:rsid w:val="00704551"/>
    <w:rsid w:val="00707531"/>
    <w:rsid w:val="00712F43"/>
    <w:rsid w:val="00715C47"/>
    <w:rsid w:val="00717DA5"/>
    <w:rsid w:val="00723ABC"/>
    <w:rsid w:val="007307C6"/>
    <w:rsid w:val="00732E6E"/>
    <w:rsid w:val="00744484"/>
    <w:rsid w:val="00746008"/>
    <w:rsid w:val="00747566"/>
    <w:rsid w:val="00755B0F"/>
    <w:rsid w:val="007577B6"/>
    <w:rsid w:val="0076049E"/>
    <w:rsid w:val="007605B2"/>
    <w:rsid w:val="007605FA"/>
    <w:rsid w:val="007645CB"/>
    <w:rsid w:val="00765472"/>
    <w:rsid w:val="007656F8"/>
    <w:rsid w:val="0076712C"/>
    <w:rsid w:val="007729FF"/>
    <w:rsid w:val="00773188"/>
    <w:rsid w:val="007736E0"/>
    <w:rsid w:val="00774268"/>
    <w:rsid w:val="00781EE1"/>
    <w:rsid w:val="00783782"/>
    <w:rsid w:val="0078447E"/>
    <w:rsid w:val="00784B8C"/>
    <w:rsid w:val="007879E1"/>
    <w:rsid w:val="00793EDE"/>
    <w:rsid w:val="00796BD3"/>
    <w:rsid w:val="007976D4"/>
    <w:rsid w:val="007979A0"/>
    <w:rsid w:val="007A15B0"/>
    <w:rsid w:val="007A4F40"/>
    <w:rsid w:val="007B3802"/>
    <w:rsid w:val="007B427B"/>
    <w:rsid w:val="007B43A5"/>
    <w:rsid w:val="007B4AC0"/>
    <w:rsid w:val="007B61A5"/>
    <w:rsid w:val="007B6786"/>
    <w:rsid w:val="007C2962"/>
    <w:rsid w:val="007C433B"/>
    <w:rsid w:val="007C4398"/>
    <w:rsid w:val="007C5A77"/>
    <w:rsid w:val="007D3D24"/>
    <w:rsid w:val="007E279C"/>
    <w:rsid w:val="008062DF"/>
    <w:rsid w:val="00813358"/>
    <w:rsid w:val="00814EB2"/>
    <w:rsid w:val="008217CE"/>
    <w:rsid w:val="00822C68"/>
    <w:rsid w:val="00823A11"/>
    <w:rsid w:val="008244AF"/>
    <w:rsid w:val="00826A53"/>
    <w:rsid w:val="00826FE8"/>
    <w:rsid w:val="00830355"/>
    <w:rsid w:val="00830DA2"/>
    <w:rsid w:val="008348D7"/>
    <w:rsid w:val="008378D8"/>
    <w:rsid w:val="00840FF9"/>
    <w:rsid w:val="00841436"/>
    <w:rsid w:val="00842994"/>
    <w:rsid w:val="00842D1A"/>
    <w:rsid w:val="0084376D"/>
    <w:rsid w:val="00850A0B"/>
    <w:rsid w:val="00852FB3"/>
    <w:rsid w:val="0085405E"/>
    <w:rsid w:val="008540C8"/>
    <w:rsid w:val="0085414A"/>
    <w:rsid w:val="008551AD"/>
    <w:rsid w:val="00857FF5"/>
    <w:rsid w:val="00862205"/>
    <w:rsid w:val="0086269D"/>
    <w:rsid w:val="0086543A"/>
    <w:rsid w:val="008673A0"/>
    <w:rsid w:val="008724E5"/>
    <w:rsid w:val="00873B0A"/>
    <w:rsid w:val="00875F74"/>
    <w:rsid w:val="00877CDC"/>
    <w:rsid w:val="00881E0F"/>
    <w:rsid w:val="00882DAE"/>
    <w:rsid w:val="00882EA1"/>
    <w:rsid w:val="00884A9D"/>
    <w:rsid w:val="0088512B"/>
    <w:rsid w:val="00894555"/>
    <w:rsid w:val="008A2B2D"/>
    <w:rsid w:val="008A4E1E"/>
    <w:rsid w:val="008B72A7"/>
    <w:rsid w:val="008B7A82"/>
    <w:rsid w:val="008C003B"/>
    <w:rsid w:val="008C296C"/>
    <w:rsid w:val="008C6950"/>
    <w:rsid w:val="008C6B02"/>
    <w:rsid w:val="008D4305"/>
    <w:rsid w:val="008E112E"/>
    <w:rsid w:val="008E15D4"/>
    <w:rsid w:val="008E1A85"/>
    <w:rsid w:val="008E3A1F"/>
    <w:rsid w:val="008E5E9A"/>
    <w:rsid w:val="008E77E1"/>
    <w:rsid w:val="008E7832"/>
    <w:rsid w:val="008F252F"/>
    <w:rsid w:val="008F4364"/>
    <w:rsid w:val="008F4808"/>
    <w:rsid w:val="008F793A"/>
    <w:rsid w:val="0090044D"/>
    <w:rsid w:val="009020AA"/>
    <w:rsid w:val="00907D3B"/>
    <w:rsid w:val="009126F0"/>
    <w:rsid w:val="009136C6"/>
    <w:rsid w:val="009163A7"/>
    <w:rsid w:val="009253C3"/>
    <w:rsid w:val="0093365E"/>
    <w:rsid w:val="00934549"/>
    <w:rsid w:val="009352A6"/>
    <w:rsid w:val="009444C9"/>
    <w:rsid w:val="009467E7"/>
    <w:rsid w:val="00946D0B"/>
    <w:rsid w:val="00951F05"/>
    <w:rsid w:val="00955877"/>
    <w:rsid w:val="00960E06"/>
    <w:rsid w:val="00961B14"/>
    <w:rsid w:val="00963A19"/>
    <w:rsid w:val="00966CF5"/>
    <w:rsid w:val="00967F3D"/>
    <w:rsid w:val="0097130A"/>
    <w:rsid w:val="00971F7B"/>
    <w:rsid w:val="00976FC5"/>
    <w:rsid w:val="009775BF"/>
    <w:rsid w:val="0098007C"/>
    <w:rsid w:val="00981B7B"/>
    <w:rsid w:val="00981FF6"/>
    <w:rsid w:val="009826A5"/>
    <w:rsid w:val="00983862"/>
    <w:rsid w:val="0098703E"/>
    <w:rsid w:val="00991B6F"/>
    <w:rsid w:val="009A0313"/>
    <w:rsid w:val="009A089F"/>
    <w:rsid w:val="009A16C4"/>
    <w:rsid w:val="009A18CD"/>
    <w:rsid w:val="009A3C4D"/>
    <w:rsid w:val="009A617F"/>
    <w:rsid w:val="009A759B"/>
    <w:rsid w:val="009B1A47"/>
    <w:rsid w:val="009B2031"/>
    <w:rsid w:val="009B25A7"/>
    <w:rsid w:val="009B5B8E"/>
    <w:rsid w:val="009B6EB4"/>
    <w:rsid w:val="009B6F30"/>
    <w:rsid w:val="009B7A33"/>
    <w:rsid w:val="009C74EA"/>
    <w:rsid w:val="009D07DA"/>
    <w:rsid w:val="009D27E9"/>
    <w:rsid w:val="009D37E7"/>
    <w:rsid w:val="009D5428"/>
    <w:rsid w:val="009E4577"/>
    <w:rsid w:val="009E6421"/>
    <w:rsid w:val="009E7488"/>
    <w:rsid w:val="009F1F16"/>
    <w:rsid w:val="009F436D"/>
    <w:rsid w:val="00A009C8"/>
    <w:rsid w:val="00A10AA6"/>
    <w:rsid w:val="00A12558"/>
    <w:rsid w:val="00A13903"/>
    <w:rsid w:val="00A13C18"/>
    <w:rsid w:val="00A1492B"/>
    <w:rsid w:val="00A157D1"/>
    <w:rsid w:val="00A176A4"/>
    <w:rsid w:val="00A2086A"/>
    <w:rsid w:val="00A22719"/>
    <w:rsid w:val="00A2529F"/>
    <w:rsid w:val="00A2614A"/>
    <w:rsid w:val="00A34711"/>
    <w:rsid w:val="00A34ED5"/>
    <w:rsid w:val="00A35C7D"/>
    <w:rsid w:val="00A379BE"/>
    <w:rsid w:val="00A405C0"/>
    <w:rsid w:val="00A42FBD"/>
    <w:rsid w:val="00A44535"/>
    <w:rsid w:val="00A45DBF"/>
    <w:rsid w:val="00A53C15"/>
    <w:rsid w:val="00A54DE6"/>
    <w:rsid w:val="00A565DA"/>
    <w:rsid w:val="00A573D8"/>
    <w:rsid w:val="00A57444"/>
    <w:rsid w:val="00A60F84"/>
    <w:rsid w:val="00A61364"/>
    <w:rsid w:val="00A619AB"/>
    <w:rsid w:val="00A621A0"/>
    <w:rsid w:val="00A6475B"/>
    <w:rsid w:val="00A710AB"/>
    <w:rsid w:val="00A720E1"/>
    <w:rsid w:val="00A739A9"/>
    <w:rsid w:val="00A74D6C"/>
    <w:rsid w:val="00A7512D"/>
    <w:rsid w:val="00A755A2"/>
    <w:rsid w:val="00A90929"/>
    <w:rsid w:val="00A954B1"/>
    <w:rsid w:val="00AA088F"/>
    <w:rsid w:val="00AA431A"/>
    <w:rsid w:val="00AA6660"/>
    <w:rsid w:val="00AB10BD"/>
    <w:rsid w:val="00AB2C36"/>
    <w:rsid w:val="00AB33B9"/>
    <w:rsid w:val="00AB42FF"/>
    <w:rsid w:val="00AB476F"/>
    <w:rsid w:val="00AB69C7"/>
    <w:rsid w:val="00AB6DDE"/>
    <w:rsid w:val="00AB70B6"/>
    <w:rsid w:val="00AD1302"/>
    <w:rsid w:val="00AD1A86"/>
    <w:rsid w:val="00AD4DC2"/>
    <w:rsid w:val="00AE015C"/>
    <w:rsid w:val="00AE0E5B"/>
    <w:rsid w:val="00AE103E"/>
    <w:rsid w:val="00AE78A0"/>
    <w:rsid w:val="00AF0A07"/>
    <w:rsid w:val="00AF1187"/>
    <w:rsid w:val="00AF4AEC"/>
    <w:rsid w:val="00AF57D9"/>
    <w:rsid w:val="00AF625E"/>
    <w:rsid w:val="00B04E85"/>
    <w:rsid w:val="00B04E9C"/>
    <w:rsid w:val="00B0545E"/>
    <w:rsid w:val="00B056F0"/>
    <w:rsid w:val="00B062AD"/>
    <w:rsid w:val="00B07274"/>
    <w:rsid w:val="00B159C9"/>
    <w:rsid w:val="00B17EAC"/>
    <w:rsid w:val="00B25534"/>
    <w:rsid w:val="00B32D1E"/>
    <w:rsid w:val="00B32E30"/>
    <w:rsid w:val="00B35C91"/>
    <w:rsid w:val="00B47893"/>
    <w:rsid w:val="00B47AAB"/>
    <w:rsid w:val="00B47E4F"/>
    <w:rsid w:val="00B5433F"/>
    <w:rsid w:val="00B556C5"/>
    <w:rsid w:val="00B63BBC"/>
    <w:rsid w:val="00B63EC3"/>
    <w:rsid w:val="00B84606"/>
    <w:rsid w:val="00B8492A"/>
    <w:rsid w:val="00B973F3"/>
    <w:rsid w:val="00B97D7A"/>
    <w:rsid w:val="00BA522B"/>
    <w:rsid w:val="00BB04AF"/>
    <w:rsid w:val="00BB3419"/>
    <w:rsid w:val="00BB5EE0"/>
    <w:rsid w:val="00BB5F55"/>
    <w:rsid w:val="00BC14B5"/>
    <w:rsid w:val="00BD1A71"/>
    <w:rsid w:val="00BD2324"/>
    <w:rsid w:val="00BD2C9D"/>
    <w:rsid w:val="00BD4F95"/>
    <w:rsid w:val="00BD52C9"/>
    <w:rsid w:val="00BD52E2"/>
    <w:rsid w:val="00BD5D66"/>
    <w:rsid w:val="00BE077B"/>
    <w:rsid w:val="00BE3125"/>
    <w:rsid w:val="00BE6354"/>
    <w:rsid w:val="00BF1566"/>
    <w:rsid w:val="00BF21B7"/>
    <w:rsid w:val="00BF3249"/>
    <w:rsid w:val="00C016DE"/>
    <w:rsid w:val="00C01C46"/>
    <w:rsid w:val="00C02163"/>
    <w:rsid w:val="00C04185"/>
    <w:rsid w:val="00C044BB"/>
    <w:rsid w:val="00C05011"/>
    <w:rsid w:val="00C05469"/>
    <w:rsid w:val="00C0550F"/>
    <w:rsid w:val="00C07ABE"/>
    <w:rsid w:val="00C10A08"/>
    <w:rsid w:val="00C138D1"/>
    <w:rsid w:val="00C225D9"/>
    <w:rsid w:val="00C2282C"/>
    <w:rsid w:val="00C23894"/>
    <w:rsid w:val="00C23A97"/>
    <w:rsid w:val="00C23C45"/>
    <w:rsid w:val="00C2587F"/>
    <w:rsid w:val="00C25E96"/>
    <w:rsid w:val="00C26996"/>
    <w:rsid w:val="00C320E6"/>
    <w:rsid w:val="00C3333E"/>
    <w:rsid w:val="00C410E4"/>
    <w:rsid w:val="00C421B8"/>
    <w:rsid w:val="00C43B04"/>
    <w:rsid w:val="00C45015"/>
    <w:rsid w:val="00C52DB5"/>
    <w:rsid w:val="00C5550E"/>
    <w:rsid w:val="00C56153"/>
    <w:rsid w:val="00C56B0C"/>
    <w:rsid w:val="00C609A1"/>
    <w:rsid w:val="00C61BA0"/>
    <w:rsid w:val="00C63C67"/>
    <w:rsid w:val="00C64855"/>
    <w:rsid w:val="00C702DA"/>
    <w:rsid w:val="00C70EA7"/>
    <w:rsid w:val="00C71DA8"/>
    <w:rsid w:val="00C74AA8"/>
    <w:rsid w:val="00C7516E"/>
    <w:rsid w:val="00C75361"/>
    <w:rsid w:val="00C75770"/>
    <w:rsid w:val="00C7756F"/>
    <w:rsid w:val="00C842C1"/>
    <w:rsid w:val="00C852FB"/>
    <w:rsid w:val="00C876FE"/>
    <w:rsid w:val="00C90E02"/>
    <w:rsid w:val="00C92BC7"/>
    <w:rsid w:val="00C92BFD"/>
    <w:rsid w:val="00C94816"/>
    <w:rsid w:val="00C97AF7"/>
    <w:rsid w:val="00CA1C37"/>
    <w:rsid w:val="00CA28DC"/>
    <w:rsid w:val="00CA3532"/>
    <w:rsid w:val="00CA4AE8"/>
    <w:rsid w:val="00CA56BB"/>
    <w:rsid w:val="00CA65FC"/>
    <w:rsid w:val="00CB0542"/>
    <w:rsid w:val="00CB2EC6"/>
    <w:rsid w:val="00CB43C9"/>
    <w:rsid w:val="00CB4943"/>
    <w:rsid w:val="00CB5826"/>
    <w:rsid w:val="00CC0E12"/>
    <w:rsid w:val="00CC1BB8"/>
    <w:rsid w:val="00CC22E1"/>
    <w:rsid w:val="00CC291C"/>
    <w:rsid w:val="00CC3B58"/>
    <w:rsid w:val="00CC4F2E"/>
    <w:rsid w:val="00CC79E5"/>
    <w:rsid w:val="00CD21DE"/>
    <w:rsid w:val="00CE64BF"/>
    <w:rsid w:val="00CF1CE2"/>
    <w:rsid w:val="00CF409A"/>
    <w:rsid w:val="00CF4B18"/>
    <w:rsid w:val="00CF7B06"/>
    <w:rsid w:val="00D00B2B"/>
    <w:rsid w:val="00D051D8"/>
    <w:rsid w:val="00D1121A"/>
    <w:rsid w:val="00D17B01"/>
    <w:rsid w:val="00D24877"/>
    <w:rsid w:val="00D24904"/>
    <w:rsid w:val="00D25C32"/>
    <w:rsid w:val="00D34376"/>
    <w:rsid w:val="00D403F3"/>
    <w:rsid w:val="00D543B5"/>
    <w:rsid w:val="00D5473B"/>
    <w:rsid w:val="00D673A3"/>
    <w:rsid w:val="00D73717"/>
    <w:rsid w:val="00D7756E"/>
    <w:rsid w:val="00D80CD8"/>
    <w:rsid w:val="00D8250F"/>
    <w:rsid w:val="00D8390E"/>
    <w:rsid w:val="00D92F2A"/>
    <w:rsid w:val="00D95C4C"/>
    <w:rsid w:val="00DA1115"/>
    <w:rsid w:val="00DA36ED"/>
    <w:rsid w:val="00DA49F6"/>
    <w:rsid w:val="00DA518C"/>
    <w:rsid w:val="00DA59F5"/>
    <w:rsid w:val="00DA6982"/>
    <w:rsid w:val="00DB2021"/>
    <w:rsid w:val="00DB6F0C"/>
    <w:rsid w:val="00DC1529"/>
    <w:rsid w:val="00DD5889"/>
    <w:rsid w:val="00DD5F1B"/>
    <w:rsid w:val="00DD6576"/>
    <w:rsid w:val="00DD6C76"/>
    <w:rsid w:val="00DE0899"/>
    <w:rsid w:val="00DE199F"/>
    <w:rsid w:val="00DE34F1"/>
    <w:rsid w:val="00DE6160"/>
    <w:rsid w:val="00DE7D01"/>
    <w:rsid w:val="00DE7E4B"/>
    <w:rsid w:val="00DF06FA"/>
    <w:rsid w:val="00DF4942"/>
    <w:rsid w:val="00DF7006"/>
    <w:rsid w:val="00E00C73"/>
    <w:rsid w:val="00E03F77"/>
    <w:rsid w:val="00E05A22"/>
    <w:rsid w:val="00E05F2F"/>
    <w:rsid w:val="00E141C2"/>
    <w:rsid w:val="00E244E1"/>
    <w:rsid w:val="00E26B1E"/>
    <w:rsid w:val="00E34183"/>
    <w:rsid w:val="00E42717"/>
    <w:rsid w:val="00E44DD2"/>
    <w:rsid w:val="00E46833"/>
    <w:rsid w:val="00E4702A"/>
    <w:rsid w:val="00E4785D"/>
    <w:rsid w:val="00E51119"/>
    <w:rsid w:val="00E533A4"/>
    <w:rsid w:val="00E57F64"/>
    <w:rsid w:val="00E627B1"/>
    <w:rsid w:val="00E657AF"/>
    <w:rsid w:val="00E70169"/>
    <w:rsid w:val="00E74893"/>
    <w:rsid w:val="00E768E0"/>
    <w:rsid w:val="00E92B69"/>
    <w:rsid w:val="00E92FD3"/>
    <w:rsid w:val="00E9376C"/>
    <w:rsid w:val="00E941EB"/>
    <w:rsid w:val="00E948A2"/>
    <w:rsid w:val="00E95E90"/>
    <w:rsid w:val="00E97031"/>
    <w:rsid w:val="00EA335E"/>
    <w:rsid w:val="00EA528C"/>
    <w:rsid w:val="00EA580C"/>
    <w:rsid w:val="00EB1FFB"/>
    <w:rsid w:val="00EC0EF1"/>
    <w:rsid w:val="00EC16BF"/>
    <w:rsid w:val="00EC3A93"/>
    <w:rsid w:val="00EC5352"/>
    <w:rsid w:val="00EC6D7B"/>
    <w:rsid w:val="00EC6F8D"/>
    <w:rsid w:val="00ED04CE"/>
    <w:rsid w:val="00ED15BD"/>
    <w:rsid w:val="00ED6BBD"/>
    <w:rsid w:val="00ED762F"/>
    <w:rsid w:val="00EE126D"/>
    <w:rsid w:val="00EE15DC"/>
    <w:rsid w:val="00EE1BC1"/>
    <w:rsid w:val="00EE5AFD"/>
    <w:rsid w:val="00EE728B"/>
    <w:rsid w:val="00EF34E2"/>
    <w:rsid w:val="00EF510D"/>
    <w:rsid w:val="00EF54C6"/>
    <w:rsid w:val="00F02711"/>
    <w:rsid w:val="00F03BD6"/>
    <w:rsid w:val="00F04809"/>
    <w:rsid w:val="00F12D64"/>
    <w:rsid w:val="00F135CD"/>
    <w:rsid w:val="00F1575B"/>
    <w:rsid w:val="00F16E8D"/>
    <w:rsid w:val="00F17621"/>
    <w:rsid w:val="00F3010F"/>
    <w:rsid w:val="00F30DC6"/>
    <w:rsid w:val="00F31A9D"/>
    <w:rsid w:val="00F32C23"/>
    <w:rsid w:val="00F53DE9"/>
    <w:rsid w:val="00F560C7"/>
    <w:rsid w:val="00F576CB"/>
    <w:rsid w:val="00F57C02"/>
    <w:rsid w:val="00F57E47"/>
    <w:rsid w:val="00F62698"/>
    <w:rsid w:val="00F667A7"/>
    <w:rsid w:val="00F7035D"/>
    <w:rsid w:val="00F71A02"/>
    <w:rsid w:val="00F7622D"/>
    <w:rsid w:val="00F76987"/>
    <w:rsid w:val="00F77345"/>
    <w:rsid w:val="00F9370A"/>
    <w:rsid w:val="00FA07E1"/>
    <w:rsid w:val="00FA0D63"/>
    <w:rsid w:val="00FA2879"/>
    <w:rsid w:val="00FB5E3F"/>
    <w:rsid w:val="00FC0318"/>
    <w:rsid w:val="00FC165D"/>
    <w:rsid w:val="00FC50C8"/>
    <w:rsid w:val="00FC5105"/>
    <w:rsid w:val="00FD01DA"/>
    <w:rsid w:val="00FD110F"/>
    <w:rsid w:val="00FD1226"/>
    <w:rsid w:val="00FD226E"/>
    <w:rsid w:val="00FD55B1"/>
    <w:rsid w:val="00FD6CF9"/>
    <w:rsid w:val="00FD7AFD"/>
    <w:rsid w:val="00FE0555"/>
    <w:rsid w:val="00FE57B6"/>
    <w:rsid w:val="00FF01FB"/>
    <w:rsid w:val="00FF1218"/>
    <w:rsid w:val="00FF4830"/>
    <w:rsid w:val="00FF5CAC"/>
    <w:rsid w:val="00FF6586"/>
    <w:rsid w:val="00FF7383"/>
    <w:rsid w:val="00FF7E84"/>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297E9D3A"/>
  <w15:docId w15:val="{8FA734E9-0B9D-48ED-8B16-D5C28F07C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9" w:qFormat="1"/>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5CB4"/>
    <w:rPr>
      <w:rFonts w:ascii="Times New Roman" w:eastAsia="Times New Roman" w:hAnsi="Times New Roman"/>
      <w:sz w:val="24"/>
      <w:szCs w:val="24"/>
    </w:rPr>
  </w:style>
  <w:style w:type="paragraph" w:styleId="Heading1">
    <w:name w:val="heading 1"/>
    <w:basedOn w:val="Normal"/>
    <w:next w:val="Normal"/>
    <w:link w:val="Heading1Char"/>
    <w:uiPriority w:val="9"/>
    <w:qFormat/>
    <w:rsid w:val="00350080"/>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rsid w:val="00C2282C"/>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aliases w:val="COM Heading"/>
    <w:basedOn w:val="Normal"/>
    <w:next w:val="Normal"/>
    <w:link w:val="Heading4Char"/>
    <w:qFormat/>
    <w:rsid w:val="00E42717"/>
    <w:pPr>
      <w:keepNext/>
      <w:keepLines/>
      <w:numPr>
        <w:numId w:val="12"/>
      </w:numPr>
      <w:tabs>
        <w:tab w:val="left" w:pos="567"/>
      </w:tabs>
      <w:snapToGrid w:val="0"/>
      <w:spacing w:before="360" w:after="120"/>
      <w:outlineLvl w:val="3"/>
    </w:pPr>
    <w:rPr>
      <w:rFonts w:ascii="Arial" w:hAnsi="Arial"/>
      <w:b/>
      <w:bCs/>
      <w:caps/>
      <w:snapToGrid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fr-FR"/>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fr-FR"/>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fr-FR"/>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E42717"/>
    <w:rPr>
      <w:rFonts w:ascii="Arial" w:eastAsia="Times New Roman" w:hAnsi="Arial"/>
      <w:b/>
      <w:bCs/>
      <w:caps/>
      <w:snapToGrid w:val="0"/>
      <w:sz w:val="22"/>
      <w:szCs w:val="24"/>
      <w:lang w:val="fr-FR"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ind w:left="567" w:hanging="567"/>
    </w:pPr>
    <w:rPr>
      <w:rFonts w:ascii="Arial" w:eastAsia="Times New Roman" w:hAnsi="Arial" w:cs="Arial"/>
      <w:snapToGrid w:val="0"/>
      <w:sz w:val="22"/>
      <w:szCs w:val="22"/>
      <w:lang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rPr>
  </w:style>
  <w:style w:type="paragraph" w:customStyle="1" w:styleId="Sansinterligne3">
    <w:name w:val="Sans interligne3"/>
    <w:uiPriority w:val="1"/>
    <w:qFormat/>
    <w:rsid w:val="00350080"/>
    <w:rPr>
      <w:rFonts w:ascii="Times New Roman" w:eastAsia="Times New Roman" w:hAnsi="Times New Roman"/>
      <w:sz w:val="24"/>
      <w:szCs w:val="24"/>
    </w:rPr>
  </w:style>
  <w:style w:type="paragraph" w:styleId="NoSpacing">
    <w:name w:val="No Spacing"/>
    <w:uiPriority w:val="1"/>
    <w:qFormat/>
    <w:rsid w:val="00350080"/>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350080"/>
    <w:rPr>
      <w:rFonts w:ascii="Calibri Light" w:eastAsia="Times New Roman" w:hAnsi="Calibri Light"/>
      <w:b/>
      <w:bCs/>
      <w:kern w:val="32"/>
      <w:sz w:val="32"/>
      <w:szCs w:val="32"/>
    </w:rPr>
  </w:style>
  <w:style w:type="paragraph" w:customStyle="1" w:styleId="Paragraph">
    <w:name w:val="Paragraph"/>
    <w:basedOn w:val="Normal"/>
    <w:link w:val="ParagraphChar"/>
    <w:qFormat/>
    <w:rsid w:val="00350080"/>
    <w:pPr>
      <w:numPr>
        <w:numId w:val="13"/>
      </w:numPr>
      <w:spacing w:before="240"/>
      <w:ind w:left="567" w:hanging="567"/>
      <w:jc w:val="both"/>
    </w:pPr>
    <w:rPr>
      <w:rFonts w:ascii="Arial" w:hAnsi="Arial" w:cs="Arial"/>
      <w:sz w:val="22"/>
      <w:szCs w:val="22"/>
    </w:rPr>
  </w:style>
  <w:style w:type="character" w:customStyle="1" w:styleId="ParagraphChar">
    <w:name w:val="Paragraph Char"/>
    <w:link w:val="Paragraph"/>
    <w:rsid w:val="00350080"/>
    <w:rPr>
      <w:rFonts w:ascii="Arial" w:eastAsia="Times New Roman" w:hAnsi="Arial" w:cs="Arial"/>
      <w:sz w:val="22"/>
      <w:szCs w:val="22"/>
      <w:lang w:val="fr-FR"/>
    </w:rPr>
  </w:style>
  <w:style w:type="paragraph" w:styleId="FootnoteText">
    <w:name w:val="footnote text"/>
    <w:basedOn w:val="Normal"/>
    <w:link w:val="FootnoteTextChar"/>
    <w:uiPriority w:val="99"/>
    <w:unhideWhenUsed/>
    <w:rsid w:val="00350080"/>
    <w:pPr>
      <w:spacing w:before="60" w:after="60"/>
      <w:jc w:val="both"/>
    </w:pPr>
    <w:rPr>
      <w:rFonts w:ascii="Arial" w:hAnsi="Arial"/>
      <w:sz w:val="20"/>
      <w:szCs w:val="20"/>
    </w:rPr>
  </w:style>
  <w:style w:type="character" w:customStyle="1" w:styleId="FootnoteTextChar">
    <w:name w:val="Footnote Text Char"/>
    <w:basedOn w:val="DefaultParagraphFont"/>
    <w:link w:val="FootnoteText"/>
    <w:uiPriority w:val="99"/>
    <w:rsid w:val="00350080"/>
    <w:rPr>
      <w:rFonts w:ascii="Arial" w:eastAsia="Times New Roman" w:hAnsi="Arial"/>
      <w:lang w:val="fr-FR"/>
    </w:rPr>
  </w:style>
  <w:style w:type="character" w:styleId="FootnoteReference">
    <w:name w:val="footnote reference"/>
    <w:uiPriority w:val="99"/>
    <w:unhideWhenUsed/>
    <w:rsid w:val="00350080"/>
    <w:rPr>
      <w:vertAlign w:val="superscript"/>
    </w:rPr>
  </w:style>
  <w:style w:type="character" w:customStyle="1" w:styleId="atenuated">
    <w:name w:val="atenuated"/>
    <w:rsid w:val="00350080"/>
  </w:style>
  <w:style w:type="character" w:customStyle="1" w:styleId="hps">
    <w:name w:val="hps"/>
    <w:rsid w:val="008E77E1"/>
  </w:style>
  <w:style w:type="paragraph" w:customStyle="1" w:styleId="5GAparabodytext">
    <w:name w:val="5GA para body text"/>
    <w:basedOn w:val="Marge"/>
    <w:autoRedefine/>
    <w:qFormat/>
    <w:rsid w:val="00CF4B18"/>
    <w:pPr>
      <w:numPr>
        <w:numId w:val="36"/>
      </w:numPr>
      <w:spacing w:after="120"/>
      <w:ind w:left="567" w:hanging="567"/>
    </w:pPr>
    <w:rPr>
      <w:rFonts w:cs="Arial"/>
      <w:bCs/>
      <w:szCs w:val="22"/>
    </w:rPr>
  </w:style>
  <w:style w:type="character" w:styleId="Hyperlink">
    <w:name w:val="Hyperlink"/>
    <w:basedOn w:val="DefaultParagraphFont"/>
    <w:uiPriority w:val="99"/>
    <w:unhideWhenUsed/>
    <w:rsid w:val="00E42717"/>
    <w:rPr>
      <w:color w:val="0000FF" w:themeColor="hyperlink"/>
      <w:u w:val="single"/>
    </w:rPr>
  </w:style>
  <w:style w:type="character" w:customStyle="1" w:styleId="MargeChar">
    <w:name w:val="Marge Char"/>
    <w:link w:val="Marge"/>
    <w:rsid w:val="00C852FB"/>
    <w:rPr>
      <w:rFonts w:ascii="Arial" w:eastAsia="Times New Roman" w:hAnsi="Arial"/>
      <w:snapToGrid w:val="0"/>
      <w:sz w:val="22"/>
      <w:szCs w:val="24"/>
      <w:lang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BD2324"/>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D2324"/>
    <w:rPr>
      <w:b/>
      <w:bCs/>
    </w:rPr>
  </w:style>
  <w:style w:type="character" w:customStyle="1" w:styleId="CommentSubjectChar">
    <w:name w:val="Comment Subject Char"/>
    <w:basedOn w:val="CommentTextChar"/>
    <w:link w:val="CommentSubject"/>
    <w:uiPriority w:val="99"/>
    <w:semiHidden/>
    <w:rsid w:val="00BD2324"/>
    <w:rPr>
      <w:rFonts w:ascii="Times New Roman" w:eastAsia="Times New Roman" w:hAnsi="Times New Roman"/>
      <w:b/>
      <w:bCs/>
    </w:rPr>
  </w:style>
  <w:style w:type="paragraph" w:styleId="ListParagraph">
    <w:name w:val="List Paragraph"/>
    <w:basedOn w:val="Normal"/>
    <w:uiPriority w:val="34"/>
    <w:qFormat/>
    <w:rsid w:val="00961B14"/>
    <w:pPr>
      <w:ind w:left="720"/>
      <w:contextualSpacing/>
    </w:pPr>
  </w:style>
  <w:style w:type="character" w:customStyle="1" w:styleId="Heading3Char">
    <w:name w:val="Heading 3 Char"/>
    <w:basedOn w:val="DefaultParagraphFont"/>
    <w:link w:val="Heading3"/>
    <w:uiPriority w:val="9"/>
    <w:semiHidden/>
    <w:rsid w:val="00C2282C"/>
    <w:rPr>
      <w:rFonts w:asciiTheme="majorHAnsi" w:eastAsiaTheme="majorEastAsia" w:hAnsiTheme="majorHAnsi" w:cstheme="majorBidi"/>
      <w:color w:val="243F60" w:themeColor="accent1" w:themeShade="7F"/>
      <w:sz w:val="24"/>
      <w:szCs w:val="24"/>
    </w:rPr>
  </w:style>
  <w:style w:type="character" w:styleId="IntenseEmphasis">
    <w:name w:val="Intense Emphasis"/>
    <w:aliases w:val="Texte"/>
    <w:uiPriority w:val="21"/>
    <w:rsid w:val="00AD4DC2"/>
    <w:rPr>
      <w:rFonts w:ascii="Arial" w:hAnsi="Arial" w:cs="Arial"/>
      <w:sz w:val="22"/>
    </w:rPr>
  </w:style>
  <w:style w:type="paragraph" w:customStyle="1" w:styleId="Introparagraph">
    <w:name w:val="Intro paragraph"/>
    <w:basedOn w:val="Marge"/>
    <w:link w:val="IntroparagraphChar"/>
    <w:qFormat/>
    <w:rsid w:val="00AD4DC2"/>
    <w:pPr>
      <w:tabs>
        <w:tab w:val="left" w:pos="709"/>
      </w:tabs>
      <w:autoSpaceDE w:val="0"/>
      <w:autoSpaceDN w:val="0"/>
      <w:adjustRightInd w:val="0"/>
      <w:spacing w:before="240"/>
    </w:pPr>
  </w:style>
  <w:style w:type="character" w:customStyle="1" w:styleId="IntroparagraphChar">
    <w:name w:val="Intro paragraph Char"/>
    <w:basedOn w:val="DefaultParagraphFont"/>
    <w:link w:val="Introparagraph"/>
    <w:rsid w:val="00AD4DC2"/>
    <w:rPr>
      <w:rFonts w:ascii="Arial" w:eastAsia="Times New Roman" w:hAnsi="Arial"/>
      <w:snapToGrid w:val="0"/>
      <w:sz w:val="22"/>
      <w:szCs w:val="24"/>
      <w:lang w:eastAsia="en-US"/>
    </w:rPr>
  </w:style>
  <w:style w:type="paragraph" w:customStyle="1" w:styleId="Default">
    <w:name w:val="Default"/>
    <w:rsid w:val="001C6031"/>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DB6F0C"/>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2B70B6"/>
    <w:rPr>
      <w:color w:val="800080" w:themeColor="followedHyperlink"/>
      <w:u w:val="single"/>
    </w:rPr>
  </w:style>
  <w:style w:type="paragraph" w:styleId="NormalWeb">
    <w:name w:val="Normal (Web)"/>
    <w:basedOn w:val="Normal"/>
    <w:uiPriority w:val="99"/>
    <w:unhideWhenUsed/>
    <w:rsid w:val="00286D07"/>
    <w:rPr>
      <w:rFonts w:eastAsiaTheme="minorHAnsi"/>
    </w:rPr>
  </w:style>
  <w:style w:type="character" w:styleId="Strong">
    <w:name w:val="Strong"/>
    <w:basedOn w:val="DefaultParagraphFont"/>
    <w:uiPriority w:val="22"/>
    <w:qFormat/>
    <w:rsid w:val="00981B7B"/>
    <w:rPr>
      <w:b/>
      <w:bCs/>
    </w:rPr>
  </w:style>
  <w:style w:type="paragraph" w:customStyle="1" w:styleId="GAPara">
    <w:name w:val="GA Para"/>
    <w:qFormat/>
    <w:rsid w:val="00981FF6"/>
    <w:pPr>
      <w:spacing w:after="120"/>
      <w:ind w:left="567" w:hanging="567"/>
    </w:pPr>
    <w:rPr>
      <w:rFonts w:ascii="Arial" w:eastAsia="Times New Roman" w:hAnsi="Arial" w:cs="Arial"/>
      <w:snapToGrid w:val="0"/>
      <w:sz w:val="22"/>
      <w:szCs w:val="22"/>
      <w:lang w:eastAsia="en-US"/>
    </w:rPr>
  </w:style>
  <w:style w:type="paragraph" w:customStyle="1" w:styleId="5GATitleResolution">
    <w:name w:val="5GA Title Resolution"/>
    <w:basedOn w:val="Normal"/>
    <w:qFormat/>
    <w:rsid w:val="00130C28"/>
    <w:pPr>
      <w:keepNext/>
      <w:spacing w:before="240" w:after="120"/>
      <w:ind w:left="567"/>
      <w:jc w:val="both"/>
    </w:pPr>
    <w:rPr>
      <w:rFonts w:ascii="Arial" w:hAnsi="Arial" w:cs="Arial"/>
      <w:b/>
      <w:sz w:val="22"/>
      <w:szCs w:val="22"/>
    </w:rPr>
  </w:style>
  <w:style w:type="character" w:customStyle="1" w:styleId="Bullet1Char">
    <w:name w:val="Bullet_1 Char"/>
    <w:link w:val="Bullet1"/>
    <w:semiHidden/>
    <w:locked/>
    <w:rsid w:val="005B7F29"/>
    <w:rPr>
      <w:rFonts w:ascii="Arial" w:hAnsi="Arial" w:cs="Arial"/>
      <w:sz w:val="28"/>
      <w:szCs w:val="28"/>
      <w:lang w:eastAsia="zh-CN"/>
    </w:rPr>
  </w:style>
  <w:style w:type="paragraph" w:customStyle="1" w:styleId="Bullet1">
    <w:name w:val="Bullet_1"/>
    <w:basedOn w:val="Normal"/>
    <w:link w:val="Bullet1Char"/>
    <w:semiHidden/>
    <w:qFormat/>
    <w:rsid w:val="005B7F29"/>
    <w:pPr>
      <w:numPr>
        <w:numId w:val="52"/>
      </w:numPr>
      <w:snapToGrid w:val="0"/>
      <w:spacing w:before="240" w:after="240" w:line="360" w:lineRule="auto"/>
      <w:jc w:val="both"/>
    </w:pPr>
    <w:rPr>
      <w:rFonts w:ascii="Arial" w:eastAsia="SimSun" w:hAnsi="Arial" w:cs="Arial"/>
      <w:sz w:val="28"/>
      <w:szCs w:val="28"/>
      <w:lang w:eastAsia="zh-CN"/>
    </w:rPr>
  </w:style>
  <w:style w:type="paragraph" w:customStyle="1" w:styleId="Bullet2">
    <w:name w:val="Bullet_2"/>
    <w:basedOn w:val="Normal"/>
    <w:uiPriority w:val="99"/>
    <w:semiHidden/>
    <w:qFormat/>
    <w:rsid w:val="005B7F29"/>
    <w:pPr>
      <w:numPr>
        <w:ilvl w:val="1"/>
        <w:numId w:val="52"/>
      </w:numPr>
      <w:snapToGrid w:val="0"/>
      <w:spacing w:before="240" w:after="240" w:line="360" w:lineRule="auto"/>
      <w:jc w:val="both"/>
    </w:pPr>
    <w:rPr>
      <w:rFonts w:ascii="Arial" w:eastAsia="SimSun" w:hAnsi="Arial" w:cs="Arial"/>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19101">
      <w:bodyDiv w:val="1"/>
      <w:marLeft w:val="0"/>
      <w:marRight w:val="0"/>
      <w:marTop w:val="0"/>
      <w:marBottom w:val="0"/>
      <w:divBdr>
        <w:top w:val="none" w:sz="0" w:space="0" w:color="auto"/>
        <w:left w:val="none" w:sz="0" w:space="0" w:color="auto"/>
        <w:bottom w:val="none" w:sz="0" w:space="0" w:color="auto"/>
        <w:right w:val="none" w:sz="0" w:space="0" w:color="auto"/>
      </w:divBdr>
    </w:div>
    <w:div w:id="43143188">
      <w:bodyDiv w:val="1"/>
      <w:marLeft w:val="0"/>
      <w:marRight w:val="0"/>
      <w:marTop w:val="0"/>
      <w:marBottom w:val="0"/>
      <w:divBdr>
        <w:top w:val="none" w:sz="0" w:space="0" w:color="auto"/>
        <w:left w:val="none" w:sz="0" w:space="0" w:color="auto"/>
        <w:bottom w:val="none" w:sz="0" w:space="0" w:color="auto"/>
        <w:right w:val="none" w:sz="0" w:space="0" w:color="auto"/>
      </w:divBdr>
    </w:div>
    <w:div w:id="85347689">
      <w:bodyDiv w:val="1"/>
      <w:marLeft w:val="0"/>
      <w:marRight w:val="0"/>
      <w:marTop w:val="0"/>
      <w:marBottom w:val="0"/>
      <w:divBdr>
        <w:top w:val="none" w:sz="0" w:space="0" w:color="auto"/>
        <w:left w:val="none" w:sz="0" w:space="0" w:color="auto"/>
        <w:bottom w:val="none" w:sz="0" w:space="0" w:color="auto"/>
        <w:right w:val="none" w:sz="0" w:space="0" w:color="auto"/>
      </w:divBdr>
    </w:div>
    <w:div w:id="122695177">
      <w:bodyDiv w:val="1"/>
      <w:marLeft w:val="0"/>
      <w:marRight w:val="0"/>
      <w:marTop w:val="0"/>
      <w:marBottom w:val="0"/>
      <w:divBdr>
        <w:top w:val="none" w:sz="0" w:space="0" w:color="auto"/>
        <w:left w:val="none" w:sz="0" w:space="0" w:color="auto"/>
        <w:bottom w:val="none" w:sz="0" w:space="0" w:color="auto"/>
        <w:right w:val="none" w:sz="0" w:space="0" w:color="auto"/>
      </w:divBdr>
    </w:div>
    <w:div w:id="322395873">
      <w:bodyDiv w:val="1"/>
      <w:marLeft w:val="0"/>
      <w:marRight w:val="0"/>
      <w:marTop w:val="0"/>
      <w:marBottom w:val="0"/>
      <w:divBdr>
        <w:top w:val="none" w:sz="0" w:space="0" w:color="auto"/>
        <w:left w:val="none" w:sz="0" w:space="0" w:color="auto"/>
        <w:bottom w:val="none" w:sz="0" w:space="0" w:color="auto"/>
        <w:right w:val="none" w:sz="0" w:space="0" w:color="auto"/>
      </w:divBdr>
    </w:div>
    <w:div w:id="427583778">
      <w:bodyDiv w:val="1"/>
      <w:marLeft w:val="0"/>
      <w:marRight w:val="0"/>
      <w:marTop w:val="0"/>
      <w:marBottom w:val="0"/>
      <w:divBdr>
        <w:top w:val="none" w:sz="0" w:space="0" w:color="auto"/>
        <w:left w:val="none" w:sz="0" w:space="0" w:color="auto"/>
        <w:bottom w:val="none" w:sz="0" w:space="0" w:color="auto"/>
        <w:right w:val="none" w:sz="0" w:space="0" w:color="auto"/>
      </w:divBdr>
    </w:div>
    <w:div w:id="518858120">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987705696">
      <w:bodyDiv w:val="1"/>
      <w:marLeft w:val="0"/>
      <w:marRight w:val="0"/>
      <w:marTop w:val="0"/>
      <w:marBottom w:val="0"/>
      <w:divBdr>
        <w:top w:val="none" w:sz="0" w:space="0" w:color="auto"/>
        <w:left w:val="none" w:sz="0" w:space="0" w:color="auto"/>
        <w:bottom w:val="none" w:sz="0" w:space="0" w:color="auto"/>
        <w:right w:val="none" w:sz="0" w:space="0" w:color="auto"/>
      </w:divBdr>
    </w:div>
    <w:div w:id="1011689782">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226451843">
      <w:bodyDiv w:val="1"/>
      <w:marLeft w:val="0"/>
      <w:marRight w:val="0"/>
      <w:marTop w:val="0"/>
      <w:marBottom w:val="0"/>
      <w:divBdr>
        <w:top w:val="none" w:sz="0" w:space="0" w:color="auto"/>
        <w:left w:val="none" w:sz="0" w:space="0" w:color="auto"/>
        <w:bottom w:val="none" w:sz="0" w:space="0" w:color="auto"/>
        <w:right w:val="none" w:sz="0" w:space="0" w:color="auto"/>
      </w:divBdr>
    </w:div>
    <w:div w:id="1235047703">
      <w:bodyDiv w:val="1"/>
      <w:marLeft w:val="0"/>
      <w:marRight w:val="0"/>
      <w:marTop w:val="0"/>
      <w:marBottom w:val="0"/>
      <w:divBdr>
        <w:top w:val="none" w:sz="0" w:space="0" w:color="auto"/>
        <w:left w:val="none" w:sz="0" w:space="0" w:color="auto"/>
        <w:bottom w:val="none" w:sz="0" w:space="0" w:color="auto"/>
        <w:right w:val="none" w:sz="0" w:space="0" w:color="auto"/>
      </w:divBdr>
    </w:div>
    <w:div w:id="1303920725">
      <w:bodyDiv w:val="1"/>
      <w:marLeft w:val="0"/>
      <w:marRight w:val="0"/>
      <w:marTop w:val="0"/>
      <w:marBottom w:val="0"/>
      <w:divBdr>
        <w:top w:val="none" w:sz="0" w:space="0" w:color="auto"/>
        <w:left w:val="none" w:sz="0" w:space="0" w:color="auto"/>
        <w:bottom w:val="none" w:sz="0" w:space="0" w:color="auto"/>
        <w:right w:val="none" w:sz="0" w:space="0" w:color="auto"/>
      </w:divBdr>
    </w:div>
    <w:div w:id="1307777133">
      <w:bodyDiv w:val="1"/>
      <w:marLeft w:val="0"/>
      <w:marRight w:val="0"/>
      <w:marTop w:val="0"/>
      <w:marBottom w:val="0"/>
      <w:divBdr>
        <w:top w:val="none" w:sz="0" w:space="0" w:color="auto"/>
        <w:left w:val="none" w:sz="0" w:space="0" w:color="auto"/>
        <w:bottom w:val="none" w:sz="0" w:space="0" w:color="auto"/>
        <w:right w:val="none" w:sz="0" w:space="0" w:color="auto"/>
      </w:divBdr>
    </w:div>
    <w:div w:id="1345984753">
      <w:bodyDiv w:val="1"/>
      <w:marLeft w:val="0"/>
      <w:marRight w:val="0"/>
      <w:marTop w:val="0"/>
      <w:marBottom w:val="0"/>
      <w:divBdr>
        <w:top w:val="none" w:sz="0" w:space="0" w:color="auto"/>
        <w:left w:val="none" w:sz="0" w:space="0" w:color="auto"/>
        <w:bottom w:val="none" w:sz="0" w:space="0" w:color="auto"/>
        <w:right w:val="none" w:sz="0" w:space="0" w:color="auto"/>
      </w:divBdr>
    </w:div>
    <w:div w:id="1579436035">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610240398">
      <w:bodyDiv w:val="1"/>
      <w:marLeft w:val="0"/>
      <w:marRight w:val="0"/>
      <w:marTop w:val="0"/>
      <w:marBottom w:val="0"/>
      <w:divBdr>
        <w:top w:val="none" w:sz="0" w:space="0" w:color="auto"/>
        <w:left w:val="none" w:sz="0" w:space="0" w:color="auto"/>
        <w:bottom w:val="none" w:sz="0" w:space="0" w:color="auto"/>
        <w:right w:val="none" w:sz="0" w:space="0" w:color="auto"/>
      </w:divBdr>
    </w:div>
    <w:div w:id="1787895035">
      <w:bodyDiv w:val="1"/>
      <w:marLeft w:val="0"/>
      <w:marRight w:val="0"/>
      <w:marTop w:val="0"/>
      <w:marBottom w:val="0"/>
      <w:divBdr>
        <w:top w:val="none" w:sz="0" w:space="0" w:color="auto"/>
        <w:left w:val="none" w:sz="0" w:space="0" w:color="auto"/>
        <w:bottom w:val="none" w:sz="0" w:space="0" w:color="auto"/>
        <w:right w:val="none" w:sz="0" w:space="0" w:color="auto"/>
      </w:divBdr>
    </w:div>
    <w:div w:id="1792239199">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038971367">
      <w:bodyDiv w:val="1"/>
      <w:marLeft w:val="0"/>
      <w:marRight w:val="0"/>
      <w:marTop w:val="0"/>
      <w:marBottom w:val="0"/>
      <w:divBdr>
        <w:top w:val="none" w:sz="0" w:space="0" w:color="auto"/>
        <w:left w:val="none" w:sz="0" w:space="0" w:color="auto"/>
        <w:bottom w:val="none" w:sz="0" w:space="0" w:color="auto"/>
        <w:right w:val="none" w:sz="0" w:space="0" w:color="auto"/>
      </w:divBdr>
    </w:div>
    <w:div w:id="2048288815">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fr/Resolutions/6.GA/9" TargetMode="External"/><Relationship Id="rId13" Type="http://schemas.openxmlformats.org/officeDocument/2006/relationships/hyperlink" Target="https://www.helsinki.fi/en/conferences/indigenous-heritage-201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doc/src/ITH-18-7.GA-7-FR.docx" TargetMode="External"/><Relationship Id="rId5" Type="http://schemas.openxmlformats.org/officeDocument/2006/relationships/webSettings" Target="webSettings.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hyperlink" Target="https://ich.unesco.org/doc/src/ITH-16-11.COM_2.BUR-Decisions-FR.docx" TargetMode="External"/><Relationship Id="rId4" Type="http://schemas.openxmlformats.org/officeDocument/2006/relationships/settings" Target="settings.xml"/><Relationship Id="rId9" Type="http://schemas.openxmlformats.org/officeDocument/2006/relationships/hyperlink" Target="https://ich.unesco.org/fr/Decisions/10.COM/8"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ich.unesco.org/fr/Resolutions/6.GA/6"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Sheet1!$D$5</c:f>
              <c:strCache>
                <c:ptCount val="1"/>
                <c:pt idx="0">
                  <c:v>Total allocation</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Sheet1!$C$6:$C$9</c:f>
              <c:strCache>
                <c:ptCount val="4"/>
                <c:pt idx="0">
                  <c:v>35C/5</c:v>
                </c:pt>
                <c:pt idx="1">
                  <c:v>36C/5</c:v>
                </c:pt>
                <c:pt idx="2">
                  <c:v>37C/5</c:v>
                </c:pt>
                <c:pt idx="3">
                  <c:v>38C/5</c:v>
                </c:pt>
              </c:strCache>
            </c:strRef>
          </c:cat>
          <c:val>
            <c:numRef>
              <c:f>Sheet1!$D$6:$D$9</c:f>
              <c:numCache>
                <c:formatCode>#,##0</c:formatCode>
                <c:ptCount val="4"/>
                <c:pt idx="0">
                  <c:v>842653</c:v>
                </c:pt>
                <c:pt idx="1">
                  <c:v>1107810.99</c:v>
                </c:pt>
                <c:pt idx="2">
                  <c:v>1351087</c:v>
                </c:pt>
                <c:pt idx="3">
                  <c:v>1590746</c:v>
                </c:pt>
              </c:numCache>
            </c:numRef>
          </c:val>
          <c:extLst>
            <c:ext xmlns:c16="http://schemas.microsoft.com/office/drawing/2014/chart" uri="{C3380CC4-5D6E-409C-BE32-E72D297353CC}">
              <c16:uniqueId val="{00000000-12C8-47A1-83D4-EBCAFE55BE56}"/>
            </c:ext>
          </c:extLst>
        </c:ser>
        <c:dLbls>
          <c:showLegendKey val="0"/>
          <c:showVal val="0"/>
          <c:showCatName val="0"/>
          <c:showSerName val="0"/>
          <c:showPercent val="0"/>
          <c:showBubbleSize val="0"/>
        </c:dLbls>
        <c:gapWidth val="219"/>
        <c:axId val="177450776"/>
        <c:axId val="177582096"/>
      </c:barChart>
      <c:lineChart>
        <c:grouping val="standard"/>
        <c:varyColors val="0"/>
        <c:ser>
          <c:idx val="1"/>
          <c:order val="1"/>
          <c:tx>
            <c:strRef>
              <c:f>Sheet1!$F$5</c:f>
              <c:strCache>
                <c:ptCount val="1"/>
                <c:pt idx="0">
                  <c:v>Expenditure rate </c:v>
                </c:pt>
              </c:strCache>
            </c:strRef>
          </c:tx>
          <c:spPr>
            <a:ln w="34925" cap="rnd">
              <a:solidFill>
                <a:schemeClr val="accent2"/>
              </a:solidFill>
              <a:round/>
            </a:ln>
            <a:effectLst>
              <a:outerShdw blurRad="57150" dist="19050" dir="5400000" algn="ctr" rotWithShape="0">
                <a:srgbClr val="000000">
                  <a:alpha val="63000"/>
                </a:srgbClr>
              </a:outerShdw>
            </a:effectLst>
          </c:spPr>
          <c:marker>
            <c:symbol val="circle"/>
            <c:size val="6"/>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9525">
                <a:solidFill>
                  <a:schemeClr val="accent2"/>
                </a:solidFill>
                <a:round/>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marker>
          <c:cat>
            <c:strRef>
              <c:f>Sheet1!$C$7:$C$9</c:f>
              <c:strCache>
                <c:ptCount val="3"/>
                <c:pt idx="0">
                  <c:v>36C/5</c:v>
                </c:pt>
                <c:pt idx="1">
                  <c:v>37C/5</c:v>
                </c:pt>
                <c:pt idx="2">
                  <c:v>38C/5</c:v>
                </c:pt>
              </c:strCache>
            </c:strRef>
          </c:cat>
          <c:val>
            <c:numRef>
              <c:f>Sheet1!$F$6:$F$9</c:f>
              <c:numCache>
                <c:formatCode>0.00%</c:formatCode>
                <c:ptCount val="4"/>
                <c:pt idx="0" formatCode="0%">
                  <c:v>0.89124893639493363</c:v>
                </c:pt>
                <c:pt idx="1">
                  <c:v>0.92956120610430126</c:v>
                </c:pt>
                <c:pt idx="2" formatCode="0%">
                  <c:v>0.90203909148707673</c:v>
                </c:pt>
                <c:pt idx="3" formatCode="0.0%">
                  <c:v>0.92811184815174763</c:v>
                </c:pt>
              </c:numCache>
            </c:numRef>
          </c:val>
          <c:smooth val="0"/>
          <c:extLst>
            <c:ext xmlns:c16="http://schemas.microsoft.com/office/drawing/2014/chart" uri="{C3380CC4-5D6E-409C-BE32-E72D297353CC}">
              <c16:uniqueId val="{00000001-12C8-47A1-83D4-EBCAFE55BE56}"/>
            </c:ext>
          </c:extLst>
        </c:ser>
        <c:dLbls>
          <c:showLegendKey val="0"/>
          <c:showVal val="0"/>
          <c:showCatName val="0"/>
          <c:showSerName val="0"/>
          <c:showPercent val="0"/>
          <c:showBubbleSize val="0"/>
        </c:dLbls>
        <c:marker val="1"/>
        <c:smooth val="0"/>
        <c:axId val="6057968"/>
        <c:axId val="177582480"/>
      </c:lineChart>
      <c:catAx>
        <c:axId val="17745077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77582096"/>
        <c:crosses val="autoZero"/>
        <c:auto val="1"/>
        <c:lblAlgn val="ctr"/>
        <c:lblOffset val="100"/>
        <c:noMultiLvlLbl val="0"/>
      </c:catAx>
      <c:valAx>
        <c:axId val="1775820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77450776"/>
        <c:crosses val="autoZero"/>
        <c:crossBetween val="between"/>
      </c:valAx>
      <c:valAx>
        <c:axId val="177582480"/>
        <c:scaling>
          <c:orientation val="minMax"/>
          <c:max val="1"/>
          <c:min val="0"/>
        </c:scaling>
        <c:delete val="0"/>
        <c:axPos val="r"/>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057968"/>
        <c:crosses val="max"/>
        <c:crossBetween val="between"/>
      </c:valAx>
      <c:catAx>
        <c:axId val="6057968"/>
        <c:scaling>
          <c:orientation val="minMax"/>
        </c:scaling>
        <c:delete val="1"/>
        <c:axPos val="b"/>
        <c:numFmt formatCode="General" sourceLinked="1"/>
        <c:majorTickMark val="none"/>
        <c:minorTickMark val="none"/>
        <c:tickLblPos val="nextTo"/>
        <c:crossAx val="177582480"/>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5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560CE-AEDC-4173-A8E3-D9BCF193B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Template>
  <TotalTime>3</TotalTime>
  <Pages>11</Pages>
  <Words>4152</Words>
  <Characters>23306</Characters>
  <Application>Microsoft Office Word</Application>
  <DocSecurity>0</DocSecurity>
  <Lines>194</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27404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Shin, Eunkyung</cp:lastModifiedBy>
  <cp:revision>5</cp:revision>
  <cp:lastPrinted>2018-04-25T15:32:00Z</cp:lastPrinted>
  <dcterms:created xsi:type="dcterms:W3CDTF">2018-06-05T12:33:00Z</dcterms:created>
  <dcterms:modified xsi:type="dcterms:W3CDTF">2018-06-05T18:46:00Z</dcterms:modified>
</cp:coreProperties>
</file>