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8D" w:rsidRPr="00293C60" w:rsidRDefault="000E7990" w:rsidP="00EC6F8D">
      <w:pPr>
        <w:spacing w:before="1440"/>
        <w:jc w:val="center"/>
        <w:rPr>
          <w:rFonts w:ascii="Arial" w:hAnsi="Arial" w:cs="Arial"/>
          <w:b/>
          <w:sz w:val="22"/>
          <w:szCs w:val="22"/>
        </w:rPr>
      </w:pPr>
      <w:r>
        <w:rPr>
          <w:rFonts w:ascii="Arial" w:hAnsi="Arial"/>
          <w:b/>
          <w:sz w:val="22"/>
        </w:rPr>
        <w:t xml:space="preserve">CONVENCIÓN PARA LA SALVAGUARDIA DEL </w:t>
      </w:r>
      <w:r>
        <w:br/>
      </w:r>
      <w:r>
        <w:rPr>
          <w:rFonts w:ascii="Arial" w:hAnsi="Arial"/>
          <w:b/>
          <w:sz w:val="22"/>
        </w:rPr>
        <w:t>PATRIMONIO CULTURAL INMATERIAL</w:t>
      </w:r>
    </w:p>
    <w:p w:rsidR="0004168A" w:rsidRPr="00414643" w:rsidRDefault="000E7990" w:rsidP="0004168A">
      <w:pPr>
        <w:spacing w:before="1200"/>
        <w:jc w:val="center"/>
        <w:rPr>
          <w:rFonts w:ascii="Arial" w:hAnsi="Arial" w:cs="Arial"/>
          <w:b/>
          <w:sz w:val="22"/>
          <w:szCs w:val="22"/>
        </w:rPr>
      </w:pPr>
      <w:r>
        <w:rPr>
          <w:rFonts w:ascii="Arial" w:hAnsi="Arial"/>
          <w:b/>
          <w:sz w:val="22"/>
        </w:rPr>
        <w:t>ASAMBLEA GENERAL DE LOS ESTADOS PARTES EN LA CONVENCIÓN</w:t>
      </w:r>
    </w:p>
    <w:p w:rsidR="0004168A" w:rsidRPr="00FD624F" w:rsidRDefault="000E7990" w:rsidP="0004168A">
      <w:pPr>
        <w:spacing w:before="840"/>
        <w:jc w:val="center"/>
        <w:rPr>
          <w:rFonts w:ascii="Arial" w:hAnsi="Arial" w:cs="Arial"/>
          <w:b/>
          <w:sz w:val="22"/>
          <w:szCs w:val="22"/>
        </w:rPr>
      </w:pPr>
      <w:r>
        <w:rPr>
          <w:rFonts w:ascii="Arial" w:hAnsi="Arial"/>
          <w:b/>
          <w:sz w:val="22"/>
        </w:rPr>
        <w:t>Séptima reunión</w:t>
      </w:r>
    </w:p>
    <w:p w:rsidR="0004168A" w:rsidRPr="00FD624F" w:rsidRDefault="000E7990" w:rsidP="0004168A">
      <w:pPr>
        <w:jc w:val="center"/>
        <w:rPr>
          <w:rFonts w:ascii="Arial" w:hAnsi="Arial" w:cs="Arial"/>
          <w:b/>
          <w:sz w:val="22"/>
          <w:szCs w:val="22"/>
        </w:rPr>
      </w:pPr>
      <w:r>
        <w:rPr>
          <w:rFonts w:ascii="Arial" w:hAnsi="Arial"/>
          <w:b/>
          <w:sz w:val="22"/>
        </w:rPr>
        <w:t>Sede de la UNESCO, Sala II</w:t>
      </w:r>
    </w:p>
    <w:p w:rsidR="0004168A" w:rsidRPr="00414643" w:rsidRDefault="000E7990" w:rsidP="0004168A">
      <w:pPr>
        <w:jc w:val="center"/>
        <w:rPr>
          <w:rFonts w:ascii="Arial" w:hAnsi="Arial" w:cs="Arial"/>
          <w:b/>
          <w:sz w:val="22"/>
          <w:szCs w:val="22"/>
        </w:rPr>
      </w:pPr>
      <w:r>
        <w:rPr>
          <w:rFonts w:ascii="Arial" w:hAnsi="Arial"/>
          <w:b/>
          <w:sz w:val="22"/>
        </w:rPr>
        <w:t>4 al 6 de junio de 2018</w:t>
      </w:r>
    </w:p>
    <w:p w:rsidR="00EC6F8D" w:rsidRPr="00293C60" w:rsidRDefault="000E7990" w:rsidP="00EC6F8D">
      <w:pPr>
        <w:pStyle w:val="Sansinterligne2"/>
        <w:spacing w:before="1200"/>
        <w:jc w:val="center"/>
        <w:rPr>
          <w:rFonts w:ascii="Arial" w:hAnsi="Arial" w:cs="Arial"/>
          <w:b/>
          <w:sz w:val="22"/>
          <w:szCs w:val="22"/>
        </w:rPr>
      </w:pPr>
      <w:r>
        <w:rPr>
          <w:rFonts w:ascii="Arial" w:hAnsi="Arial"/>
          <w:b/>
          <w:sz w:val="22"/>
          <w:u w:val="single"/>
        </w:rPr>
        <w:t>Punto 10 del orden del día provisional:</w:t>
      </w:r>
    </w:p>
    <w:p w:rsidR="006906E8" w:rsidRPr="00293C60" w:rsidRDefault="000E7990" w:rsidP="00C051B5">
      <w:pPr>
        <w:tabs>
          <w:tab w:val="decimal" w:pos="1134"/>
        </w:tabs>
        <w:adjustRightInd w:val="0"/>
        <w:spacing w:after="1200"/>
        <w:jc w:val="center"/>
        <w:rPr>
          <w:rFonts w:ascii="Arial" w:hAnsi="Arial" w:cs="Arial"/>
          <w:b/>
          <w:sz w:val="22"/>
          <w:szCs w:val="22"/>
        </w:rPr>
      </w:pPr>
      <w:r>
        <w:rPr>
          <w:rFonts w:ascii="Arial" w:hAnsi="Arial"/>
          <w:b/>
          <w:sz w:val="22"/>
        </w:rPr>
        <w:t>Revisión de las Directrices Operativas para la aplicación de la Convención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F5B89" w:rsidTr="00EC6F8D">
        <w:trPr>
          <w:jc w:val="center"/>
        </w:trPr>
        <w:tc>
          <w:tcPr>
            <w:tcW w:w="5670" w:type="dxa"/>
            <w:vAlign w:val="center"/>
          </w:tcPr>
          <w:p w:rsidR="00EC6F8D" w:rsidRPr="00293C60" w:rsidRDefault="000E7990" w:rsidP="00CA56BB">
            <w:pPr>
              <w:pStyle w:val="Sansinterligne1"/>
              <w:spacing w:before="200" w:after="200"/>
              <w:jc w:val="center"/>
              <w:rPr>
                <w:rFonts w:ascii="Arial" w:hAnsi="Arial" w:cs="Arial"/>
                <w:b/>
                <w:sz w:val="22"/>
                <w:szCs w:val="22"/>
              </w:rPr>
            </w:pPr>
            <w:r>
              <w:rPr>
                <w:rFonts w:ascii="Arial" w:hAnsi="Arial"/>
                <w:b/>
                <w:sz w:val="22"/>
              </w:rPr>
              <w:t>Resumen</w:t>
            </w:r>
          </w:p>
          <w:p w:rsidR="00EC6F8D" w:rsidRPr="00293C60" w:rsidRDefault="000E7990" w:rsidP="00CA56BB">
            <w:pPr>
              <w:pStyle w:val="Sansinterligne1"/>
              <w:jc w:val="both"/>
              <w:rPr>
                <w:rFonts w:ascii="Arial" w:hAnsi="Arial" w:cs="Arial"/>
                <w:bCs/>
                <w:sz w:val="22"/>
                <w:szCs w:val="22"/>
              </w:rPr>
            </w:pPr>
            <w:r>
              <w:rPr>
                <w:rFonts w:ascii="Arial" w:hAnsi="Arial"/>
                <w:sz w:val="22"/>
              </w:rPr>
              <w:t xml:space="preserve">En su duodécima reunión, el Comité Intergubernamental decidió reformar el mecanismo de presentación de informes periódicos para optar por un ciclo regional de informes nacionales y recomendó a la Asamblea General que modificara las Directrices Operativas para la aplicación de la Convención en consecuencia (Decisión </w:t>
            </w:r>
            <w:hyperlink r:id="rId8" w:history="1">
              <w:r>
                <w:rPr>
                  <w:rStyle w:val="Hyperlink"/>
                  <w:rFonts w:ascii="Arial" w:hAnsi="Arial"/>
                  <w:sz w:val="22"/>
                </w:rPr>
                <w:t>12.COM 10</w:t>
              </w:r>
            </w:hyperlink>
            <w:r>
              <w:rPr>
                <w:rFonts w:ascii="Arial" w:hAnsi="Arial"/>
                <w:sz w:val="22"/>
              </w:rPr>
              <w:t>). El presente documento incluye, en su Anexo, el texto propuesto para dichas enmiendas.</w:t>
            </w:r>
          </w:p>
          <w:p w:rsidR="00EC6F8D" w:rsidRPr="00293C60" w:rsidRDefault="000E7990" w:rsidP="00331AB0">
            <w:pPr>
              <w:pStyle w:val="Sansinterligne2"/>
              <w:spacing w:before="200" w:after="200"/>
              <w:jc w:val="both"/>
              <w:rPr>
                <w:rFonts w:ascii="Arial" w:hAnsi="Arial" w:cs="Arial"/>
                <w:b/>
                <w:sz w:val="22"/>
                <w:szCs w:val="22"/>
              </w:rPr>
            </w:pPr>
            <w:r>
              <w:rPr>
                <w:rFonts w:ascii="Arial" w:hAnsi="Arial"/>
                <w:b/>
                <w:sz w:val="22"/>
              </w:rPr>
              <w:t xml:space="preserve">Decisión requerida: </w:t>
            </w:r>
            <w:r>
              <w:rPr>
                <w:rFonts w:ascii="Arial" w:hAnsi="Arial"/>
                <w:sz w:val="22"/>
              </w:rPr>
              <w:t xml:space="preserve">párrafo </w:t>
            </w:r>
            <w:r w:rsidRPr="00471812">
              <w:rPr>
                <w:rFonts w:ascii="Arial" w:hAnsi="Arial"/>
                <w:sz w:val="22"/>
              </w:rPr>
              <w:t>10</w:t>
            </w:r>
          </w:p>
        </w:tc>
      </w:tr>
    </w:tbl>
    <w:p w:rsidR="001942F7" w:rsidRDefault="000E7990">
      <w:pPr>
        <w:rPr>
          <w:rFonts w:ascii="Arial" w:hAnsi="Arial" w:cs="Arial"/>
          <w:snapToGrid w:val="0"/>
          <w:sz w:val="22"/>
          <w:szCs w:val="22"/>
        </w:rPr>
      </w:pPr>
      <w:r>
        <w:br w:type="page"/>
      </w:r>
    </w:p>
    <w:p w:rsidR="00BF2712" w:rsidRDefault="000E7990" w:rsidP="006610D9">
      <w:pPr>
        <w:pStyle w:val="COMPara"/>
        <w:numPr>
          <w:ilvl w:val="0"/>
          <w:numId w:val="6"/>
        </w:numPr>
        <w:ind w:left="567" w:hanging="567"/>
        <w:jc w:val="both"/>
      </w:pPr>
      <w:r>
        <w:rPr>
          <w:snapToGrid/>
        </w:rPr>
        <w:lastRenderedPageBreak/>
        <w:t>El grupo de trabajo intergubernamental de composición abierta para el desarrollo de un marco global de resultados para la Convención (</w:t>
      </w:r>
      <w:proofErr w:type="spellStart"/>
      <w:r>
        <w:rPr>
          <w:snapToGrid/>
        </w:rPr>
        <w:t>Chengdú</w:t>
      </w:r>
      <w:proofErr w:type="spellEnd"/>
      <w:r>
        <w:rPr>
          <w:snapToGrid/>
        </w:rPr>
        <w:t xml:space="preserve">, China, del 11 al 13 de junio de 2017) debatió acerca de cómo el proceso de adopción de un nuevo marco global de resultados proporciona una oportunidad única para revisar el mecanismo de presentación de informes periódicos (documento </w:t>
      </w:r>
      <w:hyperlink r:id="rId9" w:history="1">
        <w:r>
          <w:rPr>
            <w:rStyle w:val="Hyperlink"/>
          </w:rPr>
          <w:t>ITH/17/12.COM WG/5</w:t>
        </w:r>
      </w:hyperlink>
      <w:r>
        <w:rPr>
          <w:rStyle w:val="atenuated"/>
        </w:rPr>
        <w:t>)</w:t>
      </w:r>
      <w:r>
        <w:rPr>
          <w:snapToGrid/>
        </w:rPr>
        <w:t>. Asimismo destacó de forma convincente la necesidad de reformar el proceso de presentación de informes periódicos para que sea de mayor utilidad para los Estados Partes y para la Convención en su conjunto, y formuló la recomendación a este respecto al Comité que queda incluida en este informe (Documento </w:t>
      </w:r>
      <w:hyperlink r:id="rId10" w:history="1">
        <w:r>
          <w:rPr>
            <w:rStyle w:val="Hyperlink"/>
          </w:rPr>
          <w:t>ITH/17/12.COM WG/7</w:t>
        </w:r>
      </w:hyperlink>
      <w:r>
        <w:rPr>
          <w:snapToGrid/>
        </w:rPr>
        <w:t>).</w:t>
      </w:r>
    </w:p>
    <w:p w:rsidR="00E452AB" w:rsidRPr="00C42D93" w:rsidRDefault="000E7990" w:rsidP="00E452AB">
      <w:pPr>
        <w:pStyle w:val="COMPara"/>
        <w:numPr>
          <w:ilvl w:val="0"/>
          <w:numId w:val="6"/>
        </w:numPr>
        <w:ind w:left="567" w:hanging="567"/>
        <w:jc w:val="both"/>
      </w:pPr>
      <w:r>
        <w:rPr>
          <w:snapToGrid/>
        </w:rPr>
        <w:t xml:space="preserve">En su duodécima reunión (Isla de </w:t>
      </w:r>
      <w:proofErr w:type="spellStart"/>
      <w:r>
        <w:rPr>
          <w:snapToGrid/>
        </w:rPr>
        <w:t>Jeju</w:t>
      </w:r>
      <w:proofErr w:type="spellEnd"/>
      <w:r>
        <w:rPr>
          <w:snapToGrid/>
        </w:rPr>
        <w:t xml:space="preserve">, República de Corea, del 4 al 9 de diciembre de 2017), el Comité </w:t>
      </w:r>
      <w:r w:rsidR="00487449">
        <w:rPr>
          <w:snapToGrid/>
        </w:rPr>
        <w:t>refrendó</w:t>
      </w:r>
      <w:r>
        <w:rPr>
          <w:snapToGrid/>
        </w:rPr>
        <w:t xml:space="preserve"> las recomendaciones del grupo de trabajo intergubernamental de composición abierta y decidió reformar el proceso de presentación de informes periódicos con el objetivo de mejorar su calidad, su utilidad y su puntualidad. Asimismo, decidió enmendar la periodicidad de la presentación de informes nacionales sobre la aplicación de la Convención (Artículo 29) con el fin de que los Estados Partes presenten su informe nacional cada seis años con base en una rotación regional (Decisión </w:t>
      </w:r>
      <w:hyperlink r:id="rId11" w:history="1">
        <w:r>
          <w:rPr>
            <w:rStyle w:val="Hyperlink"/>
          </w:rPr>
          <w:t>12.COM 10</w:t>
        </w:r>
      </w:hyperlink>
      <w:r>
        <w:rPr>
          <w:snapToGrid/>
        </w:rPr>
        <w:t>).</w:t>
      </w:r>
    </w:p>
    <w:p w:rsidR="00F27BC5" w:rsidRDefault="000E7990" w:rsidP="006610D9">
      <w:pPr>
        <w:pStyle w:val="COMPara"/>
        <w:numPr>
          <w:ilvl w:val="0"/>
          <w:numId w:val="6"/>
        </w:numPr>
        <w:spacing w:before="120"/>
        <w:ind w:left="567" w:hanging="567"/>
        <w:jc w:val="both"/>
      </w:pPr>
      <w:r>
        <w:rPr>
          <w:snapToGrid/>
        </w:rPr>
        <w:t xml:space="preserve">Este cambio hacia un ciclo regional de presentación de informes nacionales fue </w:t>
      </w:r>
      <w:r w:rsidR="00487449">
        <w:rPr>
          <w:snapToGrid/>
        </w:rPr>
        <w:t>bien recibido</w:t>
      </w:r>
      <w:r>
        <w:rPr>
          <w:snapToGrid/>
        </w:rPr>
        <w:t xml:space="preserve"> por el Comité </w:t>
      </w:r>
      <w:r w:rsidR="00487449">
        <w:rPr>
          <w:snapToGrid/>
        </w:rPr>
        <w:t>ya que</w:t>
      </w:r>
      <w:r>
        <w:rPr>
          <w:snapToGrid/>
        </w:rPr>
        <w:t xml:space="preserve"> considera que ayudará a mejorar</w:t>
      </w:r>
      <w:r w:rsidR="00A42859">
        <w:rPr>
          <w:snapToGrid/>
        </w:rPr>
        <w:t xml:space="preserve"> el número</w:t>
      </w:r>
      <w:r>
        <w:rPr>
          <w:snapToGrid/>
        </w:rPr>
        <w:t xml:space="preserve"> de presentación de informes y mejorará la eficiencia </w:t>
      </w:r>
      <w:r w:rsidR="00A42859">
        <w:rPr>
          <w:snapToGrid/>
        </w:rPr>
        <w:t>del</w:t>
      </w:r>
      <w:r>
        <w:rPr>
          <w:snapToGrid/>
        </w:rPr>
        <w:t xml:space="preserve"> fortalecimiento de capacidades </w:t>
      </w:r>
      <w:r w:rsidR="00A42859">
        <w:rPr>
          <w:snapToGrid/>
        </w:rPr>
        <w:t>gracias a</w:t>
      </w:r>
      <w:r>
        <w:rPr>
          <w:snapToGrid/>
        </w:rPr>
        <w:t xml:space="preserve"> la organización de sesiones de formación específicas a nivel regional. El Comité subrayó que este cambio</w:t>
      </w:r>
      <w:r w:rsidR="00A42859">
        <w:rPr>
          <w:snapToGrid/>
        </w:rPr>
        <w:t xml:space="preserve"> permitirá a</w:t>
      </w:r>
      <w:r>
        <w:rPr>
          <w:snapToGrid/>
        </w:rPr>
        <w:t xml:space="preserve"> los Estados Partes de una región específica beneficiarse</w:t>
      </w:r>
      <w:r w:rsidR="00A42859">
        <w:rPr>
          <w:snapToGrid/>
        </w:rPr>
        <w:t xml:space="preserve"> más</w:t>
      </w:r>
      <w:r>
        <w:rPr>
          <w:snapToGrid/>
        </w:rPr>
        <w:t xml:space="preserve"> de la colaboración a nivel regional o subregional y que</w:t>
      </w:r>
      <w:r w:rsidR="00A42859">
        <w:rPr>
          <w:snapToGrid/>
        </w:rPr>
        <w:t xml:space="preserve"> las</w:t>
      </w:r>
      <w:r>
        <w:rPr>
          <w:snapToGrid/>
        </w:rPr>
        <w:t xml:space="preserve"> actividades de fortalecimiento de capacidades representarán una oportunidad para entablar un diálogo y un intercambio</w:t>
      </w:r>
      <w:r w:rsidR="00A42859">
        <w:rPr>
          <w:snapToGrid/>
        </w:rPr>
        <w:t xml:space="preserve"> sobre</w:t>
      </w:r>
      <w:r>
        <w:rPr>
          <w:snapToGrid/>
        </w:rPr>
        <w:t xml:space="preserve"> las experiencias nacionales. Asimismo, se espera que la reforma contribuya de manera significativa a la puesta en marcha del marco global de resultados considerando que los informes nacionales presentados proporcionarán una fuente de información clave y fiable que alimentará dicho marco.</w:t>
      </w:r>
    </w:p>
    <w:p w:rsidR="00874590" w:rsidRPr="00053CFA" w:rsidRDefault="000E7990" w:rsidP="00B1120B">
      <w:pPr>
        <w:pStyle w:val="COMPara"/>
        <w:numPr>
          <w:ilvl w:val="0"/>
          <w:numId w:val="6"/>
        </w:numPr>
        <w:spacing w:before="120"/>
        <w:ind w:left="567" w:hanging="567"/>
        <w:jc w:val="both"/>
      </w:pPr>
      <w:r>
        <w:rPr>
          <w:snapToGrid/>
        </w:rPr>
        <w:t xml:space="preserve">De manera funcional, el cambio hacia un ciclo regional de presentación de informes sobre la aplicación de la Convención y sobre el estado de los elementos inscritos en la Lista Representativa requiere, ante todo, la revisión de las Directrices Operativas </w:t>
      </w:r>
      <w:r w:rsidR="00A42859">
        <w:rPr>
          <w:snapToGrid/>
        </w:rPr>
        <w:t>sobre</w:t>
      </w:r>
      <w:r>
        <w:rPr>
          <w:snapToGrid/>
        </w:rPr>
        <w:t xml:space="preserve"> los informes periódicos tal como queda </w:t>
      </w:r>
      <w:r w:rsidR="005D4FD3">
        <w:rPr>
          <w:snapToGrid/>
        </w:rPr>
        <w:t>presentado</w:t>
      </w:r>
      <w:r>
        <w:rPr>
          <w:snapToGrid/>
        </w:rPr>
        <w:t xml:space="preserve"> en el Anexo de este documento. Asimismo, es necesario prever un período de transición antes de poner en marcha el nuevo calendario. Tras la reunión actual de la Asamblea General y en caso de que el marco global de resultados sea aprobado, la Secretaría podrá comenzar a revisar el Formulario ICH-10 de presentación de informes periódicos con el fin de alinearlo con el marco global de resultados y preparar el fortalecimiento de capacidades </w:t>
      </w:r>
      <w:r w:rsidR="00AF10F9">
        <w:rPr>
          <w:snapToGrid/>
        </w:rPr>
        <w:t xml:space="preserve">necesario </w:t>
      </w:r>
      <w:r>
        <w:rPr>
          <w:snapToGrid/>
        </w:rPr>
        <w:t xml:space="preserve">para acompañar la reforma del mecanismo de presentación de informes periódicos. El período de transición empezaría en la segunda mitad de 2018 y se extendería durante todo el 2019. Esto significa que la presentación de informes periódicos sobre la aplicación de la Convención quedaría suspendida para los plazos de entrega del 15 de diciembre de 2018 y 2019, incluyendo los informes pendientes. El formulario ICH-10 actualizado, así como el nuevo </w:t>
      </w:r>
      <w:r w:rsidR="00AF10F9">
        <w:rPr>
          <w:snapToGrid/>
        </w:rPr>
        <w:t>proceso</w:t>
      </w:r>
      <w:r>
        <w:rPr>
          <w:snapToGrid/>
        </w:rPr>
        <w:t xml:space="preserve"> de fortalecimiento de capacidades se presentarán al Comité en su catorceava reunión en 2019. A principios del 2020, la Secretaría estaría preparada para</w:t>
      </w:r>
      <w:r w:rsidR="00AF10F9">
        <w:rPr>
          <w:snapToGrid/>
        </w:rPr>
        <w:t xml:space="preserve"> comenzar con</w:t>
      </w:r>
      <w:r>
        <w:rPr>
          <w:snapToGrid/>
        </w:rPr>
        <w:t xml:space="preserve"> los nuevos procedimientos de presentación de informes periódicos sobre la aplicación de la Convención en la primera región.</w:t>
      </w:r>
    </w:p>
    <w:p w:rsidR="007B38C0" w:rsidRDefault="000E7990" w:rsidP="00A61A01">
      <w:pPr>
        <w:pStyle w:val="COMPara"/>
        <w:numPr>
          <w:ilvl w:val="0"/>
          <w:numId w:val="6"/>
        </w:numPr>
        <w:spacing w:before="120"/>
        <w:ind w:left="567" w:hanging="567"/>
        <w:jc w:val="both"/>
      </w:pPr>
      <w:r>
        <w:rPr>
          <w:snapToGrid/>
        </w:rPr>
        <w:t xml:space="preserve">El ciclo regional propuesto para la presentación nacional de informes duraría seis años. El Comité tomó nota de que este calendario para el primer ciclo quedaría establecido por parte del Comité en su treceava reunión en 2018 con el fin de indicar el orden de evaluación por parte de los grupos electorales. La decisión del Comité también hace referencia al período de transición al que le seguirá la presentación de informes nacionales por parte de la primera región </w:t>
      </w:r>
      <w:r w:rsidR="00F74924">
        <w:rPr>
          <w:snapToGrid/>
        </w:rPr>
        <w:t>a</w:t>
      </w:r>
      <w:r>
        <w:rPr>
          <w:snapToGrid/>
        </w:rPr>
        <w:t>l 15 de diciembre de 2020 para que el Comité los analice en su decimosexta reunión en 2021. Al mismo tiempo, los Estados Partes de la segunda región empezarían a preparar sus informes periódicos en 2021 para presentarlos el 15 de diciembre de 2021. Un proceso similar se pondría en marcha para el resto de las regiones hasta que el Comité haya analizado los informes de todas las regiones en 2026</w:t>
      </w:r>
      <w:r w:rsidR="00F74924">
        <w:rPr>
          <w:snapToGrid/>
        </w:rPr>
        <w:t>. E</w:t>
      </w:r>
      <w:r>
        <w:rPr>
          <w:snapToGrid/>
        </w:rPr>
        <w:t>n</w:t>
      </w:r>
      <w:r w:rsidR="00F74924">
        <w:rPr>
          <w:snapToGrid/>
        </w:rPr>
        <w:t xml:space="preserve"> el</w:t>
      </w:r>
      <w:r>
        <w:rPr>
          <w:snapToGrid/>
        </w:rPr>
        <w:t xml:space="preserve"> 2027 comenzaría el segundo ciclo. En el </w:t>
      </w:r>
      <w:r>
        <w:rPr>
          <w:snapToGrid/>
        </w:rPr>
        <w:lastRenderedPageBreak/>
        <w:t xml:space="preserve">caso de los Estados que ratifiquen la Convención durante un ciclo regional, se deberá considerar </w:t>
      </w:r>
      <w:r w:rsidR="00F74924">
        <w:rPr>
          <w:snapToGrid/>
        </w:rPr>
        <w:t>un</w:t>
      </w:r>
      <w:r>
        <w:rPr>
          <w:snapToGrid/>
        </w:rPr>
        <w:t xml:space="preserve"> período de tiempo necesario entre la ratificación y la entrega de su primer informe.</w:t>
      </w:r>
    </w:p>
    <w:p w:rsidR="0031637C" w:rsidRDefault="000E7990">
      <w:pPr>
        <w:pStyle w:val="COMPara"/>
        <w:numPr>
          <w:ilvl w:val="0"/>
          <w:numId w:val="6"/>
        </w:numPr>
        <w:spacing w:before="120"/>
        <w:ind w:left="567" w:hanging="567"/>
        <w:jc w:val="both"/>
      </w:pPr>
      <w:r>
        <w:rPr>
          <w:snapToGrid/>
        </w:rPr>
        <w:t>Por el momento, el cambio no afectará al procedimiento de entrega de informes sobre el estado de los elementos inscritos en la Lista</w:t>
      </w:r>
      <w:r w:rsidR="001C7CEB">
        <w:rPr>
          <w:snapToGrid/>
        </w:rPr>
        <w:t xml:space="preserve"> que requiere medidas urgentes </w:t>
      </w:r>
      <w:r>
        <w:rPr>
          <w:snapToGrid/>
        </w:rPr>
        <w:t xml:space="preserve">de </w:t>
      </w:r>
      <w:r w:rsidR="001C7CEB">
        <w:rPr>
          <w:snapToGrid/>
        </w:rPr>
        <w:t>s</w:t>
      </w:r>
      <w:r>
        <w:rPr>
          <w:snapToGrid/>
        </w:rPr>
        <w:t>alvaguardia. Esto se debe a que el Comité ha comenzado a reflexionar acerca del futuro de las Listas y de importantes mecanismos relacionados con dichas Listas, como</w:t>
      </w:r>
      <w:r w:rsidR="00BB2D25">
        <w:rPr>
          <w:snapToGrid/>
        </w:rPr>
        <w:t xml:space="preserve"> lo son</w:t>
      </w:r>
      <w:r>
        <w:rPr>
          <w:snapToGrid/>
        </w:rPr>
        <w:t xml:space="preserve"> la transferencia y la exclusión de elementos inscritos. Una vez el Comité haya avanzado con estas reflexiones estará en una mejor posición para decidir si armoniza el </w:t>
      </w:r>
      <w:bookmarkStart w:id="0" w:name="_GoBack"/>
      <w:bookmarkEnd w:id="0"/>
      <w:r>
        <w:rPr>
          <w:snapToGrid/>
        </w:rPr>
        <w:t xml:space="preserve">mecanismo de presentación de informes </w:t>
      </w:r>
      <w:r w:rsidR="00BB2D25">
        <w:rPr>
          <w:snapToGrid/>
        </w:rPr>
        <w:t>sobre</w:t>
      </w:r>
      <w:r>
        <w:rPr>
          <w:snapToGrid/>
        </w:rPr>
        <w:t xml:space="preserve"> la Lista </w:t>
      </w:r>
      <w:r w:rsidR="00BB2D25">
        <w:rPr>
          <w:snapToGrid/>
        </w:rPr>
        <w:t xml:space="preserve">que requiere medidas urgentes de salvaguardia </w:t>
      </w:r>
      <w:r>
        <w:rPr>
          <w:snapToGrid/>
        </w:rPr>
        <w:t xml:space="preserve">con el calendario regional o si lo deja como un sistema separado como es el caso actualmente, </w:t>
      </w:r>
      <w:r w:rsidR="00BB2D25">
        <w:rPr>
          <w:snapToGrid/>
        </w:rPr>
        <w:t xml:space="preserve">con </w:t>
      </w:r>
      <w:r>
        <w:rPr>
          <w:snapToGrid/>
        </w:rPr>
        <w:t>un calendario cuatrienal</w:t>
      </w:r>
      <w:r w:rsidR="00BB2D25">
        <w:rPr>
          <w:snapToGrid/>
        </w:rPr>
        <w:t xml:space="preserve"> y</w:t>
      </w:r>
      <w:r>
        <w:rPr>
          <w:snapToGrid/>
        </w:rPr>
        <w:t xml:space="preserve"> con inscripciones anuales. No se ha propuesto ninguna revisión para el procedimiento de los Estados que no s</w:t>
      </w:r>
      <w:r w:rsidR="00BB2D25">
        <w:rPr>
          <w:snapToGrid/>
        </w:rPr>
        <w:t>ean</w:t>
      </w:r>
      <w:r>
        <w:rPr>
          <w:snapToGrid/>
        </w:rPr>
        <w:t xml:space="preserve"> parte de la Convención </w:t>
      </w:r>
      <w:r w:rsidR="00BB2D25">
        <w:rPr>
          <w:snapToGrid/>
        </w:rPr>
        <w:t xml:space="preserve">y </w:t>
      </w:r>
      <w:r>
        <w:rPr>
          <w:snapToGrid/>
        </w:rPr>
        <w:t>que</w:t>
      </w:r>
      <w:r w:rsidR="00BB2D25">
        <w:rPr>
          <w:snapToGrid/>
        </w:rPr>
        <w:t xml:space="preserve"> deban</w:t>
      </w:r>
      <w:r>
        <w:rPr>
          <w:snapToGrid/>
        </w:rPr>
        <w:t xml:space="preserve"> informa</w:t>
      </w:r>
      <w:r w:rsidR="00BB2D25">
        <w:rPr>
          <w:snapToGrid/>
        </w:rPr>
        <w:t>r</w:t>
      </w:r>
      <w:r>
        <w:rPr>
          <w:snapToGrid/>
        </w:rPr>
        <w:t xml:space="preserve"> acerca de elementos inscritos en la Lista Representativa</w:t>
      </w:r>
      <w:r w:rsidR="00BB2D25">
        <w:rPr>
          <w:snapToGrid/>
        </w:rPr>
        <w:t>;</w:t>
      </w:r>
      <w:r>
        <w:rPr>
          <w:snapToGrid/>
        </w:rPr>
        <w:t xml:space="preserve"> que es el caso de un solo Estado (la Federación</w:t>
      </w:r>
      <w:r w:rsidR="00316337">
        <w:rPr>
          <w:snapToGrid/>
        </w:rPr>
        <w:t xml:space="preserve"> de</w:t>
      </w:r>
      <w:r>
        <w:rPr>
          <w:snapToGrid/>
        </w:rPr>
        <w:t xml:space="preserve"> Rus</w:t>
      </w:r>
      <w:r w:rsidR="00316337">
        <w:rPr>
          <w:snapToGrid/>
        </w:rPr>
        <w:t>i</w:t>
      </w:r>
      <w:r>
        <w:rPr>
          <w:snapToGrid/>
        </w:rPr>
        <w:t>a). Este proceso continuará siendo sexenal</w:t>
      </w:r>
      <w:r w:rsidR="00316337">
        <w:rPr>
          <w:snapToGrid/>
        </w:rPr>
        <w:t xml:space="preserve"> teniendo</w:t>
      </w:r>
      <w:r>
        <w:rPr>
          <w:snapToGrid/>
        </w:rPr>
        <w:t xml:space="preserve"> </w:t>
      </w:r>
      <w:r w:rsidR="00316337">
        <w:rPr>
          <w:snapToGrid/>
        </w:rPr>
        <w:t>como</w:t>
      </w:r>
      <w:r>
        <w:rPr>
          <w:snapToGrid/>
        </w:rPr>
        <w:t xml:space="preserve"> base el año de incorporación de las Obras Maestras en la Lista Representativa.</w:t>
      </w:r>
    </w:p>
    <w:p w:rsidR="001437A5" w:rsidRDefault="000E7990" w:rsidP="000E7990">
      <w:pPr>
        <w:pStyle w:val="COMPara"/>
        <w:numPr>
          <w:ilvl w:val="0"/>
          <w:numId w:val="6"/>
        </w:numPr>
        <w:spacing w:before="120"/>
        <w:ind w:left="567" w:hanging="567"/>
        <w:jc w:val="both"/>
      </w:pPr>
      <w:r>
        <w:rPr>
          <w:snapToGrid/>
        </w:rPr>
        <w:t>Las enmiendas a las Directrices Operativas recomendadas por el Comité a la Asamblea General presentadas en el Anexo del presente documento reflejan el nuevo enfoque de presentación de</w:t>
      </w:r>
      <w:r w:rsidR="00316337">
        <w:rPr>
          <w:snapToGrid/>
        </w:rPr>
        <w:t xml:space="preserve"> los</w:t>
      </w:r>
      <w:r>
        <w:rPr>
          <w:snapToGrid/>
        </w:rPr>
        <w:t xml:space="preserve"> informes periódicos tal como se explica en este documento y, en más detalle, en el documento de la duodécima reunión del Comité (documento </w:t>
      </w:r>
      <w:hyperlink r:id="rId12" w:history="1">
        <w:r w:rsidRPr="000E7990">
          <w:rPr>
            <w:rStyle w:val="Hyperlink"/>
            <w:snapToGrid/>
          </w:rPr>
          <w:t>ITH/17/</w:t>
        </w:r>
        <w:r w:rsidRPr="000E7990">
          <w:rPr>
            <w:rStyle w:val="Hyperlink"/>
          </w:rPr>
          <w:t>12.COM/10</w:t>
        </w:r>
      </w:hyperlink>
      <w:r>
        <w:rPr>
          <w:snapToGrid/>
        </w:rPr>
        <w:t>).</w:t>
      </w:r>
    </w:p>
    <w:p w:rsidR="006572C8" w:rsidRPr="00385AED" w:rsidRDefault="000E7990" w:rsidP="00B52653">
      <w:pPr>
        <w:pStyle w:val="COMPara"/>
        <w:numPr>
          <w:ilvl w:val="0"/>
          <w:numId w:val="6"/>
        </w:numPr>
        <w:spacing w:before="120"/>
        <w:ind w:left="567" w:hanging="567"/>
        <w:jc w:val="both"/>
      </w:pPr>
      <w:r>
        <w:rPr>
          <w:snapToGrid/>
        </w:rPr>
        <w:t>Además de las revisiones mencionadas anteriormente para avanzar hacia un ciclo regional de presentación de informes nacionales, el Comité recomendó revisar otros párrafos de las Directrices Operativas para tener en cuenta</w:t>
      </w:r>
      <w:r w:rsidR="00316337">
        <w:rPr>
          <w:snapToGrid/>
        </w:rPr>
        <w:t xml:space="preserve"> el hecho de </w:t>
      </w:r>
      <w:r>
        <w:rPr>
          <w:snapToGrid/>
        </w:rPr>
        <w:t>que los informes periódicos</w:t>
      </w:r>
      <w:r w:rsidR="00316337">
        <w:rPr>
          <w:snapToGrid/>
        </w:rPr>
        <w:t xml:space="preserve"> deberán</w:t>
      </w:r>
      <w:r>
        <w:rPr>
          <w:snapToGrid/>
        </w:rPr>
        <w:t xml:space="preserve"> se</w:t>
      </w:r>
      <w:r w:rsidR="00316337">
        <w:rPr>
          <w:snapToGrid/>
        </w:rPr>
        <w:t>r</w:t>
      </w:r>
      <w:r>
        <w:rPr>
          <w:snapToGrid/>
        </w:rPr>
        <w:t xml:space="preserve"> presenta</w:t>
      </w:r>
      <w:r w:rsidR="00316337">
        <w:rPr>
          <w:snapToGrid/>
        </w:rPr>
        <w:t>dos por vía electrónica</w:t>
      </w:r>
      <w:r>
        <w:rPr>
          <w:snapToGrid/>
        </w:rPr>
        <w:t xml:space="preserve"> a partir de 2018</w:t>
      </w:r>
      <w:r w:rsidR="00316337">
        <w:rPr>
          <w:snapToGrid/>
        </w:rPr>
        <w:t xml:space="preserve"> y en adelante</w:t>
      </w:r>
      <w:r>
        <w:rPr>
          <w:snapToGrid/>
        </w:rPr>
        <w:t xml:space="preserve"> (párrafos 152, 161 y 169). Gracias a la generosa contribución de la República de Corea al Fondo del Patrimonio Cultural Inmaterial con el fin de mejorar el mecanismo de presentación de informes periódicos, la Secretaría ha podido desarrollar una herramienta virtual para</w:t>
      </w:r>
      <w:r w:rsidR="00316337">
        <w:rPr>
          <w:snapToGrid/>
        </w:rPr>
        <w:t xml:space="preserve"> que los Estados Partes puedan</w:t>
      </w:r>
      <w:r>
        <w:rPr>
          <w:snapToGrid/>
        </w:rPr>
        <w:t xml:space="preserve"> completar sus informes en línea. Esta herramienta ya está disponible para la presentación de informes sobre elementos inscritos en la Lista </w:t>
      </w:r>
      <w:r w:rsidR="00F74436">
        <w:rPr>
          <w:snapToGrid/>
        </w:rPr>
        <w:t xml:space="preserve">que requiere medidas urgentes de salvaguardia </w:t>
      </w:r>
      <w:r>
        <w:rPr>
          <w:snapToGrid/>
        </w:rPr>
        <w:t>(Formulario ICH-11) y más adelante se adaptará</w:t>
      </w:r>
      <w:r w:rsidR="00F74436">
        <w:rPr>
          <w:snapToGrid/>
        </w:rPr>
        <w:t xml:space="preserve"> también</w:t>
      </w:r>
      <w:r>
        <w:rPr>
          <w:snapToGrid/>
        </w:rPr>
        <w:t xml:space="preserve"> para presentar los informes periódicos sobre la aplicación de la Convención (Formulario ICH-10).</w:t>
      </w:r>
    </w:p>
    <w:p w:rsidR="00FE0A0B" w:rsidRDefault="000E7990" w:rsidP="006610D9">
      <w:pPr>
        <w:pStyle w:val="COMPara"/>
        <w:numPr>
          <w:ilvl w:val="0"/>
          <w:numId w:val="6"/>
        </w:numPr>
        <w:spacing w:before="120"/>
        <w:ind w:left="567" w:hanging="567"/>
        <w:jc w:val="both"/>
      </w:pPr>
      <w:r>
        <w:rPr>
          <w:snapToGrid/>
        </w:rPr>
        <w:t>Por último, el Comité recomendó revisar el párrafo 166 con el fin de ajustarlo a las prácticas actuales para la publicación de</w:t>
      </w:r>
      <w:r w:rsidR="00F74436">
        <w:rPr>
          <w:snapToGrid/>
        </w:rPr>
        <w:t xml:space="preserve"> los</w:t>
      </w:r>
      <w:r>
        <w:rPr>
          <w:snapToGrid/>
        </w:rPr>
        <w:t xml:space="preserve"> informes y su evaluación. El Comité también recomendó que se eliminara el párrafo 167 y que la segunda mitad de dicho párrafo se incluya en el 166, y que se revise el párrafo 162 sobre los informes </w:t>
      </w:r>
      <w:r w:rsidR="00F74436">
        <w:rPr>
          <w:snapToGrid/>
        </w:rPr>
        <w:t>de</w:t>
      </w:r>
      <w:r>
        <w:rPr>
          <w:snapToGrid/>
        </w:rPr>
        <w:t xml:space="preserve"> la Lista </w:t>
      </w:r>
      <w:r w:rsidR="00F74436">
        <w:rPr>
          <w:snapToGrid/>
        </w:rPr>
        <w:t>que requiere medidas urgentes de salvaguardia</w:t>
      </w:r>
      <w:r>
        <w:rPr>
          <w:snapToGrid/>
        </w:rPr>
        <w:t xml:space="preserve"> para que esté en conformidad con la petición que el Comité hizo en su décima reunión de 2015 </w:t>
      </w:r>
      <w:r w:rsidR="009D7E71">
        <w:rPr>
          <w:snapToGrid/>
        </w:rPr>
        <w:t>para que</w:t>
      </w:r>
      <w:r>
        <w:rPr>
          <w:snapToGrid/>
        </w:rPr>
        <w:t xml:space="preserve"> los Estados p</w:t>
      </w:r>
      <w:r w:rsidR="009D7E71">
        <w:rPr>
          <w:snapToGrid/>
        </w:rPr>
        <w:t>uedan informar sobre la</w:t>
      </w:r>
      <w:r>
        <w:rPr>
          <w:snapToGrid/>
        </w:rPr>
        <w:t xml:space="preserve"> actuali</w:t>
      </w:r>
      <w:r w:rsidR="009D7E71">
        <w:rPr>
          <w:snapToGrid/>
        </w:rPr>
        <w:t>zación de</w:t>
      </w:r>
      <w:r>
        <w:rPr>
          <w:snapToGrid/>
        </w:rPr>
        <w:t xml:space="preserve"> sus planes de salvaguardia (</w:t>
      </w:r>
      <w:hyperlink r:id="rId13" w:history="1">
        <w:r>
          <w:rPr>
            <w:rStyle w:val="Hyperlink"/>
          </w:rPr>
          <w:t>Decisión 10.COM 6.b</w:t>
        </w:r>
      </w:hyperlink>
      <w:r>
        <w:rPr>
          <w:snapToGrid/>
        </w:rPr>
        <w:t>).</w:t>
      </w:r>
    </w:p>
    <w:p w:rsidR="003C3509" w:rsidRPr="00041A66" w:rsidRDefault="000E7990" w:rsidP="006610D9">
      <w:pPr>
        <w:pStyle w:val="COMPara"/>
        <w:numPr>
          <w:ilvl w:val="0"/>
          <w:numId w:val="6"/>
        </w:numPr>
        <w:spacing w:before="120"/>
        <w:ind w:left="567" w:hanging="567"/>
        <w:jc w:val="both"/>
      </w:pPr>
      <w:r>
        <w:rPr>
          <w:snapToGrid/>
        </w:rPr>
        <w:t>La Asamblea General podría aprobar la siguiente resolución:</w:t>
      </w:r>
    </w:p>
    <w:p w:rsidR="00D95C4C" w:rsidRPr="00FD624F" w:rsidRDefault="000E7990" w:rsidP="00041A66">
      <w:pPr>
        <w:pStyle w:val="COMTitleDecision"/>
        <w:rPr>
          <w:rFonts w:eastAsia="SimSun"/>
        </w:rPr>
      </w:pPr>
      <w:r>
        <w:t>PROPUESTA DE RESOLUCIÓN 7.GA 10</w:t>
      </w:r>
    </w:p>
    <w:p w:rsidR="00D95C4C" w:rsidRPr="00285BB4" w:rsidRDefault="000E7990" w:rsidP="00285BB4">
      <w:pPr>
        <w:pStyle w:val="COMPreambulaDecisions"/>
        <w:rPr>
          <w:rFonts w:eastAsia="SimSun"/>
        </w:rPr>
      </w:pPr>
      <w:r>
        <w:t>La Asamblea General,</w:t>
      </w:r>
    </w:p>
    <w:p w:rsidR="0057439C" w:rsidRPr="00345CB4" w:rsidRDefault="000E7990" w:rsidP="00A94FE1">
      <w:pPr>
        <w:pStyle w:val="COMParaDecision"/>
        <w:ind w:left="1134" w:hanging="567"/>
      </w:pPr>
      <w:r>
        <w:t>Habiendo examinado</w:t>
      </w:r>
      <w:r>
        <w:rPr>
          <w:u w:val="none"/>
        </w:rPr>
        <w:t xml:space="preserve"> el documento ITH/18/7.GA/10,</w:t>
      </w:r>
    </w:p>
    <w:p w:rsidR="00E24948" w:rsidRDefault="000E7990" w:rsidP="00A94FE1">
      <w:pPr>
        <w:pStyle w:val="COMParaDecision"/>
        <w:ind w:left="1134" w:hanging="567"/>
      </w:pPr>
      <w:r>
        <w:t>Se congratula</w:t>
      </w:r>
      <w:r>
        <w:rPr>
          <w:u w:val="none"/>
        </w:rPr>
        <w:t xml:space="preserve"> de la reforma del proceso de presentación de informes periódicos iniciada por el Comité y </w:t>
      </w:r>
      <w:r>
        <w:t>respalda</w:t>
      </w:r>
      <w:r>
        <w:rPr>
          <w:u w:val="none"/>
        </w:rPr>
        <w:t xml:space="preserve"> su decisión de avanzar hacia un ciclo regional de presentación de informes nacionales;</w:t>
      </w:r>
    </w:p>
    <w:p w:rsidR="003F0713" w:rsidRDefault="000E7990" w:rsidP="00A94FE1">
      <w:pPr>
        <w:pStyle w:val="COMParaDecision"/>
        <w:ind w:left="1134" w:hanging="567"/>
        <w:rPr>
          <w:u w:val="none"/>
        </w:rPr>
      </w:pPr>
      <w:r>
        <w:t>Aprueba</w:t>
      </w:r>
      <w:r>
        <w:rPr>
          <w:u w:val="none"/>
        </w:rPr>
        <w:t xml:space="preserve"> las enmiendas a las Directrices Operativas tal como quedan anexadas en esta resolución.</w:t>
      </w:r>
    </w:p>
    <w:p w:rsidR="00074872" w:rsidRDefault="00074872" w:rsidP="007E0DEF">
      <w:pPr>
        <w:pStyle w:val="COMParaDecision"/>
        <w:numPr>
          <w:ilvl w:val="0"/>
          <w:numId w:val="0"/>
        </w:numPr>
        <w:ind w:left="1134"/>
        <w:sectPr w:rsidR="00074872"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pPr>
    </w:p>
    <w:p w:rsidR="003942C4" w:rsidRPr="00EB77E6" w:rsidRDefault="000E7990" w:rsidP="003942C4">
      <w:pPr>
        <w:pStyle w:val="Marge"/>
        <w:jc w:val="center"/>
        <w:rPr>
          <w:b/>
          <w:bCs/>
        </w:rPr>
      </w:pPr>
      <w:r>
        <w:rPr>
          <w:b/>
          <w:snapToGrid/>
        </w:rPr>
        <w:t>ANEXO</w:t>
      </w:r>
    </w:p>
    <w:tbl>
      <w:tblPr>
        <w:tblW w:w="14742" w:type="dxa"/>
        <w:tblLayout w:type="fixed"/>
        <w:tblCellMar>
          <w:top w:w="57" w:type="dxa"/>
          <w:bottom w:w="57" w:type="dxa"/>
        </w:tblCellMar>
        <w:tblLook w:val="04A0" w:firstRow="1" w:lastRow="0" w:firstColumn="1" w:lastColumn="0" w:noHBand="0" w:noVBand="1"/>
      </w:tblPr>
      <w:tblGrid>
        <w:gridCol w:w="271"/>
        <w:gridCol w:w="466"/>
        <w:gridCol w:w="271"/>
        <w:gridCol w:w="6634"/>
        <w:gridCol w:w="737"/>
        <w:gridCol w:w="6363"/>
      </w:tblGrid>
      <w:tr w:rsidR="003942C4" w:rsidRPr="00EB77E6" w:rsidTr="007E0DEF">
        <w:trPr>
          <w:gridBefore w:val="1"/>
          <w:wBefore w:w="92" w:type="pct"/>
          <w:cantSplit/>
        </w:trPr>
        <w:tc>
          <w:tcPr>
            <w:tcW w:w="250" w:type="pct"/>
            <w:gridSpan w:val="2"/>
            <w:shd w:val="clear" w:color="auto" w:fill="auto"/>
          </w:tcPr>
          <w:p w:rsidR="003942C4" w:rsidRPr="009D2FCA" w:rsidRDefault="00F41ACF" w:rsidP="00037932">
            <w:pPr>
              <w:spacing w:before="120" w:after="120"/>
              <w:jc w:val="right"/>
              <w:rPr>
                <w:rFonts w:ascii="Arial" w:hAnsi="Arial" w:cs="Arial"/>
                <w:b/>
                <w:bCs/>
                <w:sz w:val="22"/>
                <w:szCs w:val="22"/>
              </w:rPr>
            </w:pPr>
          </w:p>
        </w:tc>
        <w:tc>
          <w:tcPr>
            <w:tcW w:w="2250" w:type="pct"/>
            <w:shd w:val="clear" w:color="auto" w:fill="auto"/>
          </w:tcPr>
          <w:p w:rsidR="003942C4" w:rsidRPr="009D2FCA" w:rsidRDefault="000E7990" w:rsidP="00F50FE4">
            <w:pPr>
              <w:spacing w:before="120" w:after="120"/>
              <w:jc w:val="both"/>
              <w:rPr>
                <w:rFonts w:ascii="Arial" w:hAnsi="Arial" w:cs="Arial"/>
                <w:b/>
                <w:bCs/>
                <w:sz w:val="22"/>
                <w:szCs w:val="22"/>
              </w:rPr>
            </w:pPr>
            <w:r>
              <w:rPr>
                <w:rFonts w:ascii="Arial" w:hAnsi="Arial"/>
                <w:b/>
                <w:sz w:val="22"/>
                <w:u w:val="single"/>
              </w:rPr>
              <w:t>Directrices Operativas</w:t>
            </w:r>
          </w:p>
        </w:tc>
        <w:tc>
          <w:tcPr>
            <w:tcW w:w="250" w:type="pct"/>
          </w:tcPr>
          <w:p w:rsidR="003942C4" w:rsidRPr="009D2FCA" w:rsidRDefault="00F41ACF" w:rsidP="00037932">
            <w:pPr>
              <w:spacing w:before="120" w:after="120"/>
              <w:jc w:val="right"/>
              <w:rPr>
                <w:rFonts w:ascii="Arial" w:hAnsi="Arial" w:cs="Arial"/>
                <w:b/>
                <w:bCs/>
                <w:sz w:val="22"/>
                <w:szCs w:val="22"/>
              </w:rPr>
            </w:pPr>
          </w:p>
        </w:tc>
        <w:tc>
          <w:tcPr>
            <w:tcW w:w="2250" w:type="pct"/>
          </w:tcPr>
          <w:p w:rsidR="003942C4" w:rsidRPr="00DD7D44" w:rsidRDefault="000E7990" w:rsidP="00037932">
            <w:pPr>
              <w:spacing w:before="120" w:after="120"/>
              <w:jc w:val="both"/>
              <w:rPr>
                <w:rFonts w:ascii="Arial" w:hAnsi="Arial" w:cs="Arial"/>
                <w:sz w:val="22"/>
                <w:szCs w:val="22"/>
              </w:rPr>
            </w:pPr>
            <w:r>
              <w:rPr>
                <w:rFonts w:ascii="Arial" w:hAnsi="Arial"/>
                <w:b/>
                <w:sz w:val="22"/>
                <w:u w:val="single"/>
              </w:rPr>
              <w:t>Enmiendas propuestas</w:t>
            </w:r>
          </w:p>
        </w:tc>
      </w:tr>
      <w:tr w:rsidR="003942C4" w:rsidRPr="00EB77E6" w:rsidTr="007E0DEF">
        <w:trPr>
          <w:gridBefore w:val="1"/>
          <w:wBefore w:w="92" w:type="pct"/>
          <w:cantSplit/>
        </w:trPr>
        <w:tc>
          <w:tcPr>
            <w:tcW w:w="250" w:type="pct"/>
            <w:gridSpan w:val="2"/>
            <w:shd w:val="clear" w:color="auto" w:fill="auto"/>
          </w:tcPr>
          <w:p w:rsidR="003942C4" w:rsidRPr="00B36C17" w:rsidRDefault="000E7990" w:rsidP="00037932">
            <w:pPr>
              <w:spacing w:before="120" w:after="120"/>
              <w:jc w:val="right"/>
              <w:rPr>
                <w:rFonts w:ascii="Arial" w:hAnsi="Arial" w:cs="Arial"/>
                <w:sz w:val="22"/>
                <w:szCs w:val="22"/>
              </w:rPr>
            </w:pPr>
            <w:r>
              <w:rPr>
                <w:rFonts w:ascii="Arial" w:hAnsi="Arial"/>
                <w:b/>
                <w:sz w:val="22"/>
              </w:rPr>
              <w:t>V.1</w:t>
            </w:r>
          </w:p>
        </w:tc>
        <w:tc>
          <w:tcPr>
            <w:tcW w:w="2250" w:type="pct"/>
            <w:shd w:val="clear" w:color="auto" w:fill="auto"/>
          </w:tcPr>
          <w:p w:rsidR="003942C4" w:rsidRPr="00E717A3" w:rsidRDefault="000E7990" w:rsidP="00037932">
            <w:pPr>
              <w:spacing w:before="120" w:after="120"/>
              <w:jc w:val="both"/>
              <w:rPr>
                <w:rFonts w:ascii="Arial" w:hAnsi="Arial" w:cs="Arial"/>
              </w:rPr>
            </w:pPr>
            <w:r>
              <w:rPr>
                <w:rFonts w:ascii="Arial" w:hAnsi="Arial"/>
                <w:b/>
              </w:rPr>
              <w:t>Informes de los Estados Partes sobre la aplicación de la Convención</w:t>
            </w:r>
          </w:p>
        </w:tc>
        <w:tc>
          <w:tcPr>
            <w:tcW w:w="250" w:type="pct"/>
          </w:tcPr>
          <w:p w:rsidR="003942C4" w:rsidRPr="00B36C17" w:rsidRDefault="000E7990" w:rsidP="00037932">
            <w:pPr>
              <w:spacing w:before="120" w:after="120"/>
              <w:jc w:val="right"/>
              <w:rPr>
                <w:rFonts w:ascii="Arial" w:hAnsi="Arial" w:cs="Arial"/>
                <w:sz w:val="22"/>
                <w:szCs w:val="22"/>
              </w:rPr>
            </w:pPr>
            <w:r>
              <w:rPr>
                <w:rFonts w:ascii="Arial" w:hAnsi="Arial"/>
                <w:b/>
                <w:sz w:val="22"/>
              </w:rPr>
              <w:t>V.1</w:t>
            </w:r>
          </w:p>
        </w:tc>
        <w:tc>
          <w:tcPr>
            <w:tcW w:w="2250" w:type="pct"/>
          </w:tcPr>
          <w:p w:rsidR="003942C4" w:rsidRPr="00B36C17" w:rsidRDefault="000E7990" w:rsidP="00037932">
            <w:pPr>
              <w:spacing w:before="120" w:after="120"/>
              <w:jc w:val="both"/>
              <w:rPr>
                <w:rFonts w:ascii="Arial" w:hAnsi="Arial" w:cs="Arial"/>
                <w:sz w:val="22"/>
                <w:szCs w:val="22"/>
              </w:rPr>
            </w:pPr>
            <w:r>
              <w:rPr>
                <w:rFonts w:ascii="Arial" w:hAnsi="Arial"/>
                <w:sz w:val="22"/>
              </w:rPr>
              <w:t>No hay cambios.</w:t>
            </w:r>
          </w:p>
        </w:tc>
      </w:tr>
      <w:tr w:rsidR="00BE4D6B" w:rsidRPr="00EB77E6" w:rsidTr="007E0DEF">
        <w:trPr>
          <w:gridBefore w:val="1"/>
          <w:wBefore w:w="92" w:type="pct"/>
          <w:cantSplit/>
        </w:trPr>
        <w:tc>
          <w:tcPr>
            <w:tcW w:w="250" w:type="pct"/>
            <w:gridSpan w:val="2"/>
            <w:shd w:val="clear" w:color="auto" w:fill="auto"/>
          </w:tcPr>
          <w:p w:rsidR="00BE4D6B" w:rsidRPr="00A1056C" w:rsidRDefault="000E7990" w:rsidP="00BE4D6B">
            <w:pPr>
              <w:spacing w:before="120" w:after="120"/>
              <w:jc w:val="right"/>
              <w:rPr>
                <w:rFonts w:ascii="Arial" w:hAnsi="Arial" w:cs="Arial"/>
                <w:sz w:val="22"/>
                <w:szCs w:val="22"/>
              </w:rPr>
            </w:pPr>
            <w:r>
              <w:rPr>
                <w:rFonts w:ascii="Arial" w:hAnsi="Arial"/>
                <w:sz w:val="22"/>
              </w:rPr>
              <w:t>151.</w:t>
            </w:r>
          </w:p>
        </w:tc>
        <w:tc>
          <w:tcPr>
            <w:tcW w:w="2250" w:type="pct"/>
            <w:shd w:val="clear" w:color="auto" w:fill="auto"/>
          </w:tcPr>
          <w:p w:rsidR="00BE4D6B" w:rsidRPr="00710CE9" w:rsidRDefault="000E7990" w:rsidP="00BE4D6B">
            <w:pPr>
              <w:spacing w:before="120" w:after="120"/>
              <w:jc w:val="both"/>
              <w:rPr>
                <w:rFonts w:ascii="Arial" w:hAnsi="Arial" w:cs="Arial"/>
                <w:sz w:val="22"/>
                <w:szCs w:val="22"/>
              </w:rPr>
            </w:pPr>
            <w:r>
              <w:rPr>
                <w:rFonts w:ascii="Arial" w:hAnsi="Arial"/>
                <w:sz w:val="22"/>
              </w:rPr>
              <w:t xml:space="preserve">Cada Estado Parte en la Convención presentará periódicamente al Comité informes sobre las disposiciones legislativas, reglamentarias y de otra índole que haya adoptado para aplicar la Convención. Se alienta a los Estados Partes a complementar los datos recogidos sobre la aplicación de la Convención con </w:t>
            </w:r>
            <w:proofErr w:type="spellStart"/>
            <w:r>
              <w:rPr>
                <w:rFonts w:ascii="Arial" w:hAnsi="Arial"/>
                <w:sz w:val="22"/>
              </w:rPr>
              <w:t>informacionproporcionada</w:t>
            </w:r>
            <w:proofErr w:type="spellEnd"/>
            <w:r>
              <w:rPr>
                <w:rFonts w:ascii="Arial" w:hAnsi="Arial"/>
                <w:sz w:val="22"/>
              </w:rPr>
              <w:t xml:space="preserve"> por organizaciones no gubernamentales pertinentes.</w:t>
            </w:r>
          </w:p>
        </w:tc>
        <w:tc>
          <w:tcPr>
            <w:tcW w:w="250" w:type="pct"/>
          </w:tcPr>
          <w:p w:rsidR="00BE4D6B" w:rsidRPr="00BA4171" w:rsidRDefault="000E7990" w:rsidP="00BE4D6B">
            <w:pPr>
              <w:spacing w:before="120" w:after="120"/>
              <w:jc w:val="right"/>
              <w:rPr>
                <w:rFonts w:ascii="Arial" w:hAnsi="Arial" w:cs="Arial"/>
                <w:sz w:val="22"/>
                <w:szCs w:val="22"/>
              </w:rPr>
            </w:pPr>
            <w:r>
              <w:rPr>
                <w:rFonts w:ascii="Arial" w:hAnsi="Arial"/>
                <w:sz w:val="22"/>
              </w:rPr>
              <w:t>151.</w:t>
            </w:r>
          </w:p>
        </w:tc>
        <w:tc>
          <w:tcPr>
            <w:tcW w:w="2250" w:type="pct"/>
          </w:tcPr>
          <w:p w:rsidR="00BE4D6B" w:rsidRPr="004815DD" w:rsidRDefault="000E7990" w:rsidP="00BE4D6B">
            <w:pPr>
              <w:spacing w:before="120" w:after="120"/>
              <w:ind w:right="175"/>
              <w:jc w:val="both"/>
              <w:rPr>
                <w:rFonts w:ascii="Arial" w:hAnsi="Arial" w:cs="Arial"/>
                <w:sz w:val="22"/>
                <w:szCs w:val="22"/>
              </w:rPr>
            </w:pPr>
            <w:r>
              <w:rPr>
                <w:rFonts w:ascii="Arial" w:hAnsi="Arial"/>
                <w:sz w:val="22"/>
              </w:rPr>
              <w:t>No hay cambios.</w:t>
            </w:r>
          </w:p>
        </w:tc>
      </w:tr>
      <w:tr w:rsidR="00BE4D6B" w:rsidRPr="00F3359B" w:rsidTr="007E0DEF">
        <w:trPr>
          <w:gridBefore w:val="1"/>
          <w:wBefore w:w="92" w:type="pct"/>
          <w:cantSplit/>
        </w:trPr>
        <w:tc>
          <w:tcPr>
            <w:tcW w:w="250" w:type="pct"/>
            <w:gridSpan w:val="2"/>
            <w:shd w:val="clear" w:color="auto" w:fill="auto"/>
          </w:tcPr>
          <w:p w:rsidR="00BE4D6B" w:rsidRPr="00A1056C" w:rsidRDefault="000E7990" w:rsidP="00BE4D6B">
            <w:pPr>
              <w:spacing w:before="120" w:after="120"/>
              <w:jc w:val="right"/>
              <w:rPr>
                <w:rFonts w:ascii="Arial" w:hAnsi="Arial" w:cs="Arial"/>
                <w:sz w:val="22"/>
                <w:szCs w:val="22"/>
              </w:rPr>
            </w:pPr>
            <w:r>
              <w:rPr>
                <w:rFonts w:ascii="Arial" w:hAnsi="Arial"/>
                <w:sz w:val="22"/>
              </w:rPr>
              <w:t>152.</w:t>
            </w:r>
          </w:p>
        </w:tc>
        <w:tc>
          <w:tcPr>
            <w:tcW w:w="2250" w:type="pct"/>
            <w:shd w:val="clear" w:color="auto" w:fill="auto"/>
          </w:tcPr>
          <w:p w:rsidR="00BE4D6B" w:rsidRPr="00E336A1" w:rsidRDefault="000E7990" w:rsidP="00F96432">
            <w:pPr>
              <w:spacing w:before="120" w:after="120"/>
              <w:jc w:val="both"/>
              <w:rPr>
                <w:rFonts w:ascii="Arial" w:hAnsi="Arial" w:cs="Arial"/>
                <w:color w:val="000000"/>
                <w:sz w:val="22"/>
                <w:szCs w:val="22"/>
              </w:rPr>
            </w:pPr>
            <w:r>
              <w:rPr>
                <w:rFonts w:ascii="Arial" w:hAnsi="Arial"/>
                <w:color w:val="000000"/>
                <w:sz w:val="22"/>
              </w:rPr>
              <w:t xml:space="preserve">El Estado Parte presentará su informe periódico al Comité a más tardar el 15 de diciembre del sexto año siguiente al que haya depositado su instrumento de ratificación, aceptación o aprobación, y luego cada sexenio. Para esos informes se utilizará el formulario ICH-10, que se puede obtener en la página web </w:t>
            </w:r>
            <w:hyperlink r:id="rId17" w:history="1">
              <w:r>
                <w:rPr>
                  <w:rStyle w:val="Hyperlink"/>
                  <w:rFonts w:ascii="Arial" w:hAnsi="Arial"/>
                  <w:sz w:val="22"/>
                </w:rPr>
                <w:t>www.unesco.org/culture/ich</w:t>
              </w:r>
            </w:hyperlink>
            <w:r>
              <w:rPr>
                <w:rFonts w:ascii="Arial" w:hAnsi="Arial"/>
                <w:color w:val="000000"/>
                <w:sz w:val="22"/>
              </w:rPr>
              <w:t xml:space="preserve"> o pidiéndolo a la Secretaría. Los informes deberán contener única y exclusivamente la información requerida en ese formulario.</w:t>
            </w:r>
          </w:p>
        </w:tc>
        <w:tc>
          <w:tcPr>
            <w:tcW w:w="250" w:type="pct"/>
          </w:tcPr>
          <w:p w:rsidR="00BE4D6B" w:rsidRPr="00DB7B2C" w:rsidRDefault="000E7990" w:rsidP="00BE4D6B">
            <w:pPr>
              <w:spacing w:before="120" w:after="120"/>
              <w:jc w:val="right"/>
              <w:rPr>
                <w:rFonts w:ascii="Arial" w:hAnsi="Arial" w:cs="Arial"/>
                <w:sz w:val="22"/>
                <w:szCs w:val="22"/>
              </w:rPr>
            </w:pPr>
            <w:r>
              <w:rPr>
                <w:rFonts w:ascii="Arial" w:hAnsi="Arial"/>
                <w:sz w:val="22"/>
              </w:rPr>
              <w:t>152.</w:t>
            </w:r>
          </w:p>
        </w:tc>
        <w:tc>
          <w:tcPr>
            <w:tcW w:w="2250" w:type="pct"/>
          </w:tcPr>
          <w:p w:rsidR="00BE4D6B" w:rsidRPr="006865E2" w:rsidRDefault="000E7990" w:rsidP="00DC3828">
            <w:pPr>
              <w:spacing w:before="120" w:after="120"/>
              <w:jc w:val="both"/>
              <w:rPr>
                <w:rFonts w:ascii="Arial" w:hAnsi="Arial" w:cs="Arial"/>
                <w:strike/>
                <w:color w:val="000000"/>
                <w:sz w:val="22"/>
                <w:szCs w:val="22"/>
              </w:rPr>
            </w:pPr>
            <w:r>
              <w:rPr>
                <w:rFonts w:ascii="Arial" w:hAnsi="Arial"/>
                <w:strike/>
                <w:color w:val="000000"/>
                <w:sz w:val="22"/>
              </w:rPr>
              <w:t xml:space="preserve">El Estado Parte presentará su informe periódico </w:t>
            </w:r>
            <w:r>
              <w:rPr>
                <w:rFonts w:ascii="Arial" w:hAnsi="Arial"/>
                <w:b/>
                <w:color w:val="000000"/>
                <w:sz w:val="22"/>
                <w:u w:val="single"/>
              </w:rPr>
              <w:t>El Estado Parte presentará su informe periódico nacional</w:t>
            </w:r>
            <w:r>
              <w:rPr>
                <w:rFonts w:ascii="Arial" w:hAnsi="Arial"/>
                <w:color w:val="000000"/>
                <w:sz w:val="22"/>
              </w:rPr>
              <w:t xml:space="preserve"> al Comité a más tardar el 15 de diciembre </w:t>
            </w:r>
            <w:r>
              <w:rPr>
                <w:rFonts w:ascii="Arial" w:hAnsi="Arial"/>
                <w:b/>
                <w:color w:val="000000"/>
                <w:sz w:val="22"/>
                <w:u w:val="single"/>
              </w:rPr>
              <w:t xml:space="preserve">cada seis años con base en una rotación región por región. El orden de dicha rotación </w:t>
            </w:r>
            <w:r w:rsidR="009D7E71">
              <w:rPr>
                <w:rFonts w:ascii="Arial" w:hAnsi="Arial"/>
                <w:b/>
                <w:color w:val="000000"/>
                <w:sz w:val="22"/>
                <w:u w:val="single"/>
              </w:rPr>
              <w:t>es</w:t>
            </w:r>
            <w:r>
              <w:rPr>
                <w:rFonts w:ascii="Arial" w:hAnsi="Arial"/>
                <w:b/>
                <w:color w:val="000000"/>
                <w:sz w:val="22"/>
                <w:u w:val="single"/>
              </w:rPr>
              <w:t xml:space="preserve"> establecido por el Comité al principio del ciclo de seis años de presentación de informes periódicos.</w:t>
            </w:r>
            <w:r>
              <w:rPr>
                <w:rFonts w:ascii="Arial" w:hAnsi="Arial"/>
                <w:strike/>
                <w:color w:val="000000"/>
                <w:sz w:val="22"/>
              </w:rPr>
              <w:t xml:space="preserve"> del sexto año siguiente al que haya depositado su instrumento de ratificación, aceptación o aprobación, y luego cada sexenio. </w:t>
            </w:r>
            <w:r>
              <w:rPr>
                <w:rFonts w:ascii="Arial" w:hAnsi="Arial"/>
                <w:b/>
                <w:sz w:val="22"/>
                <w:u w:val="single"/>
              </w:rPr>
              <w:t>Los Estados Partes utilizarán el proceso de presentación de informes periódicos para fomentar</w:t>
            </w:r>
            <w:r w:rsidR="009D7E71">
              <w:rPr>
                <w:rFonts w:ascii="Arial" w:hAnsi="Arial"/>
                <w:b/>
                <w:sz w:val="22"/>
                <w:u w:val="single"/>
              </w:rPr>
              <w:t xml:space="preserve"> la cooperación y el</w:t>
            </w:r>
            <w:r>
              <w:rPr>
                <w:rFonts w:ascii="Arial" w:hAnsi="Arial"/>
                <w:b/>
                <w:sz w:val="22"/>
                <w:u w:val="single"/>
              </w:rPr>
              <w:t xml:space="preserve"> intercambio </w:t>
            </w:r>
            <w:r w:rsidR="009D7E71">
              <w:rPr>
                <w:rFonts w:ascii="Arial" w:hAnsi="Arial"/>
                <w:b/>
                <w:sz w:val="22"/>
                <w:u w:val="single"/>
              </w:rPr>
              <w:t xml:space="preserve"> </w:t>
            </w:r>
            <w:r>
              <w:rPr>
                <w:rFonts w:ascii="Arial" w:hAnsi="Arial"/>
                <w:b/>
                <w:sz w:val="22"/>
                <w:u w:val="single"/>
              </w:rPr>
              <w:t xml:space="preserve"> activo</w:t>
            </w:r>
            <w:r w:rsidR="00E231F8">
              <w:rPr>
                <w:rFonts w:ascii="Arial" w:hAnsi="Arial"/>
                <w:b/>
                <w:sz w:val="22"/>
                <w:u w:val="single"/>
              </w:rPr>
              <w:t xml:space="preserve"> a nivel regional</w:t>
            </w:r>
            <w:r>
              <w:rPr>
                <w:rFonts w:ascii="Arial" w:hAnsi="Arial"/>
                <w:b/>
                <w:sz w:val="22"/>
                <w:u w:val="single"/>
              </w:rPr>
              <w:t>.</w:t>
            </w:r>
            <w:r>
              <w:rPr>
                <w:rFonts w:ascii="Arial" w:hAnsi="Arial"/>
                <w:strike/>
                <w:color w:val="000000"/>
                <w:sz w:val="22"/>
              </w:rPr>
              <w:t xml:space="preserve"> </w:t>
            </w:r>
            <w:r>
              <w:rPr>
                <w:rFonts w:ascii="Arial" w:hAnsi="Arial"/>
                <w:color w:val="000000"/>
                <w:sz w:val="22"/>
              </w:rPr>
              <w:t xml:space="preserve">Para esos informes se utilizará </w:t>
            </w:r>
            <w:proofErr w:type="spellStart"/>
            <w:r>
              <w:rPr>
                <w:rFonts w:ascii="Arial" w:hAnsi="Arial"/>
                <w:color w:val="000000"/>
                <w:sz w:val="22"/>
              </w:rPr>
              <w:t>el</w:t>
            </w:r>
            <w:r>
              <w:rPr>
                <w:rFonts w:ascii="Arial" w:hAnsi="Arial"/>
                <w:strike/>
                <w:color w:val="000000"/>
                <w:sz w:val="22"/>
              </w:rPr>
              <w:t>Para</w:t>
            </w:r>
            <w:proofErr w:type="spellEnd"/>
            <w:r>
              <w:rPr>
                <w:rFonts w:ascii="Arial" w:hAnsi="Arial"/>
                <w:strike/>
                <w:color w:val="000000"/>
                <w:sz w:val="22"/>
              </w:rPr>
              <w:t xml:space="preserve"> esos informes se utilizará el</w:t>
            </w:r>
            <w:r>
              <w:rPr>
                <w:rFonts w:ascii="Arial" w:hAnsi="Arial"/>
                <w:color w:val="000000"/>
                <w:sz w:val="22"/>
              </w:rPr>
              <w:t xml:space="preserve"> formulario ICH-10 </w:t>
            </w:r>
            <w:r>
              <w:rPr>
                <w:rFonts w:ascii="Arial" w:hAnsi="Arial"/>
                <w:strike/>
                <w:color w:val="000000"/>
                <w:sz w:val="22"/>
              </w:rPr>
              <w:t xml:space="preserve">que se puede obtener en la página web </w:t>
            </w:r>
            <w:hyperlink r:id="rId18" w:history="1">
              <w:r>
                <w:rPr>
                  <w:rStyle w:val="Hyperlink"/>
                  <w:rFonts w:ascii="Arial" w:hAnsi="Arial"/>
                  <w:strike/>
                  <w:sz w:val="22"/>
                </w:rPr>
                <w:t>www.unesco.org/culture/ich</w:t>
              </w:r>
            </w:hyperlink>
            <w:r>
              <w:rPr>
                <w:rFonts w:ascii="Arial" w:hAnsi="Arial"/>
                <w:strike/>
                <w:color w:val="000000"/>
                <w:sz w:val="22"/>
              </w:rPr>
              <w:t xml:space="preserve"> o se puede solicitar a la Secretaría. Estos informes solamente incluirán la información que se solicita en el formulario.</w:t>
            </w:r>
            <w:r>
              <w:rPr>
                <w:rFonts w:ascii="Arial" w:hAnsi="Arial"/>
                <w:color w:val="000000"/>
                <w:sz w:val="22"/>
              </w:rPr>
              <w:t xml:space="preserve"> </w:t>
            </w:r>
            <w:r>
              <w:rPr>
                <w:rFonts w:ascii="Arial" w:hAnsi="Arial"/>
                <w:b/>
                <w:color w:val="000000"/>
                <w:sz w:val="22"/>
                <w:u w:val="single"/>
              </w:rPr>
              <w:t>que los Estados Partes deberán completar en línea (</w:t>
            </w:r>
            <w:hyperlink r:id="rId19" w:history="1">
              <w:r>
                <w:rPr>
                  <w:rStyle w:val="Hyperlink"/>
                  <w:rFonts w:ascii="Arial" w:hAnsi="Arial"/>
                  <w:b/>
                  <w:sz w:val="22"/>
                </w:rPr>
                <w:t>https://ich.unesco.org/</w:t>
              </w:r>
            </w:hyperlink>
            <w:r>
              <w:rPr>
                <w:rFonts w:ascii="Arial" w:hAnsi="Arial"/>
                <w:b/>
                <w:color w:val="000000"/>
                <w:sz w:val="22"/>
                <w:u w:val="single"/>
              </w:rPr>
              <w:t>) y serán revisados en los intervalos adecuados por parte de la Secretaría.</w:t>
            </w:r>
          </w:p>
        </w:tc>
      </w:tr>
      <w:tr w:rsidR="003942C4" w:rsidRPr="00EB77E6"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153.</w:t>
            </w:r>
          </w:p>
        </w:tc>
        <w:tc>
          <w:tcPr>
            <w:tcW w:w="2250" w:type="pct"/>
            <w:gridSpan w:val="2"/>
            <w:shd w:val="clear" w:color="auto" w:fill="auto"/>
          </w:tcPr>
          <w:p w:rsidR="003942C4" w:rsidRDefault="000E7990" w:rsidP="00037932">
            <w:pPr>
              <w:spacing w:before="120" w:after="120"/>
              <w:jc w:val="both"/>
              <w:rPr>
                <w:rFonts w:ascii="Arial" w:hAnsi="Arial" w:cs="Arial"/>
                <w:color w:val="000000"/>
                <w:sz w:val="22"/>
                <w:szCs w:val="22"/>
              </w:rPr>
            </w:pPr>
            <w:r>
              <w:rPr>
                <w:rFonts w:ascii="Arial" w:hAnsi="Arial"/>
                <w:color w:val="000000"/>
                <w:sz w:val="22"/>
              </w:rPr>
              <w:t>El Estado Parte informará sobre las disposiciones legislativas, reglamentarias y de otra índole que haya adoptado para aplicar la Convención en el plano nacional, en particular sobre:</w:t>
            </w:r>
          </w:p>
          <w:p w:rsidR="003942C4" w:rsidRPr="008D7946" w:rsidRDefault="000E7990" w:rsidP="006610D9">
            <w:pPr>
              <w:pStyle w:val="U1"/>
              <w:widowControl/>
              <w:numPr>
                <w:ilvl w:val="0"/>
                <w:numId w:val="7"/>
              </w:numPr>
              <w:tabs>
                <w:tab w:val="clear" w:pos="1701"/>
              </w:tabs>
              <w:ind w:left="656" w:hanging="656"/>
              <w:jc w:val="both"/>
            </w:pPr>
            <w:r>
              <w:t>la confección de inventarios del patrimonio cultural inmaterial presente en su territorio, tal como se indica en los Artículos 11 y 12 de la Convención;</w:t>
            </w:r>
          </w:p>
          <w:p w:rsidR="003942C4" w:rsidRPr="008D7946" w:rsidRDefault="000E7990" w:rsidP="006610D9">
            <w:pPr>
              <w:pStyle w:val="U1"/>
              <w:widowControl/>
              <w:numPr>
                <w:ilvl w:val="0"/>
                <w:numId w:val="7"/>
              </w:numPr>
              <w:tabs>
                <w:tab w:val="clear" w:pos="1701"/>
              </w:tabs>
              <w:ind w:left="656" w:hanging="656"/>
              <w:jc w:val="both"/>
            </w:pPr>
            <w:r>
              <w:t>las otras medidas de salvaguardia indicadas en los Artículos 11 y 13 de la Convención, comprendidas las destinadas a:</w:t>
            </w:r>
          </w:p>
          <w:p w:rsidR="003942C4" w:rsidRPr="00F3280F" w:rsidRDefault="000E7990" w:rsidP="006610D9">
            <w:pPr>
              <w:pStyle w:val="i"/>
              <w:numPr>
                <w:ilvl w:val="0"/>
                <w:numId w:val="9"/>
              </w:numPr>
              <w:tabs>
                <w:tab w:val="left" w:pos="1223"/>
              </w:tabs>
              <w:ind w:left="1223" w:hanging="567"/>
              <w:rPr>
                <w:w w:val="100"/>
              </w:rPr>
            </w:pPr>
            <w:r>
              <w:rPr>
                <w:w w:val="100"/>
              </w:rPr>
              <w:t>adoptar una política general con el objetivo a realzar la función del patrimonio cultural inmaterial en la sociedad e integrar su salvaguardia en programas de planificación;</w:t>
            </w:r>
          </w:p>
          <w:p w:rsidR="003942C4" w:rsidRPr="00F3280F" w:rsidRDefault="000E7990" w:rsidP="006610D9">
            <w:pPr>
              <w:pStyle w:val="i"/>
              <w:numPr>
                <w:ilvl w:val="0"/>
                <w:numId w:val="9"/>
              </w:numPr>
              <w:tabs>
                <w:tab w:val="left" w:pos="1223"/>
              </w:tabs>
              <w:ind w:left="1223" w:hanging="567"/>
              <w:rPr>
                <w:w w:val="100"/>
              </w:rPr>
            </w:pPr>
            <w:r>
              <w:rPr>
                <w:w w:val="100"/>
              </w:rPr>
              <w:t>fomentar estudios científicos, técnicos y artísticos con miras a una salvaguardia eficaz; y</w:t>
            </w:r>
          </w:p>
          <w:p w:rsidR="003942C4" w:rsidRPr="00F3280F" w:rsidRDefault="000E7990" w:rsidP="006610D9">
            <w:pPr>
              <w:pStyle w:val="i"/>
              <w:numPr>
                <w:ilvl w:val="0"/>
                <w:numId w:val="9"/>
              </w:numPr>
              <w:tabs>
                <w:tab w:val="left" w:pos="1223"/>
              </w:tabs>
              <w:ind w:left="1223" w:hanging="567"/>
              <w:rPr>
                <w:color w:val="000000"/>
              </w:rPr>
            </w:pPr>
            <w:r>
              <w:rPr>
                <w:w w:val="100"/>
              </w:rPr>
              <w:t>facilitar, en la medida de lo posible, el acceso a la información relativa al patrimonio cultural inmaterial, respetando al mismo tiempo los usos consuetudinarios por los que se rige el acceso a determinados aspectos del mismo.</w:t>
            </w:r>
          </w:p>
        </w:tc>
        <w:tc>
          <w:tcPr>
            <w:tcW w:w="250" w:type="pct"/>
          </w:tcPr>
          <w:p w:rsidR="003942C4" w:rsidRPr="003B7AFE" w:rsidRDefault="000E7990" w:rsidP="00037932">
            <w:pPr>
              <w:spacing w:before="120" w:after="120"/>
              <w:jc w:val="right"/>
              <w:rPr>
                <w:rFonts w:ascii="Arial" w:hAnsi="Arial" w:cs="Arial"/>
                <w:sz w:val="22"/>
                <w:szCs w:val="22"/>
              </w:rPr>
            </w:pPr>
            <w:r>
              <w:rPr>
                <w:rFonts w:ascii="Arial" w:hAnsi="Arial"/>
                <w:sz w:val="22"/>
              </w:rPr>
              <w:t>153.</w:t>
            </w:r>
          </w:p>
        </w:tc>
        <w:tc>
          <w:tcPr>
            <w:tcW w:w="2250" w:type="pct"/>
          </w:tcPr>
          <w:p w:rsidR="003942C4" w:rsidRPr="00F3280F" w:rsidRDefault="000E7990" w:rsidP="00AC76DD">
            <w:pPr>
              <w:spacing w:before="120" w:after="120"/>
              <w:jc w:val="both"/>
            </w:pPr>
            <w:r>
              <w:rPr>
                <w:rFonts w:ascii="Arial" w:hAnsi="Arial"/>
                <w:sz w:val="22"/>
              </w:rPr>
              <w:t>No hay cambios.</w:t>
            </w:r>
          </w:p>
        </w:tc>
      </w:tr>
      <w:tr w:rsidR="003942C4" w:rsidRPr="00EB77E6"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154.</w:t>
            </w:r>
          </w:p>
        </w:tc>
        <w:tc>
          <w:tcPr>
            <w:tcW w:w="2250" w:type="pct"/>
            <w:gridSpan w:val="2"/>
            <w:shd w:val="clear" w:color="auto" w:fill="auto"/>
          </w:tcPr>
          <w:p w:rsidR="003942C4" w:rsidRPr="00E8549D" w:rsidRDefault="000E7990" w:rsidP="00037932">
            <w:pPr>
              <w:spacing w:before="120" w:after="120"/>
              <w:jc w:val="both"/>
              <w:rPr>
                <w:rFonts w:ascii="Arial" w:hAnsi="Arial" w:cs="Arial"/>
                <w:sz w:val="22"/>
                <w:szCs w:val="22"/>
              </w:rPr>
            </w:pPr>
            <w:r>
              <w:rPr>
                <w:rFonts w:ascii="Arial" w:hAnsi="Arial"/>
                <w:sz w:val="22"/>
              </w:rPr>
              <w:t>El Estado Parte informará sobre las disposiciones legislativas, reglamentarias y de otra índole que haya adoptado en el plano nacional para fortalecer las capacidades institucionales en materia de salvaguardia del patrimonio cultural inmaterial, tal como se indica en el Artículo 13 de la Convención, comprendidas las destinadas a:</w:t>
            </w:r>
          </w:p>
          <w:p w:rsidR="003942C4" w:rsidRPr="008D7946" w:rsidRDefault="000E7990" w:rsidP="006610D9">
            <w:pPr>
              <w:pStyle w:val="U1"/>
              <w:widowControl/>
              <w:numPr>
                <w:ilvl w:val="0"/>
                <w:numId w:val="13"/>
              </w:numPr>
              <w:tabs>
                <w:tab w:val="clear" w:pos="1701"/>
              </w:tabs>
              <w:ind w:left="656" w:hanging="656"/>
              <w:jc w:val="both"/>
            </w:pPr>
            <w:r>
              <w:t>designar o crear uno o varios organismos competentes para la salvaguardia de su patrimonio cultural inmaterial;</w:t>
            </w:r>
          </w:p>
          <w:p w:rsidR="003942C4" w:rsidRPr="008D7946" w:rsidRDefault="000E7990" w:rsidP="006610D9">
            <w:pPr>
              <w:pStyle w:val="U1"/>
              <w:widowControl/>
              <w:numPr>
                <w:ilvl w:val="0"/>
                <w:numId w:val="13"/>
              </w:numPr>
              <w:tabs>
                <w:tab w:val="clear" w:pos="1701"/>
              </w:tabs>
              <w:ind w:left="656" w:hanging="656"/>
              <w:jc w:val="both"/>
            </w:pPr>
            <w:r>
              <w:t>fortalecer las instituciones de formación para la gestión y transmisión del patrimonio cultural inmaterial; y</w:t>
            </w:r>
          </w:p>
          <w:p w:rsidR="003942C4" w:rsidRPr="00334D1B" w:rsidRDefault="000E7990" w:rsidP="006610D9">
            <w:pPr>
              <w:pStyle w:val="U1"/>
              <w:widowControl/>
              <w:numPr>
                <w:ilvl w:val="0"/>
                <w:numId w:val="13"/>
              </w:numPr>
              <w:tabs>
                <w:tab w:val="clear" w:pos="1701"/>
              </w:tabs>
              <w:ind w:left="656" w:hanging="656"/>
              <w:jc w:val="both"/>
            </w:pPr>
            <w:r>
              <w:t>crear instituciones de documentación sobre el patrimonio cultural inmaterial y facilitar el acceso a ellas en la medida de lo posible.</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154.</w:t>
            </w:r>
          </w:p>
        </w:tc>
        <w:tc>
          <w:tcPr>
            <w:tcW w:w="2250" w:type="pct"/>
          </w:tcPr>
          <w:p w:rsidR="003942C4" w:rsidRPr="00D47CFC" w:rsidRDefault="000E7990" w:rsidP="00AC76DD">
            <w:pPr>
              <w:spacing w:before="120" w:after="120"/>
              <w:jc w:val="both"/>
              <w:rPr>
                <w:u w:val="single"/>
              </w:rPr>
            </w:pPr>
            <w:r>
              <w:rPr>
                <w:rFonts w:ascii="Arial" w:hAnsi="Arial"/>
                <w:sz w:val="22"/>
              </w:rPr>
              <w:t>No hay cambios.</w:t>
            </w:r>
          </w:p>
        </w:tc>
      </w:tr>
      <w:tr w:rsidR="003942C4" w:rsidRPr="00EB77E6"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155.</w:t>
            </w:r>
          </w:p>
        </w:tc>
        <w:tc>
          <w:tcPr>
            <w:tcW w:w="2250" w:type="pct"/>
            <w:gridSpan w:val="2"/>
            <w:shd w:val="clear" w:color="auto" w:fill="auto"/>
          </w:tcPr>
          <w:p w:rsidR="003942C4" w:rsidRPr="0096363C" w:rsidRDefault="000E7990" w:rsidP="00037932">
            <w:pPr>
              <w:spacing w:before="120" w:after="120"/>
              <w:jc w:val="both"/>
              <w:rPr>
                <w:rFonts w:ascii="Arial" w:hAnsi="Arial" w:cs="Arial"/>
                <w:sz w:val="22"/>
                <w:szCs w:val="22"/>
              </w:rPr>
            </w:pPr>
            <w:r>
              <w:rPr>
                <w:rFonts w:ascii="Arial" w:hAnsi="Arial"/>
                <w:sz w:val="22"/>
              </w:rPr>
              <w:t>El Estado Parte informará sobre las disposiciones legislativas, reglamentarias y de otra índole que haya adoptado en el plano nacional para garantizar un mayor reconocimiento, respeto y valorización del patrimonio cultural inmaterial, comprendidas las indicadas en el Artículo 14 de la Convención, a saber</w:t>
            </w:r>
          </w:p>
          <w:p w:rsidR="003942C4" w:rsidRDefault="000E7990" w:rsidP="006610D9">
            <w:pPr>
              <w:pStyle w:val="U1"/>
              <w:widowControl/>
              <w:numPr>
                <w:ilvl w:val="0"/>
                <w:numId w:val="15"/>
              </w:numPr>
              <w:tabs>
                <w:tab w:val="clear" w:pos="1701"/>
              </w:tabs>
              <w:ind w:left="656" w:hanging="656"/>
              <w:jc w:val="both"/>
            </w:pPr>
            <w:r>
              <w:t>programas de educación, sensibilización y difusión de información;</w:t>
            </w:r>
          </w:p>
          <w:p w:rsidR="003942C4" w:rsidRPr="00C16210" w:rsidRDefault="000E7990" w:rsidP="006610D9">
            <w:pPr>
              <w:pStyle w:val="U1"/>
              <w:widowControl/>
              <w:numPr>
                <w:ilvl w:val="0"/>
                <w:numId w:val="15"/>
              </w:numPr>
              <w:tabs>
                <w:tab w:val="clear" w:pos="1701"/>
              </w:tabs>
              <w:ind w:left="656" w:hanging="656"/>
              <w:jc w:val="both"/>
            </w:pPr>
            <w:r>
              <w:t>programas de educación y formación en las comunidades y grupos interesados;</w:t>
            </w:r>
          </w:p>
          <w:p w:rsidR="003942C4" w:rsidRPr="0096363C" w:rsidRDefault="000E7990" w:rsidP="006610D9">
            <w:pPr>
              <w:pStyle w:val="U1"/>
              <w:widowControl/>
              <w:numPr>
                <w:ilvl w:val="0"/>
                <w:numId w:val="15"/>
              </w:numPr>
              <w:tabs>
                <w:tab w:val="clear" w:pos="1701"/>
              </w:tabs>
              <w:ind w:left="656" w:hanging="656"/>
              <w:jc w:val="both"/>
            </w:pPr>
            <w:r>
              <w:t>actividades de fortalecimiento de capacidades en materia de salvaguardia del patrimonio cultural inmaterial;</w:t>
            </w:r>
          </w:p>
          <w:p w:rsidR="003942C4" w:rsidRDefault="000E7990" w:rsidP="006610D9">
            <w:pPr>
              <w:pStyle w:val="U1"/>
              <w:widowControl/>
              <w:numPr>
                <w:ilvl w:val="0"/>
                <w:numId w:val="15"/>
              </w:numPr>
              <w:tabs>
                <w:tab w:val="clear" w:pos="1701"/>
              </w:tabs>
              <w:ind w:left="656" w:hanging="656"/>
              <w:jc w:val="both"/>
            </w:pPr>
            <w:r>
              <w:t>medios no formales de transmisión de conocimientos;</w:t>
            </w:r>
          </w:p>
          <w:p w:rsidR="003942C4" w:rsidRPr="00334D1B" w:rsidRDefault="000E7990" w:rsidP="006610D9">
            <w:pPr>
              <w:pStyle w:val="U1"/>
              <w:widowControl/>
              <w:numPr>
                <w:ilvl w:val="0"/>
                <w:numId w:val="15"/>
              </w:numPr>
              <w:tabs>
                <w:tab w:val="clear" w:pos="1701"/>
              </w:tabs>
              <w:ind w:left="656" w:hanging="656"/>
              <w:jc w:val="both"/>
            </w:pPr>
            <w:r>
              <w:t>educación para la protección de espacios naturales y lugares de memoria.</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155.</w:t>
            </w:r>
          </w:p>
        </w:tc>
        <w:tc>
          <w:tcPr>
            <w:tcW w:w="2250" w:type="pct"/>
          </w:tcPr>
          <w:p w:rsidR="003942C4" w:rsidRPr="00BA4171" w:rsidRDefault="000E7990" w:rsidP="00AC76DD">
            <w:pPr>
              <w:spacing w:before="120" w:after="120"/>
              <w:jc w:val="both"/>
            </w:pPr>
            <w:r>
              <w:rPr>
                <w:rFonts w:ascii="Arial" w:hAnsi="Arial"/>
                <w:sz w:val="22"/>
              </w:rPr>
              <w:t>No hay cambios.</w:t>
            </w:r>
          </w:p>
        </w:tc>
      </w:tr>
      <w:tr w:rsidR="003942C4" w:rsidRPr="000536A2"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156.</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El Estado Parte informará acerca de las disposiciones que haya adoptado en los planos bilateral, subregional, regional e internacional para aplicar la Convención, comprendidas las medidas de cooperación internacional, como el intercambio de información y de experiencias, así como las otras iniciativas comunes a las que se hace referencia en el Artículo 19 de la Convención.</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156.</w:t>
            </w:r>
          </w:p>
        </w:tc>
        <w:tc>
          <w:tcPr>
            <w:tcW w:w="2250" w:type="pct"/>
          </w:tcPr>
          <w:p w:rsidR="003942C4" w:rsidRPr="00BA4171" w:rsidRDefault="000E7990" w:rsidP="00713B9D">
            <w:pPr>
              <w:spacing w:before="120" w:after="120"/>
              <w:jc w:val="both"/>
              <w:rPr>
                <w:rFonts w:ascii="Arial" w:hAnsi="Arial" w:cs="Arial"/>
                <w:sz w:val="22"/>
                <w:szCs w:val="22"/>
              </w:rPr>
            </w:pPr>
            <w:r>
              <w:rPr>
                <w:rFonts w:ascii="Arial" w:hAnsi="Arial"/>
                <w:sz w:val="22"/>
              </w:rPr>
              <w:t>No hay cambios.</w:t>
            </w:r>
          </w:p>
        </w:tc>
      </w:tr>
      <w:tr w:rsidR="003942C4" w:rsidRPr="00EB77E6"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157.</w:t>
            </w:r>
          </w:p>
        </w:tc>
        <w:tc>
          <w:tcPr>
            <w:tcW w:w="2250" w:type="pct"/>
            <w:gridSpan w:val="2"/>
            <w:shd w:val="clear" w:color="auto" w:fill="auto"/>
          </w:tcPr>
          <w:p w:rsidR="003942C4" w:rsidRPr="0096363C" w:rsidRDefault="000E7990" w:rsidP="00037932">
            <w:pPr>
              <w:spacing w:before="120" w:after="120"/>
              <w:jc w:val="both"/>
              <w:rPr>
                <w:rFonts w:ascii="Arial" w:hAnsi="Arial" w:cs="Arial"/>
                <w:sz w:val="22"/>
                <w:szCs w:val="22"/>
              </w:rPr>
            </w:pPr>
            <w:r>
              <w:rPr>
                <w:rFonts w:ascii="Arial" w:hAnsi="Arial"/>
                <w:sz w:val="22"/>
              </w:rPr>
              <w:t>El Estado Parte informará acerca del estado actual de todos los elementos del patrimonio cultural inmaterial presentes en su territorio que estén inscritos en la Lista representativa del patrimonio cultural inmaterial de la humanidad. El Estado Parte prestará especial atención a la función del género y velará por lograr una participación lo más amplia posible de las comunidades, grupos y, si procede, los individuos interesados y de las organizaciones no gubernamentales pertinentes en el proceso de preparación de esos informes en los que se indicará para cada elemento:</w:t>
            </w:r>
          </w:p>
          <w:p w:rsidR="003942C4" w:rsidRPr="0096363C" w:rsidRDefault="000E7990" w:rsidP="006610D9">
            <w:pPr>
              <w:numPr>
                <w:ilvl w:val="0"/>
                <w:numId w:val="10"/>
              </w:numPr>
              <w:spacing w:before="120" w:after="120"/>
              <w:ind w:left="656" w:hanging="656"/>
              <w:jc w:val="both"/>
              <w:rPr>
                <w:rFonts w:ascii="Arial" w:hAnsi="Arial" w:cs="Arial"/>
                <w:sz w:val="22"/>
                <w:szCs w:val="22"/>
              </w:rPr>
            </w:pPr>
            <w:r>
              <w:rPr>
                <w:rFonts w:ascii="Arial" w:hAnsi="Arial"/>
                <w:sz w:val="22"/>
              </w:rPr>
              <w:t>sus funciones sociales y culturales;</w:t>
            </w:r>
          </w:p>
          <w:p w:rsidR="003942C4" w:rsidRPr="0096363C" w:rsidRDefault="000E7990" w:rsidP="006610D9">
            <w:pPr>
              <w:numPr>
                <w:ilvl w:val="0"/>
                <w:numId w:val="10"/>
              </w:numPr>
              <w:spacing w:before="120" w:after="120"/>
              <w:ind w:left="656" w:hanging="656"/>
              <w:jc w:val="both"/>
              <w:rPr>
                <w:rFonts w:ascii="Arial" w:hAnsi="Arial" w:cs="Arial"/>
                <w:sz w:val="22"/>
                <w:szCs w:val="22"/>
              </w:rPr>
            </w:pPr>
            <w:r>
              <w:rPr>
                <w:rFonts w:ascii="Arial" w:hAnsi="Arial"/>
                <w:sz w:val="22"/>
              </w:rPr>
              <w:t>una evaluación de su viabilidad y los riesgos que corre actualmente, si los hubiere;</w:t>
            </w:r>
          </w:p>
          <w:p w:rsidR="003942C4" w:rsidRPr="0096363C" w:rsidRDefault="000E7990" w:rsidP="006610D9">
            <w:pPr>
              <w:numPr>
                <w:ilvl w:val="0"/>
                <w:numId w:val="10"/>
              </w:numPr>
              <w:spacing w:before="120" w:after="120"/>
              <w:ind w:left="656" w:hanging="656"/>
              <w:jc w:val="both"/>
              <w:rPr>
                <w:rFonts w:ascii="Arial" w:hAnsi="Arial" w:cs="Arial"/>
                <w:sz w:val="22"/>
                <w:szCs w:val="22"/>
              </w:rPr>
            </w:pPr>
            <w:r>
              <w:rPr>
                <w:rFonts w:ascii="Arial" w:hAnsi="Arial"/>
                <w:sz w:val="22"/>
              </w:rPr>
              <w:t>su contribución a los objetivos de la Lista;</w:t>
            </w:r>
          </w:p>
          <w:p w:rsidR="003942C4" w:rsidRDefault="000E7990" w:rsidP="006610D9">
            <w:pPr>
              <w:numPr>
                <w:ilvl w:val="0"/>
                <w:numId w:val="10"/>
              </w:numPr>
              <w:spacing w:before="120" w:after="120"/>
              <w:ind w:left="656" w:hanging="656"/>
              <w:jc w:val="both"/>
              <w:rPr>
                <w:rFonts w:ascii="Arial" w:hAnsi="Arial" w:cs="Arial"/>
                <w:sz w:val="22"/>
                <w:szCs w:val="22"/>
              </w:rPr>
            </w:pPr>
            <w:r>
              <w:rPr>
                <w:rFonts w:ascii="Arial" w:hAnsi="Arial"/>
                <w:sz w:val="22"/>
              </w:rPr>
              <w:t>la labor realizada para promover o reforzar el elemento, en particular la aplicación de todas las medidas que pueda haber sido necesario adoptar como consecuencia de su inscripción;</w:t>
            </w:r>
          </w:p>
          <w:p w:rsidR="003942C4" w:rsidRPr="00710CE9" w:rsidRDefault="000E7990" w:rsidP="006610D9">
            <w:pPr>
              <w:numPr>
                <w:ilvl w:val="0"/>
                <w:numId w:val="10"/>
              </w:numPr>
              <w:spacing w:before="120" w:after="120"/>
              <w:ind w:left="656" w:hanging="656"/>
              <w:jc w:val="both"/>
              <w:rPr>
                <w:rFonts w:ascii="Arial" w:hAnsi="Arial" w:cs="Arial"/>
                <w:sz w:val="22"/>
                <w:szCs w:val="22"/>
              </w:rPr>
            </w:pPr>
            <w:r>
              <w:rPr>
                <w:rFonts w:ascii="Arial" w:hAnsi="Arial"/>
                <w:sz w:val="22"/>
              </w:rPr>
              <w:t>la participación de comunidades, grupos, individuos y organizaciones no gubernamentales pertinentes en la salvaguardia del elemento, así como la persistencia de su voluntad de seguir salvaguardándolo.</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157.</w:t>
            </w:r>
          </w:p>
        </w:tc>
        <w:tc>
          <w:tcPr>
            <w:tcW w:w="2250" w:type="pct"/>
          </w:tcPr>
          <w:p w:rsidR="003942C4" w:rsidRPr="00BA4171" w:rsidRDefault="000E7990" w:rsidP="00AC76DD">
            <w:pPr>
              <w:spacing w:before="120" w:after="120"/>
              <w:jc w:val="both"/>
              <w:rPr>
                <w:rFonts w:ascii="Arial" w:hAnsi="Arial" w:cs="Arial"/>
                <w:sz w:val="22"/>
                <w:szCs w:val="22"/>
              </w:rPr>
            </w:pPr>
            <w:r>
              <w:rPr>
                <w:rFonts w:ascii="Arial" w:hAnsi="Arial"/>
                <w:sz w:val="22"/>
              </w:rPr>
              <w:t>No hay cambios.</w:t>
            </w:r>
          </w:p>
        </w:tc>
      </w:tr>
      <w:tr w:rsidR="003942C4" w:rsidRPr="00BA4171"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158.</w:t>
            </w:r>
          </w:p>
        </w:tc>
        <w:tc>
          <w:tcPr>
            <w:tcW w:w="2250" w:type="pct"/>
            <w:gridSpan w:val="2"/>
            <w:shd w:val="clear" w:color="auto" w:fill="auto"/>
          </w:tcPr>
          <w:p w:rsidR="003942C4" w:rsidRPr="0096363C" w:rsidRDefault="000E7990" w:rsidP="00037932">
            <w:pPr>
              <w:spacing w:before="120" w:after="120"/>
              <w:jc w:val="both"/>
              <w:rPr>
                <w:rFonts w:ascii="Arial" w:hAnsi="Arial" w:cs="Arial"/>
                <w:sz w:val="22"/>
                <w:szCs w:val="22"/>
              </w:rPr>
            </w:pPr>
            <w:r>
              <w:rPr>
                <w:rFonts w:ascii="Arial" w:hAnsi="Arial"/>
                <w:sz w:val="22"/>
              </w:rPr>
              <w:t>El Estado Parte informará sobre el contexto institucional del elemento inscrito en la Lista Representativa del Patrimonio Cultural Inmaterial de la Humanidad, en particular sobre:</w:t>
            </w:r>
          </w:p>
          <w:p w:rsidR="003942C4" w:rsidRDefault="000E7990" w:rsidP="006610D9">
            <w:pPr>
              <w:numPr>
                <w:ilvl w:val="0"/>
                <w:numId w:val="18"/>
              </w:numPr>
              <w:spacing w:before="120" w:after="120"/>
              <w:ind w:left="656" w:hanging="656"/>
              <w:jc w:val="both"/>
              <w:rPr>
                <w:rFonts w:ascii="Arial" w:hAnsi="Arial" w:cs="Arial"/>
                <w:sz w:val="22"/>
                <w:szCs w:val="22"/>
              </w:rPr>
            </w:pPr>
            <w:r>
              <w:rPr>
                <w:rFonts w:ascii="Arial" w:hAnsi="Arial"/>
                <w:sz w:val="22"/>
              </w:rPr>
              <w:t>el(los) organismo(s) competente(s) que participa(n) en su gestión y/o salvaguardia;</w:t>
            </w:r>
          </w:p>
          <w:p w:rsidR="003942C4" w:rsidRPr="00710CE9" w:rsidRDefault="000E7990" w:rsidP="006610D9">
            <w:pPr>
              <w:numPr>
                <w:ilvl w:val="0"/>
                <w:numId w:val="18"/>
              </w:numPr>
              <w:spacing w:before="120" w:after="120"/>
              <w:ind w:left="656" w:hanging="656"/>
              <w:jc w:val="both"/>
              <w:rPr>
                <w:rFonts w:ascii="Arial" w:hAnsi="Arial" w:cs="Arial"/>
                <w:sz w:val="22"/>
                <w:szCs w:val="22"/>
              </w:rPr>
            </w:pPr>
            <w:r>
              <w:rPr>
                <w:rFonts w:ascii="Arial" w:hAnsi="Arial"/>
                <w:sz w:val="22"/>
              </w:rPr>
              <w:t>la(s) organización(es) de la comunidad o el grupo a las que conciernen el elemento y su salvaguardia.</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158.</w:t>
            </w:r>
          </w:p>
        </w:tc>
        <w:tc>
          <w:tcPr>
            <w:tcW w:w="2250" w:type="pct"/>
          </w:tcPr>
          <w:p w:rsidR="003942C4" w:rsidRPr="00BA4171" w:rsidRDefault="000E7990" w:rsidP="00037932">
            <w:pPr>
              <w:spacing w:before="120" w:after="120"/>
              <w:jc w:val="both"/>
              <w:rPr>
                <w:rFonts w:ascii="Arial" w:hAnsi="Arial" w:cs="Arial"/>
                <w:sz w:val="22"/>
                <w:szCs w:val="22"/>
              </w:rPr>
            </w:pPr>
            <w:r>
              <w:rPr>
                <w:rFonts w:ascii="Arial" w:hAnsi="Arial"/>
                <w:sz w:val="22"/>
              </w:rPr>
              <w:t>No hay cambios.</w:t>
            </w:r>
          </w:p>
        </w:tc>
      </w:tr>
      <w:tr w:rsidR="003942C4" w:rsidRPr="009A1EF7"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159.</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Los Estados Partes responderán a su debido tiempo a las peticiones concretas de información complementaria que les remita el Comité, si fuere necesario dentro de los plazos establecidos en el párrafo 152 supra.</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159.</w:t>
            </w:r>
          </w:p>
        </w:tc>
        <w:tc>
          <w:tcPr>
            <w:tcW w:w="2250" w:type="pct"/>
          </w:tcPr>
          <w:p w:rsidR="003942C4" w:rsidRPr="00DC3828" w:rsidRDefault="000E7990" w:rsidP="00DC3828">
            <w:pPr>
              <w:spacing w:before="120" w:after="120"/>
              <w:jc w:val="both"/>
              <w:rPr>
                <w:rFonts w:ascii="Arial" w:hAnsi="Arial"/>
                <w:sz w:val="22"/>
              </w:rPr>
            </w:pPr>
            <w:r>
              <w:rPr>
                <w:rFonts w:ascii="Arial" w:hAnsi="Arial"/>
                <w:sz w:val="22"/>
              </w:rPr>
              <w:t xml:space="preserve">Los Estados Partes responderán a su debido tiempo a las peticiones concretas de información complementaria que les remita el Comité, si fuere necesario e </w:t>
            </w:r>
            <w:r>
              <w:rPr>
                <w:rFonts w:ascii="Arial" w:hAnsi="Arial"/>
                <w:b/>
                <w:sz w:val="22"/>
                <w:u w:val="single"/>
              </w:rPr>
              <w:t>independientemente del ciclo regional establecido por el Comité,</w:t>
            </w:r>
            <w:r>
              <w:rPr>
                <w:rFonts w:ascii="Arial" w:hAnsi="Arial"/>
                <w:sz w:val="22"/>
              </w:rPr>
              <w:t xml:space="preserve"> </w:t>
            </w:r>
            <w:r>
              <w:rPr>
                <w:rFonts w:ascii="Arial" w:hAnsi="Arial"/>
                <w:strike/>
                <w:sz w:val="22"/>
              </w:rPr>
              <w:t>dentro de los plazos establecidos</w:t>
            </w:r>
            <w:r>
              <w:rPr>
                <w:rFonts w:ascii="Arial" w:hAnsi="Arial"/>
                <w:sz w:val="22"/>
              </w:rPr>
              <w:t xml:space="preserve"> </w:t>
            </w:r>
            <w:r>
              <w:rPr>
                <w:rFonts w:ascii="Arial" w:hAnsi="Arial"/>
                <w:b/>
                <w:sz w:val="22"/>
                <w:u w:val="single"/>
              </w:rPr>
              <w:t>conforme al</w:t>
            </w:r>
            <w:r>
              <w:rPr>
                <w:rFonts w:ascii="Arial" w:hAnsi="Arial"/>
                <w:sz w:val="22"/>
              </w:rPr>
              <w:t xml:space="preserve"> párrafo 152 supra.</w:t>
            </w:r>
          </w:p>
        </w:tc>
      </w:tr>
      <w:tr w:rsidR="003942C4" w:rsidRPr="00BA4171" w:rsidTr="007E0DEF">
        <w:trPr>
          <w:cantSplit/>
        </w:trPr>
        <w:tc>
          <w:tcPr>
            <w:tcW w:w="250" w:type="pct"/>
            <w:gridSpan w:val="2"/>
            <w:shd w:val="clear" w:color="auto" w:fill="auto"/>
          </w:tcPr>
          <w:p w:rsidR="003942C4" w:rsidRPr="00B36C17" w:rsidRDefault="000E7990" w:rsidP="00037932">
            <w:pPr>
              <w:spacing w:before="120" w:after="120"/>
              <w:jc w:val="right"/>
              <w:rPr>
                <w:rFonts w:ascii="Arial" w:hAnsi="Arial" w:cs="Arial"/>
                <w:sz w:val="22"/>
                <w:szCs w:val="22"/>
              </w:rPr>
            </w:pPr>
            <w:r>
              <w:rPr>
                <w:rFonts w:ascii="Arial" w:hAnsi="Arial"/>
                <w:b/>
                <w:sz w:val="22"/>
              </w:rPr>
              <w:t>V.2</w:t>
            </w:r>
          </w:p>
        </w:tc>
        <w:tc>
          <w:tcPr>
            <w:tcW w:w="2250" w:type="pct"/>
            <w:gridSpan w:val="2"/>
            <w:shd w:val="clear" w:color="auto" w:fill="auto"/>
          </w:tcPr>
          <w:p w:rsidR="003942C4" w:rsidRPr="00E717A3" w:rsidRDefault="000E7990" w:rsidP="00037932">
            <w:pPr>
              <w:spacing w:before="120" w:after="120"/>
              <w:jc w:val="both"/>
              <w:rPr>
                <w:rFonts w:ascii="Arial" w:hAnsi="Arial" w:cs="Arial"/>
              </w:rPr>
            </w:pPr>
            <w:r>
              <w:rPr>
                <w:rFonts w:ascii="Arial" w:hAnsi="Arial"/>
                <w:b/>
              </w:rPr>
              <w:t>Informes de los Estados Partes sobre los elementos inscritos en la Lista del patrimonio cultural inmaterial que requiere medidas urgentes de salvaguardia</w:t>
            </w:r>
          </w:p>
        </w:tc>
        <w:tc>
          <w:tcPr>
            <w:tcW w:w="250" w:type="pct"/>
          </w:tcPr>
          <w:p w:rsidR="003942C4" w:rsidRPr="00B36C17" w:rsidRDefault="000E7990" w:rsidP="00037932">
            <w:pPr>
              <w:spacing w:before="120" w:after="120"/>
              <w:jc w:val="right"/>
              <w:rPr>
                <w:rFonts w:ascii="Arial" w:hAnsi="Arial" w:cs="Arial"/>
                <w:sz w:val="22"/>
                <w:szCs w:val="22"/>
              </w:rPr>
            </w:pPr>
            <w:r>
              <w:rPr>
                <w:rFonts w:ascii="Arial" w:hAnsi="Arial"/>
                <w:b/>
                <w:sz w:val="22"/>
              </w:rPr>
              <w:t>V.2</w:t>
            </w:r>
          </w:p>
        </w:tc>
        <w:tc>
          <w:tcPr>
            <w:tcW w:w="2250" w:type="pct"/>
          </w:tcPr>
          <w:p w:rsidR="003942C4" w:rsidRPr="00B36C17" w:rsidRDefault="000E7990" w:rsidP="00037932">
            <w:pPr>
              <w:spacing w:before="120" w:after="120"/>
              <w:jc w:val="both"/>
              <w:rPr>
                <w:rFonts w:ascii="Arial" w:hAnsi="Arial" w:cs="Arial"/>
                <w:sz w:val="22"/>
                <w:szCs w:val="22"/>
              </w:rPr>
            </w:pPr>
            <w:r>
              <w:rPr>
                <w:rFonts w:ascii="Arial" w:hAnsi="Arial"/>
                <w:sz w:val="22"/>
              </w:rPr>
              <w:t>No hay cambios.</w:t>
            </w:r>
          </w:p>
        </w:tc>
      </w:tr>
      <w:tr w:rsidR="003942C4" w:rsidRPr="00BA4171"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160.</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Cada Estado Parte presentará al Comité informes sobre el estado de los elementos del patrimonio cultural inmaterial presentes en su territorio que hayan sido inscritos en la Lista del patrimonio cultural inmaterial que requiere medidas urgentes de salvaguardia a petición suya o, en casos de extrema urgencia, previa consulta con el Comité. El Estado Parte se esforzará por hacer participar del modo más amplio posible en el proceso de elaboración de esos informes a las comunidades, grupos y, si procede, individuos interesados, así como a las organizaciones no gubernamentales pertinentes.</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160.</w:t>
            </w:r>
          </w:p>
        </w:tc>
        <w:tc>
          <w:tcPr>
            <w:tcW w:w="2250" w:type="pct"/>
          </w:tcPr>
          <w:p w:rsidR="003942C4" w:rsidRPr="00BA4171" w:rsidRDefault="000E7990" w:rsidP="00266661">
            <w:pPr>
              <w:spacing w:before="120" w:after="120"/>
              <w:jc w:val="both"/>
              <w:rPr>
                <w:rFonts w:ascii="Arial" w:hAnsi="Arial" w:cs="Arial"/>
                <w:sz w:val="22"/>
                <w:szCs w:val="22"/>
              </w:rPr>
            </w:pPr>
            <w:r>
              <w:rPr>
                <w:rFonts w:ascii="Arial" w:hAnsi="Arial"/>
                <w:sz w:val="22"/>
              </w:rPr>
              <w:t>No hay cambios.</w:t>
            </w:r>
          </w:p>
        </w:tc>
      </w:tr>
      <w:tr w:rsidR="003942C4" w:rsidRPr="009A1EF7"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161.</w:t>
            </w:r>
          </w:p>
        </w:tc>
        <w:tc>
          <w:tcPr>
            <w:tcW w:w="2250" w:type="pct"/>
            <w:gridSpan w:val="2"/>
            <w:shd w:val="clear" w:color="auto" w:fill="auto"/>
          </w:tcPr>
          <w:p w:rsidR="003942C4" w:rsidRPr="00710CE9" w:rsidRDefault="000E7990" w:rsidP="00480371">
            <w:pPr>
              <w:spacing w:before="120" w:after="120"/>
              <w:jc w:val="both"/>
              <w:rPr>
                <w:rFonts w:ascii="Arial" w:hAnsi="Arial" w:cs="Arial"/>
                <w:sz w:val="22"/>
                <w:szCs w:val="22"/>
              </w:rPr>
            </w:pPr>
            <w:r>
              <w:rPr>
                <w:rFonts w:ascii="Arial" w:hAnsi="Arial"/>
                <w:sz w:val="22"/>
              </w:rPr>
              <w:t xml:space="preserve">Estos informes se presentarán normalmente al Comité a más tardar el 15 de diciembre del cuarto año siguiente a aquél en que se haya inscrito el elemento y luego cada cuatrienio. Para esos informes se utilizará el formulario ICH-11 que se puede obtener en la página web </w:t>
            </w:r>
            <w:hyperlink r:id="rId20" w:history="1">
              <w:r>
                <w:rPr>
                  <w:rStyle w:val="Hyperlink"/>
                  <w:rFonts w:ascii="Arial" w:hAnsi="Arial"/>
                  <w:sz w:val="22"/>
                </w:rPr>
                <w:t>www.unesco.org/culture/ich</w:t>
              </w:r>
            </w:hyperlink>
            <w:r>
              <w:rPr>
                <w:rFonts w:ascii="Arial" w:hAnsi="Arial"/>
                <w:sz w:val="22"/>
              </w:rPr>
              <w:t xml:space="preserve"> o pidiéndolo a la Secretaría. Los informes deberán contener única y exclusivamente la información requerida en ese formulario. En el momento de la inscripción, el Comité podrá establecer, caso por caso, un calendario específico para la presentación de informes que prevalecerá sobre el ciclo cuatrienal normal.</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161.</w:t>
            </w:r>
          </w:p>
        </w:tc>
        <w:tc>
          <w:tcPr>
            <w:tcW w:w="2250" w:type="pct"/>
          </w:tcPr>
          <w:p w:rsidR="003942C4" w:rsidRPr="00BA4171" w:rsidRDefault="000E7990" w:rsidP="00126174">
            <w:pPr>
              <w:spacing w:before="120" w:after="120"/>
              <w:jc w:val="both"/>
              <w:rPr>
                <w:rFonts w:ascii="Arial" w:hAnsi="Arial" w:cs="Arial"/>
                <w:sz w:val="22"/>
                <w:szCs w:val="22"/>
              </w:rPr>
            </w:pPr>
            <w:r>
              <w:rPr>
                <w:rFonts w:ascii="Arial" w:hAnsi="Arial"/>
                <w:sz w:val="22"/>
              </w:rPr>
              <w:t>Estos informes se presentarán normalmente al Comité a más tardar el 15 de diciembre del cuarto año siguiente a aquél en que se haya inscrito el elemento y luego cada cuatrienio. Para esos informes se utilizará</w:t>
            </w:r>
            <w:r>
              <w:t xml:space="preserve"> </w:t>
            </w:r>
            <w:r>
              <w:rPr>
                <w:rFonts w:ascii="Arial" w:hAnsi="Arial"/>
                <w:sz w:val="22"/>
              </w:rPr>
              <w:t xml:space="preserve">el formulario ICH-11 </w:t>
            </w:r>
            <w:r>
              <w:rPr>
                <w:rFonts w:ascii="Arial" w:hAnsi="Arial"/>
                <w:strike/>
                <w:sz w:val="22"/>
              </w:rPr>
              <w:t xml:space="preserve">que se puede obtener en la página web </w:t>
            </w:r>
            <w:hyperlink r:id="rId21" w:history="1">
              <w:r>
                <w:rPr>
                  <w:rStyle w:val="Hyperlink"/>
                  <w:rFonts w:ascii="Arial" w:hAnsi="Arial"/>
                  <w:strike/>
                  <w:sz w:val="22"/>
                </w:rPr>
                <w:t>www.unesco.org/culture/ich</w:t>
              </w:r>
            </w:hyperlink>
            <w:r>
              <w:rPr>
                <w:rFonts w:ascii="Arial" w:hAnsi="Arial"/>
                <w:strike/>
                <w:sz w:val="22"/>
              </w:rPr>
              <w:t xml:space="preserve"> o pidiéndolo a la Secretaría. Los informes deberán contener única y exclusivamente la información requerida en ese formulario.</w:t>
            </w:r>
            <w:r>
              <w:rPr>
                <w:rFonts w:ascii="Arial" w:hAnsi="Arial"/>
                <w:sz w:val="22"/>
              </w:rPr>
              <w:t xml:space="preserve"> </w:t>
            </w:r>
            <w:r>
              <w:rPr>
                <w:rFonts w:ascii="Arial" w:hAnsi="Arial"/>
                <w:b/>
                <w:color w:val="000000"/>
                <w:sz w:val="22"/>
                <w:u w:val="single"/>
              </w:rPr>
              <w:t>que los Estados Partes deberán completar en línea (</w:t>
            </w:r>
            <w:hyperlink r:id="rId22" w:history="1">
              <w:r>
                <w:rPr>
                  <w:rStyle w:val="Hyperlink"/>
                  <w:rFonts w:ascii="Arial" w:hAnsi="Arial"/>
                  <w:b/>
                  <w:sz w:val="22"/>
                </w:rPr>
                <w:t>https://ich.unesco.org/</w:t>
              </w:r>
            </w:hyperlink>
            <w:r>
              <w:rPr>
                <w:rFonts w:ascii="Arial" w:hAnsi="Arial"/>
                <w:b/>
                <w:color w:val="000000"/>
                <w:sz w:val="22"/>
                <w:u w:val="single"/>
              </w:rPr>
              <w:t>) y serán revisados en los intervalos adecuados por parte de la Secretaría.</w:t>
            </w:r>
            <w:r>
              <w:rPr>
                <w:rFonts w:ascii="Arial" w:hAnsi="Arial"/>
                <w:sz w:val="22"/>
              </w:rPr>
              <w:t xml:space="preserve"> En el momento de la inscripción, el Comité podrá establecer, caso por caso, un calendario específico para la presentación de informes que prevalecerá sobre el ciclo cuatrienal normal.</w:t>
            </w:r>
          </w:p>
        </w:tc>
      </w:tr>
      <w:tr w:rsidR="003942C4" w:rsidRPr="00F3359B"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162.</w:t>
            </w:r>
          </w:p>
        </w:tc>
        <w:tc>
          <w:tcPr>
            <w:tcW w:w="2250" w:type="pct"/>
            <w:gridSpan w:val="2"/>
            <w:shd w:val="clear" w:color="auto" w:fill="auto"/>
          </w:tcPr>
          <w:p w:rsidR="003942C4" w:rsidRPr="0096363C" w:rsidRDefault="000E7990" w:rsidP="00037932">
            <w:pPr>
              <w:spacing w:before="120" w:after="120"/>
              <w:jc w:val="both"/>
              <w:rPr>
                <w:rFonts w:ascii="Arial" w:hAnsi="Arial" w:cs="Arial"/>
                <w:sz w:val="22"/>
                <w:szCs w:val="22"/>
              </w:rPr>
            </w:pPr>
            <w:r>
              <w:rPr>
                <w:rFonts w:ascii="Arial" w:hAnsi="Arial"/>
                <w:sz w:val="22"/>
              </w:rPr>
              <w:t>El Estado Parte prestará especial atención a la función del género e informará acerca del estado actual del elemento, en particular sobre:</w:t>
            </w:r>
          </w:p>
          <w:p w:rsidR="003942C4" w:rsidRPr="0096363C" w:rsidRDefault="000E7990" w:rsidP="00555C73">
            <w:pPr>
              <w:numPr>
                <w:ilvl w:val="0"/>
                <w:numId w:val="19"/>
              </w:numPr>
              <w:spacing w:before="120" w:after="120"/>
              <w:ind w:left="493" w:hanging="493"/>
              <w:jc w:val="both"/>
              <w:rPr>
                <w:rFonts w:ascii="Arial" w:hAnsi="Arial" w:cs="Arial"/>
                <w:sz w:val="22"/>
                <w:szCs w:val="22"/>
              </w:rPr>
            </w:pPr>
            <w:r>
              <w:rPr>
                <w:rFonts w:ascii="Arial" w:hAnsi="Arial"/>
                <w:sz w:val="22"/>
              </w:rPr>
              <w:t>sus funciones sociales y culturales;</w:t>
            </w:r>
          </w:p>
          <w:p w:rsidR="003942C4" w:rsidRPr="0096363C" w:rsidRDefault="000E7990" w:rsidP="00555C73">
            <w:pPr>
              <w:numPr>
                <w:ilvl w:val="0"/>
                <w:numId w:val="19"/>
              </w:numPr>
              <w:spacing w:before="120" w:after="120"/>
              <w:ind w:left="493" w:hanging="493"/>
              <w:jc w:val="both"/>
              <w:rPr>
                <w:rFonts w:ascii="Arial" w:hAnsi="Arial" w:cs="Arial"/>
                <w:sz w:val="22"/>
                <w:szCs w:val="22"/>
              </w:rPr>
            </w:pPr>
            <w:r>
              <w:rPr>
                <w:rFonts w:ascii="Arial" w:hAnsi="Arial"/>
                <w:sz w:val="22"/>
              </w:rPr>
              <w:t>una evaluación de su viabilidad y los riesgos que corre actualmente;</w:t>
            </w:r>
          </w:p>
          <w:p w:rsidR="003942C4" w:rsidRDefault="000E7990" w:rsidP="00555C73">
            <w:pPr>
              <w:numPr>
                <w:ilvl w:val="0"/>
                <w:numId w:val="19"/>
              </w:numPr>
              <w:spacing w:before="120" w:after="120"/>
              <w:ind w:left="493" w:hanging="493"/>
              <w:jc w:val="both"/>
              <w:rPr>
                <w:rFonts w:ascii="Arial" w:hAnsi="Arial" w:cs="Arial"/>
                <w:sz w:val="22"/>
                <w:szCs w:val="22"/>
              </w:rPr>
            </w:pPr>
            <w:r>
              <w:rPr>
                <w:rFonts w:ascii="Arial" w:hAnsi="Arial"/>
                <w:sz w:val="22"/>
              </w:rPr>
              <w:t>las repercusiones de la labor realizada para salvaguardar el elemento, en particular las de la aplicación del plan de salvaguardia sometido en el momento de presentación de su candidatura a la inscripción;</w:t>
            </w:r>
          </w:p>
          <w:p w:rsidR="003942C4" w:rsidRPr="00710CE9" w:rsidRDefault="000E7990" w:rsidP="00555C73">
            <w:pPr>
              <w:numPr>
                <w:ilvl w:val="0"/>
                <w:numId w:val="19"/>
              </w:numPr>
              <w:spacing w:before="120" w:after="120"/>
              <w:ind w:left="493" w:hanging="493"/>
              <w:jc w:val="both"/>
              <w:rPr>
                <w:rFonts w:ascii="Arial" w:hAnsi="Arial" w:cs="Arial"/>
                <w:sz w:val="22"/>
                <w:szCs w:val="22"/>
              </w:rPr>
            </w:pPr>
            <w:r>
              <w:rPr>
                <w:rFonts w:ascii="Arial" w:hAnsi="Arial"/>
                <w:sz w:val="22"/>
              </w:rPr>
              <w:t>la participación de comunidades, grupos, individuos y organizaciones no gubernamentales pertinentes en la salvaguardia del elemento, así como la persistencia de su voluntad de seguir salvaguardándolo.</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162.</w:t>
            </w:r>
          </w:p>
        </w:tc>
        <w:tc>
          <w:tcPr>
            <w:tcW w:w="2250" w:type="pct"/>
          </w:tcPr>
          <w:p w:rsidR="003942C4" w:rsidRDefault="000E7990" w:rsidP="00480371">
            <w:pPr>
              <w:spacing w:before="120" w:after="120"/>
              <w:jc w:val="both"/>
              <w:rPr>
                <w:rFonts w:ascii="Arial" w:hAnsi="Arial" w:cs="Arial"/>
                <w:sz w:val="22"/>
                <w:szCs w:val="22"/>
              </w:rPr>
            </w:pPr>
            <w:r>
              <w:rPr>
                <w:rFonts w:ascii="Arial" w:hAnsi="Arial"/>
                <w:sz w:val="22"/>
              </w:rPr>
              <w:t>El Estado Parte prestará especial atención a la función del género e informará acerca del estado actual del elemento, en particular sobre:</w:t>
            </w:r>
          </w:p>
          <w:p w:rsidR="005E4569" w:rsidRPr="005E4569" w:rsidRDefault="000E7990" w:rsidP="005E4569">
            <w:pPr>
              <w:pStyle w:val="ListParagraph"/>
              <w:numPr>
                <w:ilvl w:val="0"/>
                <w:numId w:val="22"/>
              </w:numPr>
              <w:spacing w:before="120" w:after="120"/>
              <w:ind w:left="493" w:hanging="493"/>
              <w:contextualSpacing w:val="0"/>
              <w:jc w:val="both"/>
              <w:rPr>
                <w:rFonts w:ascii="Arial" w:hAnsi="Arial" w:cs="Arial"/>
                <w:sz w:val="22"/>
                <w:szCs w:val="22"/>
              </w:rPr>
            </w:pPr>
            <w:r>
              <w:rPr>
                <w:rFonts w:ascii="Arial" w:hAnsi="Arial"/>
                <w:sz w:val="22"/>
              </w:rPr>
              <w:t>sus funciones sociales y culturales;</w:t>
            </w:r>
          </w:p>
          <w:p w:rsidR="005E4569" w:rsidRPr="005E4569" w:rsidRDefault="000E7990" w:rsidP="005E4569">
            <w:pPr>
              <w:pStyle w:val="ListParagraph"/>
              <w:numPr>
                <w:ilvl w:val="0"/>
                <w:numId w:val="22"/>
              </w:numPr>
              <w:spacing w:before="120" w:after="120"/>
              <w:ind w:left="493" w:hanging="493"/>
              <w:contextualSpacing w:val="0"/>
              <w:jc w:val="both"/>
              <w:rPr>
                <w:rFonts w:ascii="Arial" w:hAnsi="Arial" w:cs="Arial"/>
                <w:sz w:val="22"/>
                <w:szCs w:val="22"/>
              </w:rPr>
            </w:pPr>
            <w:r>
              <w:rPr>
                <w:rFonts w:ascii="Arial" w:hAnsi="Arial"/>
                <w:sz w:val="22"/>
              </w:rPr>
              <w:t>una evaluación de su viabilidad y los riesgos que corre actualmente;</w:t>
            </w:r>
          </w:p>
          <w:p w:rsidR="005E4569" w:rsidRPr="005E4569" w:rsidRDefault="000E7990" w:rsidP="005E4569">
            <w:pPr>
              <w:pStyle w:val="ListParagraph"/>
              <w:numPr>
                <w:ilvl w:val="0"/>
                <w:numId w:val="22"/>
              </w:numPr>
              <w:spacing w:before="120" w:after="120"/>
              <w:ind w:left="493" w:hanging="493"/>
              <w:contextualSpacing w:val="0"/>
              <w:jc w:val="both"/>
              <w:rPr>
                <w:rFonts w:ascii="Arial" w:hAnsi="Arial" w:cs="Arial"/>
                <w:sz w:val="22"/>
                <w:szCs w:val="22"/>
              </w:rPr>
            </w:pPr>
            <w:r>
              <w:rPr>
                <w:rFonts w:ascii="Arial" w:hAnsi="Arial"/>
                <w:sz w:val="22"/>
              </w:rPr>
              <w:t>las repercusiones de la labor realizada para salvaguardar el elemento, en particular las de la aplicación del plan de salvaguardia sometido en el momento de presentación de su candidatura a la inscripción;</w:t>
            </w:r>
          </w:p>
          <w:p w:rsidR="005E4569" w:rsidRPr="005E4569" w:rsidRDefault="000E7990" w:rsidP="005E4569">
            <w:pPr>
              <w:pStyle w:val="ListParagraph"/>
              <w:numPr>
                <w:ilvl w:val="0"/>
                <w:numId w:val="22"/>
              </w:numPr>
              <w:spacing w:before="120" w:after="120"/>
              <w:ind w:left="493" w:hanging="493"/>
              <w:contextualSpacing w:val="0"/>
              <w:jc w:val="both"/>
              <w:rPr>
                <w:rFonts w:ascii="Arial" w:hAnsi="Arial" w:cs="Arial"/>
                <w:b/>
                <w:sz w:val="22"/>
                <w:szCs w:val="22"/>
                <w:u w:val="single"/>
              </w:rPr>
            </w:pPr>
            <w:r>
              <w:rPr>
                <w:rFonts w:ascii="Arial" w:hAnsi="Arial"/>
                <w:b/>
                <w:sz w:val="22"/>
                <w:u w:val="single"/>
              </w:rPr>
              <w:t xml:space="preserve">información actualizada </w:t>
            </w:r>
            <w:r w:rsidR="00DC3828">
              <w:rPr>
                <w:rFonts w:ascii="Arial" w:hAnsi="Arial"/>
                <w:b/>
                <w:sz w:val="22"/>
                <w:u w:val="single"/>
              </w:rPr>
              <w:t xml:space="preserve">sobre </w:t>
            </w:r>
            <w:r>
              <w:rPr>
                <w:rFonts w:ascii="Arial" w:hAnsi="Arial"/>
                <w:b/>
                <w:sz w:val="22"/>
                <w:u w:val="single"/>
              </w:rPr>
              <w:t>el plan de salvaguardia que se incluyó en el expediente de candidatura o en el informe anterior;</w:t>
            </w:r>
          </w:p>
          <w:p w:rsidR="005E4569" w:rsidRPr="00471812" w:rsidRDefault="000E7990" w:rsidP="005E4569">
            <w:pPr>
              <w:pStyle w:val="ListParagraph"/>
              <w:numPr>
                <w:ilvl w:val="0"/>
                <w:numId w:val="22"/>
              </w:numPr>
              <w:spacing w:before="120" w:after="120"/>
              <w:ind w:left="493" w:hanging="493"/>
              <w:contextualSpacing w:val="0"/>
              <w:jc w:val="both"/>
              <w:rPr>
                <w:rFonts w:ascii="Arial" w:hAnsi="Arial" w:cs="Arial"/>
                <w:b/>
                <w:bCs/>
                <w:sz w:val="22"/>
                <w:szCs w:val="22"/>
              </w:rPr>
            </w:pPr>
            <w:r w:rsidRPr="00471812">
              <w:rPr>
                <w:rFonts w:ascii="Arial" w:hAnsi="Arial"/>
                <w:sz w:val="22"/>
              </w:rPr>
              <w:t>la participación de comunidades, grupos, individuos y organizaciones no gubernamentales pertinentes en la salvaguardia del elemento, así como la persistencia de su voluntad de seguir salvaguardándolo.</w:t>
            </w:r>
          </w:p>
        </w:tc>
      </w:tr>
      <w:tr w:rsidR="003942C4" w:rsidRPr="00BA4171"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163.</w:t>
            </w:r>
          </w:p>
        </w:tc>
        <w:tc>
          <w:tcPr>
            <w:tcW w:w="2250" w:type="pct"/>
            <w:gridSpan w:val="2"/>
            <w:shd w:val="clear" w:color="auto" w:fill="auto"/>
          </w:tcPr>
          <w:p w:rsidR="003942C4" w:rsidRPr="0096363C" w:rsidRDefault="000E7990" w:rsidP="00037932">
            <w:pPr>
              <w:spacing w:before="120" w:after="120"/>
              <w:jc w:val="both"/>
              <w:rPr>
                <w:rFonts w:ascii="Arial" w:hAnsi="Arial" w:cs="Arial"/>
                <w:sz w:val="22"/>
                <w:szCs w:val="22"/>
              </w:rPr>
            </w:pPr>
            <w:r>
              <w:rPr>
                <w:rFonts w:ascii="Arial" w:hAnsi="Arial"/>
                <w:sz w:val="22"/>
              </w:rPr>
              <w:t>El Estado Parte informará sobre el contexto institucional en el que se lleva a cabo la salvaguardia del elemento inscrito en la Lista del Patrimonio Cultural Inmaterial que requiere medidas urgentes de salvaguardia, en particular sobre:</w:t>
            </w:r>
          </w:p>
          <w:p w:rsidR="003942C4" w:rsidRDefault="000E7990" w:rsidP="006610D9">
            <w:pPr>
              <w:numPr>
                <w:ilvl w:val="0"/>
                <w:numId w:val="21"/>
              </w:numPr>
              <w:spacing w:before="120" w:after="120"/>
              <w:ind w:left="656" w:hanging="656"/>
              <w:jc w:val="both"/>
              <w:rPr>
                <w:rFonts w:ascii="Arial" w:hAnsi="Arial" w:cs="Arial"/>
                <w:sz w:val="22"/>
                <w:szCs w:val="22"/>
              </w:rPr>
            </w:pPr>
            <w:r>
              <w:rPr>
                <w:rFonts w:ascii="Arial" w:hAnsi="Arial"/>
                <w:sz w:val="22"/>
              </w:rPr>
              <w:t>el(los) organismo(s) competente(s) que participa(n) en su salvaguardia;</w:t>
            </w:r>
          </w:p>
          <w:p w:rsidR="003942C4" w:rsidRPr="00710CE9" w:rsidRDefault="000E7990" w:rsidP="006610D9">
            <w:pPr>
              <w:numPr>
                <w:ilvl w:val="0"/>
                <w:numId w:val="21"/>
              </w:numPr>
              <w:spacing w:before="120" w:after="120"/>
              <w:ind w:left="656" w:hanging="656"/>
              <w:jc w:val="both"/>
              <w:rPr>
                <w:rFonts w:ascii="Arial" w:hAnsi="Arial" w:cs="Arial"/>
                <w:sz w:val="22"/>
                <w:szCs w:val="22"/>
              </w:rPr>
            </w:pPr>
            <w:r>
              <w:rPr>
                <w:rFonts w:ascii="Arial" w:hAnsi="Arial"/>
                <w:sz w:val="22"/>
              </w:rPr>
              <w:t>la(s) organización(es) de la comunidad o el grupo a las que conciernen el elemento y su salvaguardia.</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163.</w:t>
            </w:r>
          </w:p>
        </w:tc>
        <w:tc>
          <w:tcPr>
            <w:tcW w:w="2250" w:type="pct"/>
          </w:tcPr>
          <w:p w:rsidR="003942C4" w:rsidRPr="00BA4171" w:rsidRDefault="000E7990" w:rsidP="00037932">
            <w:pPr>
              <w:spacing w:before="120" w:after="120"/>
              <w:jc w:val="both"/>
              <w:rPr>
                <w:rFonts w:ascii="Arial" w:hAnsi="Arial" w:cs="Arial"/>
                <w:sz w:val="22"/>
                <w:szCs w:val="22"/>
              </w:rPr>
            </w:pPr>
            <w:r>
              <w:rPr>
                <w:rFonts w:ascii="Arial" w:hAnsi="Arial"/>
                <w:sz w:val="22"/>
              </w:rPr>
              <w:t>No hay cambios.</w:t>
            </w:r>
          </w:p>
        </w:tc>
      </w:tr>
      <w:tr w:rsidR="003942C4" w:rsidRPr="00BA4171"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164.</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Los Estados Partes responderán a su debido tiempo a las peticiones concretas de información complementaria que les remita el Comité, si fuere necesario dentro de los plazos establecidos en el párrafo 161 supra.</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164.</w:t>
            </w:r>
          </w:p>
        </w:tc>
        <w:tc>
          <w:tcPr>
            <w:tcW w:w="2250" w:type="pct"/>
          </w:tcPr>
          <w:p w:rsidR="003942C4" w:rsidRPr="00BA4171" w:rsidRDefault="000E7990" w:rsidP="00037932">
            <w:pPr>
              <w:spacing w:before="120" w:after="120"/>
              <w:jc w:val="both"/>
              <w:rPr>
                <w:rFonts w:ascii="Arial" w:hAnsi="Arial" w:cs="Arial"/>
                <w:sz w:val="22"/>
                <w:szCs w:val="22"/>
              </w:rPr>
            </w:pPr>
            <w:r>
              <w:rPr>
                <w:rFonts w:ascii="Arial" w:hAnsi="Arial"/>
                <w:sz w:val="22"/>
              </w:rPr>
              <w:t>No hay cambios.</w:t>
            </w:r>
          </w:p>
        </w:tc>
      </w:tr>
      <w:tr w:rsidR="003942C4" w:rsidRPr="00BA4171" w:rsidTr="007E0DEF">
        <w:trPr>
          <w:cantSplit/>
        </w:trPr>
        <w:tc>
          <w:tcPr>
            <w:tcW w:w="250" w:type="pct"/>
            <w:gridSpan w:val="2"/>
            <w:shd w:val="clear" w:color="auto" w:fill="auto"/>
          </w:tcPr>
          <w:p w:rsidR="003942C4" w:rsidRPr="00B36C17" w:rsidRDefault="000E7990" w:rsidP="00037932">
            <w:pPr>
              <w:spacing w:before="120" w:after="120"/>
              <w:jc w:val="right"/>
              <w:rPr>
                <w:rFonts w:ascii="Arial" w:hAnsi="Arial" w:cs="Arial"/>
                <w:sz w:val="22"/>
                <w:szCs w:val="22"/>
              </w:rPr>
            </w:pPr>
            <w:r>
              <w:rPr>
                <w:rFonts w:ascii="Arial" w:hAnsi="Arial"/>
                <w:b/>
                <w:sz w:val="22"/>
              </w:rPr>
              <w:t>V.3</w:t>
            </w:r>
          </w:p>
        </w:tc>
        <w:tc>
          <w:tcPr>
            <w:tcW w:w="2250" w:type="pct"/>
            <w:gridSpan w:val="2"/>
            <w:shd w:val="clear" w:color="auto" w:fill="auto"/>
          </w:tcPr>
          <w:p w:rsidR="003942C4" w:rsidRPr="00E717A3" w:rsidRDefault="000E7990" w:rsidP="00037932">
            <w:pPr>
              <w:spacing w:before="120" w:after="120"/>
              <w:jc w:val="both"/>
              <w:rPr>
                <w:rFonts w:ascii="Arial" w:hAnsi="Arial" w:cs="Arial"/>
              </w:rPr>
            </w:pPr>
            <w:r>
              <w:rPr>
                <w:rFonts w:ascii="Arial" w:hAnsi="Arial"/>
                <w:b/>
              </w:rPr>
              <w:t>Recepción y tramitación de los informes</w:t>
            </w:r>
          </w:p>
        </w:tc>
        <w:tc>
          <w:tcPr>
            <w:tcW w:w="250" w:type="pct"/>
          </w:tcPr>
          <w:p w:rsidR="003942C4" w:rsidRPr="00B36C17" w:rsidRDefault="000E7990" w:rsidP="00037932">
            <w:pPr>
              <w:spacing w:before="120" w:after="120"/>
              <w:jc w:val="right"/>
              <w:rPr>
                <w:rFonts w:ascii="Arial" w:hAnsi="Arial" w:cs="Arial"/>
                <w:sz w:val="22"/>
                <w:szCs w:val="22"/>
              </w:rPr>
            </w:pPr>
            <w:r>
              <w:rPr>
                <w:rFonts w:ascii="Arial" w:hAnsi="Arial"/>
                <w:b/>
                <w:sz w:val="22"/>
              </w:rPr>
              <w:t>V.3</w:t>
            </w:r>
          </w:p>
        </w:tc>
        <w:tc>
          <w:tcPr>
            <w:tcW w:w="2250" w:type="pct"/>
          </w:tcPr>
          <w:p w:rsidR="003942C4" w:rsidRPr="00B36C17" w:rsidRDefault="000E7990" w:rsidP="00037932">
            <w:pPr>
              <w:spacing w:before="120" w:after="120"/>
              <w:jc w:val="both"/>
              <w:rPr>
                <w:rFonts w:ascii="Arial" w:hAnsi="Arial" w:cs="Arial"/>
                <w:sz w:val="22"/>
                <w:szCs w:val="22"/>
              </w:rPr>
            </w:pPr>
            <w:r>
              <w:rPr>
                <w:rFonts w:ascii="Arial" w:hAnsi="Arial"/>
                <w:sz w:val="22"/>
              </w:rPr>
              <w:t>No hay cambios.</w:t>
            </w:r>
          </w:p>
        </w:tc>
      </w:tr>
      <w:tr w:rsidR="003942C4" w:rsidRPr="00385AED"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165.</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En cuanto reciba los informes de los Estados Partes, la Secretaría los registrará y acusará recibo de los mismos. Si un informe estuviera incompleto, se indicará al Estado Parte cómo debe completarlo.</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165.</w:t>
            </w:r>
          </w:p>
        </w:tc>
        <w:tc>
          <w:tcPr>
            <w:tcW w:w="2250" w:type="pct"/>
          </w:tcPr>
          <w:p w:rsidR="003942C4" w:rsidRPr="00BA4171" w:rsidRDefault="000E7990" w:rsidP="00AE486A">
            <w:pPr>
              <w:spacing w:before="120" w:after="120"/>
              <w:jc w:val="both"/>
              <w:rPr>
                <w:rFonts w:ascii="Arial" w:hAnsi="Arial" w:cs="Arial"/>
                <w:sz w:val="22"/>
                <w:szCs w:val="22"/>
              </w:rPr>
            </w:pPr>
            <w:r>
              <w:rPr>
                <w:rFonts w:ascii="Arial" w:hAnsi="Arial"/>
                <w:sz w:val="22"/>
              </w:rPr>
              <w:t>No hay cambios.</w:t>
            </w:r>
          </w:p>
        </w:tc>
      </w:tr>
      <w:tr w:rsidR="003942C4" w:rsidRPr="00F3359B"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166.</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Cuatro semanas antes de la reunión del Comité, la Secretaría le transmitirá una sinopsis de todos los informes recibidos. Esa sinopsis y los informes también se pondrán en línea para su consulta.</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z w:val="22"/>
              </w:rPr>
              <w:t>166.</w:t>
            </w:r>
          </w:p>
        </w:tc>
        <w:tc>
          <w:tcPr>
            <w:tcW w:w="2250" w:type="pct"/>
          </w:tcPr>
          <w:p w:rsidR="003942C4" w:rsidRPr="00BA4171" w:rsidRDefault="000E7990" w:rsidP="00B94EF7">
            <w:pPr>
              <w:spacing w:before="120" w:after="120"/>
              <w:jc w:val="both"/>
              <w:rPr>
                <w:rFonts w:ascii="Arial" w:hAnsi="Arial" w:cs="Arial"/>
                <w:sz w:val="22"/>
                <w:szCs w:val="22"/>
              </w:rPr>
            </w:pPr>
            <w:r>
              <w:rPr>
                <w:rFonts w:ascii="Arial" w:hAnsi="Arial"/>
                <w:sz w:val="22"/>
              </w:rPr>
              <w:t xml:space="preserve">Cuatro semanas antes de la reunión del Comité, la Secretaría le transmitirá una sinopsis de todos los informes recibidos </w:t>
            </w:r>
            <w:r w:rsidR="00B94EF7">
              <w:rPr>
                <w:rFonts w:ascii="Arial" w:hAnsi="Arial"/>
                <w:b/>
                <w:sz w:val="22"/>
                <w:u w:val="single"/>
              </w:rPr>
              <w:t>en conformidad con</w:t>
            </w:r>
            <w:r>
              <w:rPr>
                <w:rFonts w:ascii="Arial" w:hAnsi="Arial"/>
                <w:b/>
                <w:sz w:val="22"/>
                <w:u w:val="single"/>
              </w:rPr>
              <w:t xml:space="preserve"> en el párrafo 152</w:t>
            </w:r>
            <w:r>
              <w:rPr>
                <w:rFonts w:ascii="Arial" w:hAnsi="Arial"/>
                <w:sz w:val="22"/>
              </w:rPr>
              <w:t xml:space="preserve">. La sinopsis </w:t>
            </w:r>
            <w:r>
              <w:rPr>
                <w:rFonts w:ascii="Arial" w:hAnsi="Arial"/>
                <w:strike/>
                <w:sz w:val="22"/>
              </w:rPr>
              <w:t>y los informes</w:t>
            </w:r>
            <w:r>
              <w:rPr>
                <w:rFonts w:ascii="Arial" w:hAnsi="Arial"/>
                <w:sz w:val="22"/>
              </w:rPr>
              <w:t xml:space="preserve"> también se pondrá en línea para su consulta</w:t>
            </w:r>
            <w:r>
              <w:rPr>
                <w:rFonts w:ascii="Arial" w:hAnsi="Arial"/>
                <w:b/>
                <w:sz w:val="22"/>
                <w:u w:val="single"/>
              </w:rPr>
              <w:t xml:space="preserve"> pública</w:t>
            </w:r>
            <w:r>
              <w:rPr>
                <w:rFonts w:ascii="Arial" w:hAnsi="Arial"/>
                <w:sz w:val="22"/>
              </w:rPr>
              <w:t xml:space="preserve">, </w:t>
            </w:r>
            <w:r>
              <w:rPr>
                <w:rFonts w:ascii="Arial" w:hAnsi="Arial"/>
                <w:b/>
                <w:sz w:val="22"/>
                <w:u w:val="single"/>
              </w:rPr>
              <w:t>junto con los informes</w:t>
            </w:r>
            <w:r w:rsidR="00B94EF7">
              <w:rPr>
                <w:rFonts w:ascii="Arial" w:hAnsi="Arial"/>
                <w:b/>
                <w:sz w:val="22"/>
                <w:u w:val="single"/>
              </w:rPr>
              <w:t xml:space="preserve"> recibidos</w:t>
            </w:r>
            <w:r>
              <w:rPr>
                <w:rFonts w:ascii="Arial" w:hAnsi="Arial"/>
                <w:b/>
                <w:sz w:val="22"/>
                <w:u w:val="single"/>
              </w:rPr>
              <w:t xml:space="preserve"> </w:t>
            </w:r>
            <w:r w:rsidR="00B94EF7">
              <w:rPr>
                <w:rFonts w:ascii="Arial" w:hAnsi="Arial"/>
                <w:b/>
                <w:sz w:val="22"/>
                <w:u w:val="single"/>
              </w:rPr>
              <w:t xml:space="preserve">en conformidad con los párrafos 152 y 161, </w:t>
            </w:r>
            <w:r>
              <w:rPr>
                <w:rFonts w:ascii="Arial" w:hAnsi="Arial"/>
                <w:b/>
                <w:sz w:val="22"/>
                <w:u w:val="single"/>
              </w:rPr>
              <w:t>en el idioma en el que fueron presentados por el Estado Parte, salvo que el Comité decida otra cosa en casos excepcionales</w:t>
            </w:r>
            <w:r>
              <w:rPr>
                <w:rFonts w:ascii="Arial" w:hAnsi="Arial"/>
                <w:sz w:val="22"/>
              </w:rPr>
              <w:t>.</w:t>
            </w:r>
          </w:p>
        </w:tc>
      </w:tr>
      <w:tr w:rsidR="003942C4" w:rsidRPr="00F3359B"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167.</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Tras la reunión en que sean examinados por el Comité, los informes se pondrán a disposición del público en general para su información, a no ser que el Comité decida otra cosa en casos excepcionales.</w:t>
            </w:r>
          </w:p>
        </w:tc>
        <w:tc>
          <w:tcPr>
            <w:tcW w:w="250" w:type="pct"/>
          </w:tcPr>
          <w:p w:rsidR="003942C4" w:rsidRPr="00645C14" w:rsidRDefault="000E7990" w:rsidP="00037932">
            <w:pPr>
              <w:spacing w:before="120" w:after="120"/>
              <w:jc w:val="right"/>
              <w:rPr>
                <w:rFonts w:ascii="Arial" w:hAnsi="Arial" w:cs="Arial"/>
                <w:strike/>
                <w:sz w:val="22"/>
                <w:szCs w:val="22"/>
              </w:rPr>
            </w:pPr>
            <w:r>
              <w:rPr>
                <w:rFonts w:ascii="Arial" w:hAnsi="Arial"/>
                <w:strike/>
                <w:sz w:val="22"/>
              </w:rPr>
              <w:t>167.</w:t>
            </w:r>
          </w:p>
        </w:tc>
        <w:tc>
          <w:tcPr>
            <w:tcW w:w="2250" w:type="pct"/>
          </w:tcPr>
          <w:p w:rsidR="003942C4" w:rsidRPr="00645C14" w:rsidRDefault="000E7990" w:rsidP="00037932">
            <w:pPr>
              <w:spacing w:before="120" w:after="120"/>
              <w:jc w:val="both"/>
              <w:rPr>
                <w:rFonts w:ascii="Arial" w:hAnsi="Arial" w:cs="Arial"/>
                <w:strike/>
                <w:sz w:val="22"/>
                <w:szCs w:val="22"/>
              </w:rPr>
            </w:pPr>
            <w:r>
              <w:rPr>
                <w:rFonts w:ascii="Arial" w:hAnsi="Arial"/>
                <w:strike/>
                <w:sz w:val="22"/>
              </w:rPr>
              <w:t>Tras la reunión en que sean examinados por el Comité, los informes se pondrán a disposición del público a título informativo, a menos que el Comité decida otra cosa en casos excepcionales.</w:t>
            </w:r>
          </w:p>
        </w:tc>
      </w:tr>
      <w:tr w:rsidR="003942C4" w:rsidRPr="00B36C17" w:rsidTr="007E0DEF">
        <w:trPr>
          <w:cantSplit/>
        </w:trPr>
        <w:tc>
          <w:tcPr>
            <w:tcW w:w="250" w:type="pct"/>
            <w:gridSpan w:val="2"/>
            <w:shd w:val="clear" w:color="auto" w:fill="auto"/>
          </w:tcPr>
          <w:p w:rsidR="003942C4" w:rsidRPr="0096363C" w:rsidRDefault="000E7990" w:rsidP="00037932">
            <w:pPr>
              <w:spacing w:before="120" w:after="120"/>
              <w:jc w:val="right"/>
              <w:rPr>
                <w:rFonts w:ascii="Arial" w:hAnsi="Arial" w:cs="Arial"/>
                <w:b/>
                <w:sz w:val="22"/>
                <w:szCs w:val="22"/>
              </w:rPr>
            </w:pPr>
            <w:r>
              <w:rPr>
                <w:rFonts w:ascii="Arial" w:hAnsi="Arial"/>
                <w:b/>
                <w:sz w:val="22"/>
              </w:rPr>
              <w:t>V.4</w:t>
            </w:r>
          </w:p>
        </w:tc>
        <w:tc>
          <w:tcPr>
            <w:tcW w:w="2250" w:type="pct"/>
            <w:gridSpan w:val="2"/>
            <w:shd w:val="clear" w:color="auto" w:fill="auto"/>
          </w:tcPr>
          <w:p w:rsidR="003942C4" w:rsidRPr="0096363C" w:rsidRDefault="000E7990" w:rsidP="00037932">
            <w:pPr>
              <w:spacing w:before="120" w:after="120"/>
              <w:jc w:val="both"/>
              <w:rPr>
                <w:rFonts w:ascii="Arial" w:hAnsi="Arial" w:cs="Arial"/>
                <w:b/>
              </w:rPr>
            </w:pPr>
            <w:r>
              <w:rPr>
                <w:rFonts w:ascii="Arial" w:hAnsi="Arial"/>
                <w:b/>
              </w:rPr>
              <w:t>Informes de Estados no Partes en la Convención sobre elementos inscritos en la Lista representativa del patrimonio cultural inmaterial de la humanidad</w:t>
            </w:r>
          </w:p>
        </w:tc>
        <w:tc>
          <w:tcPr>
            <w:tcW w:w="250" w:type="pct"/>
          </w:tcPr>
          <w:p w:rsidR="003942C4" w:rsidRPr="004815DD" w:rsidRDefault="000E7990" w:rsidP="00037932">
            <w:pPr>
              <w:spacing w:before="120" w:after="120"/>
              <w:jc w:val="right"/>
              <w:rPr>
                <w:rFonts w:ascii="Arial" w:hAnsi="Arial" w:cs="Arial"/>
                <w:b/>
                <w:sz w:val="22"/>
                <w:szCs w:val="22"/>
              </w:rPr>
            </w:pPr>
            <w:r>
              <w:rPr>
                <w:rFonts w:ascii="Arial" w:hAnsi="Arial"/>
                <w:b/>
                <w:sz w:val="22"/>
              </w:rPr>
              <w:t>V.4</w:t>
            </w:r>
          </w:p>
        </w:tc>
        <w:tc>
          <w:tcPr>
            <w:tcW w:w="2250" w:type="pct"/>
          </w:tcPr>
          <w:p w:rsidR="003942C4" w:rsidRPr="00B36C17" w:rsidRDefault="000E7990" w:rsidP="00037932">
            <w:pPr>
              <w:spacing w:before="120" w:after="120"/>
              <w:jc w:val="both"/>
              <w:rPr>
                <w:rFonts w:ascii="Arial" w:hAnsi="Arial" w:cs="Arial"/>
                <w:sz w:val="22"/>
                <w:szCs w:val="22"/>
              </w:rPr>
            </w:pPr>
            <w:r>
              <w:rPr>
                <w:rFonts w:ascii="Arial" w:hAnsi="Arial"/>
                <w:sz w:val="22"/>
              </w:rPr>
              <w:t>No hay cambios.</w:t>
            </w:r>
          </w:p>
        </w:tc>
      </w:tr>
      <w:tr w:rsidR="003942C4" w:rsidRPr="009A1EF7"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168.</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Los párrafos 157 a 159 y 165 a 167 de las presentes Directrices se aplicarán en su totalidad a los Estados no Partes en la Convención que cuentan en sus territorios con elementos proclamados Obras maestras e incorporados a la Lista representativa del patrimonio cultural inmaterial de la humanidad, y que hayan aceptado los derechos y obligaciones correspondientes.</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trike/>
                <w:sz w:val="22"/>
              </w:rPr>
              <w:t>168</w:t>
            </w:r>
            <w:r>
              <w:rPr>
                <w:rFonts w:ascii="Arial" w:hAnsi="Arial"/>
                <w:sz w:val="22"/>
              </w:rPr>
              <w:t xml:space="preserve"> </w:t>
            </w:r>
            <w:r w:rsidRPr="00005B18">
              <w:rPr>
                <w:rFonts w:ascii="Arial" w:hAnsi="Arial"/>
                <w:b/>
                <w:bCs/>
                <w:sz w:val="22"/>
                <w:u w:val="single"/>
              </w:rPr>
              <w:t>167.</w:t>
            </w:r>
          </w:p>
        </w:tc>
        <w:tc>
          <w:tcPr>
            <w:tcW w:w="2250" w:type="pct"/>
          </w:tcPr>
          <w:p w:rsidR="003942C4" w:rsidRPr="00BA4171" w:rsidRDefault="000E7990" w:rsidP="00126174">
            <w:pPr>
              <w:spacing w:before="120" w:after="120"/>
              <w:jc w:val="both"/>
              <w:rPr>
                <w:rFonts w:ascii="Arial" w:hAnsi="Arial" w:cs="Arial"/>
                <w:sz w:val="22"/>
                <w:szCs w:val="22"/>
              </w:rPr>
            </w:pPr>
            <w:r>
              <w:rPr>
                <w:rFonts w:ascii="Arial" w:hAnsi="Arial"/>
                <w:sz w:val="22"/>
              </w:rPr>
              <w:t>Los párrafos 157 a 159 y 165 a 16</w:t>
            </w:r>
            <w:r>
              <w:rPr>
                <w:rFonts w:ascii="Arial" w:hAnsi="Arial"/>
                <w:strike/>
                <w:sz w:val="22"/>
              </w:rPr>
              <w:t>7</w:t>
            </w:r>
            <w:r>
              <w:rPr>
                <w:rFonts w:ascii="Arial" w:hAnsi="Arial"/>
                <w:b/>
                <w:sz w:val="22"/>
                <w:u w:val="single"/>
              </w:rPr>
              <w:t>6</w:t>
            </w:r>
            <w:r>
              <w:rPr>
                <w:rFonts w:ascii="Arial" w:hAnsi="Arial"/>
                <w:sz w:val="22"/>
              </w:rPr>
              <w:t xml:space="preserve"> de las presentes Directrices se aplicarán en su totalidad a los Estados no Partes en la Convención que cuentan en sus territorios con elementos proclamados Obras maestras e incorporados a la Lista representativa del patrimonio cultural inmaterial de la humanidad, y que hayan aceptado los derechos y obligaciones correspondientes.</w:t>
            </w:r>
          </w:p>
        </w:tc>
      </w:tr>
      <w:tr w:rsidR="003942C4" w:rsidRPr="00F3359B" w:rsidTr="007E0DEF">
        <w:trPr>
          <w:cantSplit/>
        </w:trPr>
        <w:tc>
          <w:tcPr>
            <w:tcW w:w="250" w:type="pct"/>
            <w:gridSpan w:val="2"/>
            <w:shd w:val="clear" w:color="auto" w:fill="auto"/>
          </w:tcPr>
          <w:p w:rsidR="003942C4" w:rsidRPr="00A1056C" w:rsidRDefault="000E7990" w:rsidP="00037932">
            <w:pPr>
              <w:spacing w:before="120" w:after="120"/>
              <w:jc w:val="right"/>
              <w:rPr>
                <w:rFonts w:ascii="Arial" w:hAnsi="Arial" w:cs="Arial"/>
                <w:sz w:val="22"/>
                <w:szCs w:val="22"/>
              </w:rPr>
            </w:pPr>
            <w:r>
              <w:rPr>
                <w:rFonts w:ascii="Arial" w:hAnsi="Arial"/>
                <w:sz w:val="22"/>
              </w:rPr>
              <w:t>169.</w:t>
            </w:r>
          </w:p>
        </w:tc>
        <w:tc>
          <w:tcPr>
            <w:tcW w:w="2250" w:type="pct"/>
            <w:gridSpan w:val="2"/>
            <w:shd w:val="clear" w:color="auto" w:fill="auto"/>
          </w:tcPr>
          <w:p w:rsidR="003942C4" w:rsidRPr="00710CE9" w:rsidRDefault="000E7990" w:rsidP="00037932">
            <w:pPr>
              <w:spacing w:before="120" w:after="120"/>
              <w:jc w:val="both"/>
              <w:rPr>
                <w:rFonts w:ascii="Arial" w:hAnsi="Arial" w:cs="Arial"/>
                <w:sz w:val="22"/>
                <w:szCs w:val="22"/>
              </w:rPr>
            </w:pPr>
            <w:r>
              <w:rPr>
                <w:rFonts w:ascii="Arial" w:hAnsi="Arial"/>
                <w:sz w:val="22"/>
              </w:rPr>
              <w:t xml:space="preserve">Los Estados no Partes presentarán esos informes al Comité a más tardar el 15 de diciembre de 2014, y luego cada sexenio. Para esos informes se utilizará el formulario ICH-10, que se puede obtener en la página web </w:t>
            </w:r>
            <w:hyperlink r:id="rId23" w:history="1">
              <w:r>
                <w:rPr>
                  <w:rStyle w:val="Hyperlink"/>
                  <w:rFonts w:ascii="Arial" w:hAnsi="Arial"/>
                  <w:sz w:val="22"/>
                </w:rPr>
                <w:t>www.unesco.org/culture/ich</w:t>
              </w:r>
            </w:hyperlink>
            <w:r>
              <w:rPr>
                <w:rFonts w:ascii="Arial" w:hAnsi="Arial"/>
                <w:sz w:val="22"/>
              </w:rPr>
              <w:t xml:space="preserve"> o pidiéndolo a la Secretaría. Los informes deberán contener única y exclusivamente la información requerida en ese formulario.</w:t>
            </w:r>
          </w:p>
        </w:tc>
        <w:tc>
          <w:tcPr>
            <w:tcW w:w="250" w:type="pct"/>
          </w:tcPr>
          <w:p w:rsidR="003942C4" w:rsidRPr="00BA4171" w:rsidRDefault="000E7990" w:rsidP="00037932">
            <w:pPr>
              <w:spacing w:before="120" w:after="120"/>
              <w:jc w:val="right"/>
              <w:rPr>
                <w:rFonts w:ascii="Arial" w:hAnsi="Arial" w:cs="Arial"/>
                <w:sz w:val="22"/>
                <w:szCs w:val="22"/>
              </w:rPr>
            </w:pPr>
            <w:r>
              <w:rPr>
                <w:rFonts w:ascii="Arial" w:hAnsi="Arial"/>
                <w:strike/>
                <w:sz w:val="22"/>
              </w:rPr>
              <w:t>169</w:t>
            </w:r>
            <w:r>
              <w:rPr>
                <w:rFonts w:ascii="Arial" w:hAnsi="Arial"/>
                <w:sz w:val="22"/>
              </w:rPr>
              <w:t xml:space="preserve"> </w:t>
            </w:r>
            <w:r w:rsidRPr="00005B18">
              <w:rPr>
                <w:rFonts w:ascii="Arial" w:hAnsi="Arial"/>
                <w:b/>
                <w:bCs/>
                <w:sz w:val="22"/>
                <w:u w:val="single"/>
              </w:rPr>
              <w:t>168.</w:t>
            </w:r>
          </w:p>
        </w:tc>
        <w:tc>
          <w:tcPr>
            <w:tcW w:w="2250" w:type="pct"/>
          </w:tcPr>
          <w:p w:rsidR="003942C4" w:rsidRPr="00BA4171" w:rsidRDefault="000E7990" w:rsidP="00126174">
            <w:pPr>
              <w:spacing w:before="120" w:after="120"/>
              <w:jc w:val="both"/>
              <w:rPr>
                <w:rFonts w:ascii="Arial" w:hAnsi="Arial" w:cs="Arial"/>
                <w:sz w:val="22"/>
                <w:szCs w:val="22"/>
              </w:rPr>
            </w:pPr>
            <w:r>
              <w:rPr>
                <w:rFonts w:ascii="Arial" w:hAnsi="Arial"/>
                <w:sz w:val="22"/>
              </w:rPr>
              <w:t xml:space="preserve">Los Estados no Partes presentarán esos informes al Comité a más tardar el 15 de diciembre de 2014, y luego cada sexenio. Para esos informes se utilizará el formulario ICH-10 </w:t>
            </w:r>
            <w:r>
              <w:rPr>
                <w:rFonts w:ascii="Arial" w:hAnsi="Arial"/>
                <w:strike/>
                <w:sz w:val="22"/>
              </w:rPr>
              <w:t xml:space="preserve">que se puede obtener en la página web </w:t>
            </w:r>
            <w:hyperlink r:id="rId24" w:history="1">
              <w:r>
                <w:rPr>
                  <w:rStyle w:val="Hyperlink"/>
                  <w:rFonts w:ascii="Arial" w:hAnsi="Arial"/>
                  <w:strike/>
                  <w:sz w:val="22"/>
                </w:rPr>
                <w:t>www.unesco.org/culture/ich</w:t>
              </w:r>
            </w:hyperlink>
            <w:r>
              <w:rPr>
                <w:rFonts w:ascii="Arial" w:hAnsi="Arial"/>
                <w:strike/>
                <w:sz w:val="22"/>
              </w:rPr>
              <w:t xml:space="preserve"> o pidiéndolo a la Secretaría. Los informes deberán contener única y exclusivamente la información requerida en ese formulario. </w:t>
            </w:r>
            <w:r>
              <w:rPr>
                <w:rFonts w:ascii="Arial" w:hAnsi="Arial"/>
                <w:b/>
                <w:color w:val="000000"/>
                <w:sz w:val="22"/>
                <w:u w:val="single"/>
              </w:rPr>
              <w:t>que los Estados Partes deberán completar en línea (</w:t>
            </w:r>
            <w:hyperlink r:id="rId25" w:history="1">
              <w:r>
                <w:rPr>
                  <w:rStyle w:val="Hyperlink"/>
                  <w:rFonts w:ascii="Arial" w:hAnsi="Arial"/>
                  <w:b/>
                  <w:sz w:val="22"/>
                </w:rPr>
                <w:t>https://ich.unesco.org/</w:t>
              </w:r>
            </w:hyperlink>
            <w:r>
              <w:rPr>
                <w:rFonts w:ascii="Arial" w:hAnsi="Arial"/>
                <w:b/>
                <w:color w:val="000000"/>
                <w:sz w:val="22"/>
                <w:u w:val="single"/>
              </w:rPr>
              <w:t>) y serán revisados en los intervalos adecuados por parte de la Secretaría.</w:t>
            </w:r>
          </w:p>
        </w:tc>
      </w:tr>
    </w:tbl>
    <w:p w:rsidR="00B6098C" w:rsidRPr="003942C4" w:rsidRDefault="00F41ACF" w:rsidP="001F26CF">
      <w:pPr>
        <w:pStyle w:val="COMParaDecision"/>
        <w:numPr>
          <w:ilvl w:val="0"/>
          <w:numId w:val="0"/>
        </w:numPr>
        <w:jc w:val="left"/>
      </w:pPr>
    </w:p>
    <w:sectPr w:rsidR="00B6098C" w:rsidRPr="003942C4" w:rsidSect="007E0DEF">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32" w:rsidRDefault="000E7990" w:rsidP="00655736">
      <w:r>
        <w:separator/>
      </w:r>
    </w:p>
  </w:endnote>
  <w:endnote w:type="continuationSeparator" w:id="0">
    <w:p w:rsidR="00037932" w:rsidRDefault="000E799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32" w:rsidRDefault="000E7990" w:rsidP="00655736">
      <w:r>
        <w:separator/>
      </w:r>
    </w:p>
  </w:footnote>
  <w:footnote w:type="continuationSeparator" w:id="0">
    <w:p w:rsidR="00037932" w:rsidRDefault="000E7990"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C23A97" w:rsidRDefault="000E7990">
    <w:pPr>
      <w:pStyle w:val="Header"/>
      <w:rPr>
        <w:rFonts w:ascii="Arial" w:hAnsi="Arial" w:cs="Arial"/>
      </w:rPr>
    </w:pPr>
    <w:r>
      <w:rPr>
        <w:rFonts w:ascii="Arial" w:hAnsi="Arial"/>
        <w:sz w:val="20"/>
      </w:rPr>
      <w:t xml:space="preserve">ITH/18/7.GA/10 </w:t>
    </w:r>
    <w:r w:rsidR="00B94EF7">
      <w:rPr>
        <w:rFonts w:ascii="Arial" w:hAnsi="Arial"/>
        <w:sz w:val="20"/>
      </w:rPr>
      <w:t>Rev</w:t>
    </w:r>
    <w:r w:rsidR="00F41ACF">
      <w:rPr>
        <w:rFonts w:ascii="Arial" w:hAnsi="Arial"/>
        <w:sz w:val="20"/>
      </w:rPr>
      <w:t>.</w:t>
    </w:r>
    <w:r w:rsidR="00B94EF7">
      <w:rPr>
        <w:rFonts w:ascii="Arial" w:hAnsi="Arial"/>
        <w:sz w:val="20"/>
      </w:rPr>
      <w:t xml:space="preserve"> </w:t>
    </w:r>
    <w:r>
      <w:rPr>
        <w:rFonts w:ascii="Arial" w:hAnsi="Arial"/>
        <w:sz w:val="20"/>
      </w:rPr>
      <w:t xml:space="preserve">– página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41ACF">
      <w:rPr>
        <w:rStyle w:val="PageNumber"/>
        <w:rFonts w:ascii="Arial" w:hAnsi="Arial"/>
        <w:noProof/>
        <w:sz w:val="20"/>
      </w:rPr>
      <w:t>2</w:t>
    </w:r>
    <w:r>
      <w:rPr>
        <w:rStyle w:val="PageNumber"/>
        <w:rFonts w:ascii="Arial" w:hAnsi="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63300C" w:rsidRDefault="000E7990" w:rsidP="0063300C">
    <w:pPr>
      <w:pStyle w:val="Header"/>
      <w:jc w:val="right"/>
      <w:rPr>
        <w:rFonts w:ascii="Arial" w:hAnsi="Arial" w:cs="Arial"/>
      </w:rPr>
    </w:pPr>
    <w:r>
      <w:rPr>
        <w:rFonts w:ascii="Arial" w:hAnsi="Arial"/>
        <w:sz w:val="20"/>
      </w:rPr>
      <w:t>ITH/18/7.GA/10</w:t>
    </w:r>
    <w:r w:rsidR="00B94EF7">
      <w:rPr>
        <w:rFonts w:ascii="Arial" w:hAnsi="Arial"/>
        <w:sz w:val="20"/>
      </w:rPr>
      <w:t xml:space="preserve"> Rev</w:t>
    </w:r>
    <w:r w:rsidR="00F41ACF">
      <w:rPr>
        <w:rFonts w:ascii="Arial" w:hAnsi="Arial"/>
        <w:sz w:val="20"/>
      </w:rPr>
      <w:t>.</w:t>
    </w:r>
    <w:r>
      <w:rPr>
        <w:rFonts w:ascii="Arial" w:hAnsi="Arial"/>
        <w:sz w:val="20"/>
      </w:rPr>
      <w:t xml:space="preserve"> – página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F41ACF">
      <w:rPr>
        <w:rStyle w:val="PageNumber"/>
        <w:rFonts w:ascii="Arial" w:hAnsi="Arial"/>
        <w:noProof/>
        <w:sz w:val="20"/>
      </w:rPr>
      <w:t>3</w:t>
    </w:r>
    <w:r>
      <w:rPr>
        <w:rStyle w:val="PageNumber"/>
        <w:rFonts w:ascii="Arial" w:hAnsi="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4C" w:rsidRPr="00F32C23" w:rsidRDefault="00031E0C">
    <w:pPr>
      <w:pStyle w:val="Header"/>
    </w:pPr>
    <w:r>
      <w:rPr>
        <w:noProof/>
        <w:lang w:val="fr-FR" w:eastAsia="fr-FR"/>
      </w:rPr>
      <w:drawing>
        <wp:anchor distT="0" distB="0" distL="114300" distR="114300" simplePos="0" relativeHeight="251659264" behindDoc="1" locked="0" layoutInCell="1" allowOverlap="1">
          <wp:simplePos x="0" y="0"/>
          <wp:positionH relativeFrom="page">
            <wp:posOffset>280670</wp:posOffset>
          </wp:positionH>
          <wp:positionV relativeFrom="page">
            <wp:posOffset>262890</wp:posOffset>
          </wp:positionV>
          <wp:extent cx="2109600" cy="1422000"/>
          <wp:effectExtent l="0" t="0" r="5080" b="6985"/>
          <wp:wrapNone/>
          <wp:docPr id="2" name="Image 1"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es"/>
                  <pic:cNvPicPr>
                    <a:picLocks noChangeAspect="1" noChangeArrowheads="1"/>
                  </pic:cNvPicPr>
                </pic:nvPicPr>
                <pic:blipFill>
                  <a:blip r:embed="rId1">
                    <a:extLst>
                      <a:ext uri="{28A0092B-C50C-407E-A947-70E740481C1C}">
                        <a14:useLocalDpi xmlns:a14="http://schemas.microsoft.com/office/drawing/2010/main" val="0"/>
                      </a:ext>
                    </a:extLst>
                  </a:blip>
                  <a:srcRect b="7323"/>
                  <a:stretch>
                    <a:fillRect/>
                  </a:stretch>
                </pic:blipFill>
                <pic:spPr bwMode="auto">
                  <a:xfrm>
                    <a:off x="0" y="0"/>
                    <a:ext cx="2109600" cy="14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5C4C" w:rsidRPr="00F30DC6" w:rsidRDefault="000E7990" w:rsidP="00655736">
    <w:pPr>
      <w:pStyle w:val="Header"/>
      <w:spacing w:after="520"/>
      <w:jc w:val="right"/>
      <w:rPr>
        <w:rFonts w:ascii="Arial" w:hAnsi="Arial" w:cs="Arial"/>
        <w:b/>
        <w:sz w:val="44"/>
        <w:szCs w:val="44"/>
      </w:rPr>
    </w:pPr>
    <w:r>
      <w:rPr>
        <w:rFonts w:ascii="Arial" w:hAnsi="Arial"/>
        <w:b/>
        <w:sz w:val="44"/>
      </w:rPr>
      <w:t>7 GA</w:t>
    </w:r>
  </w:p>
  <w:p w:rsidR="00D95C4C" w:rsidRPr="009D5428" w:rsidRDefault="000E7990" w:rsidP="00655736">
    <w:pPr>
      <w:jc w:val="right"/>
      <w:rPr>
        <w:rFonts w:ascii="Arial" w:hAnsi="Arial" w:cs="Arial"/>
        <w:b/>
        <w:sz w:val="22"/>
        <w:szCs w:val="22"/>
      </w:rPr>
    </w:pPr>
    <w:r>
      <w:rPr>
        <w:rFonts w:ascii="Arial" w:hAnsi="Arial"/>
        <w:b/>
        <w:sz w:val="22"/>
      </w:rPr>
      <w:t>ITH/18/7.GA/10</w:t>
    </w:r>
    <w:r w:rsidR="00B94EF7">
      <w:rPr>
        <w:rFonts w:ascii="Arial" w:hAnsi="Arial"/>
        <w:b/>
        <w:sz w:val="22"/>
      </w:rPr>
      <w:t xml:space="preserve"> Rev.</w:t>
    </w:r>
  </w:p>
  <w:p w:rsidR="00D95C4C" w:rsidRPr="00F3359B" w:rsidRDefault="000E7990" w:rsidP="00471812">
    <w:pPr>
      <w:jc w:val="right"/>
      <w:rPr>
        <w:rFonts w:ascii="Arial" w:eastAsia="Malgun Gothic" w:hAnsi="Arial" w:cs="Arial"/>
        <w:b/>
        <w:sz w:val="22"/>
        <w:szCs w:val="22"/>
      </w:rPr>
    </w:pPr>
    <w:r>
      <w:rPr>
        <w:rFonts w:ascii="Arial" w:hAnsi="Arial"/>
        <w:b/>
        <w:sz w:val="22"/>
      </w:rPr>
      <w:t xml:space="preserve">París, </w:t>
    </w:r>
    <w:r w:rsidR="00B94EF7">
      <w:rPr>
        <w:rFonts w:ascii="Arial" w:hAnsi="Arial"/>
        <w:b/>
        <w:sz w:val="22"/>
      </w:rPr>
      <w:t>31</w:t>
    </w:r>
    <w:r w:rsidR="00471812">
      <w:rPr>
        <w:rFonts w:ascii="Arial" w:hAnsi="Arial"/>
        <w:b/>
        <w:sz w:val="22"/>
      </w:rPr>
      <w:t xml:space="preserve"> </w:t>
    </w:r>
    <w:r w:rsidR="00471812" w:rsidRPr="00471812">
      <w:rPr>
        <w:rFonts w:ascii="Arial" w:hAnsi="Arial"/>
        <w:b/>
        <w:sz w:val="22"/>
      </w:rPr>
      <w:t>de mayo</w:t>
    </w:r>
    <w:r w:rsidR="00471812">
      <w:rPr>
        <w:rFonts w:ascii="Arial" w:hAnsi="Arial"/>
        <w:b/>
        <w:sz w:val="22"/>
      </w:rPr>
      <w:t xml:space="preserve"> de </w:t>
    </w:r>
    <w:r w:rsidRPr="00471812">
      <w:rPr>
        <w:rFonts w:ascii="Arial" w:hAnsi="Arial"/>
        <w:b/>
        <w:sz w:val="22"/>
      </w:rPr>
      <w:t>2</w:t>
    </w:r>
    <w:r>
      <w:rPr>
        <w:rFonts w:ascii="Arial" w:hAnsi="Arial"/>
        <w:b/>
        <w:sz w:val="22"/>
      </w:rPr>
      <w:t>018</w:t>
    </w:r>
  </w:p>
  <w:p w:rsidR="00D95C4C" w:rsidRPr="00F32C23" w:rsidRDefault="000E7990" w:rsidP="000048ED">
    <w:pPr>
      <w:jc w:val="right"/>
      <w:rPr>
        <w:rFonts w:ascii="Arial" w:hAnsi="Arial" w:cs="Arial"/>
        <w:b/>
        <w:sz w:val="22"/>
        <w:szCs w:val="22"/>
      </w:rPr>
    </w:pPr>
    <w:r>
      <w:rPr>
        <w:rFonts w:ascii="Arial" w:hAnsi="Arial"/>
        <w:b/>
        <w:sz w:val="22"/>
      </w:rPr>
      <w:t xml:space="preserve">Original: </w:t>
    </w:r>
    <w:r w:rsidR="005C73EB">
      <w:rPr>
        <w:rFonts w:ascii="Arial" w:hAnsi="Arial"/>
        <w:b/>
        <w:sz w:val="22"/>
      </w:rPr>
      <w:t>i</w:t>
    </w:r>
    <w:r>
      <w:rPr>
        <w:rFonts w:ascii="Arial" w:hAnsi="Arial"/>
        <w:b/>
        <w:sz w:val="22"/>
      </w:rPr>
      <w:t>nglés</w:t>
    </w:r>
  </w:p>
  <w:p w:rsidR="00D95C4C" w:rsidRPr="00F32C23" w:rsidRDefault="00F41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481"/>
    <w:multiLevelType w:val="hybridMultilevel"/>
    <w:tmpl w:val="C458E90A"/>
    <w:lvl w:ilvl="0" w:tplc="87DEBFCC">
      <w:start w:val="1"/>
      <w:numFmt w:val="lowerLetter"/>
      <w:lvlText w:val="(%1)"/>
      <w:lvlJc w:val="left"/>
      <w:pPr>
        <w:ind w:left="393" w:hanging="360"/>
      </w:pPr>
      <w:rPr>
        <w:rFonts w:hint="default"/>
      </w:rPr>
    </w:lvl>
    <w:lvl w:ilvl="1" w:tplc="853CD6CA" w:tentative="1">
      <w:start w:val="1"/>
      <w:numFmt w:val="lowerLetter"/>
      <w:lvlText w:val="%2."/>
      <w:lvlJc w:val="left"/>
      <w:pPr>
        <w:ind w:left="1113" w:hanging="360"/>
      </w:pPr>
    </w:lvl>
    <w:lvl w:ilvl="2" w:tplc="7CBC9BD2" w:tentative="1">
      <w:start w:val="1"/>
      <w:numFmt w:val="lowerRoman"/>
      <w:lvlText w:val="%3."/>
      <w:lvlJc w:val="right"/>
      <w:pPr>
        <w:ind w:left="1833" w:hanging="180"/>
      </w:pPr>
    </w:lvl>
    <w:lvl w:ilvl="3" w:tplc="34E8FF26" w:tentative="1">
      <w:start w:val="1"/>
      <w:numFmt w:val="decimal"/>
      <w:lvlText w:val="%4."/>
      <w:lvlJc w:val="left"/>
      <w:pPr>
        <w:ind w:left="2553" w:hanging="360"/>
      </w:pPr>
    </w:lvl>
    <w:lvl w:ilvl="4" w:tplc="03F66902" w:tentative="1">
      <w:start w:val="1"/>
      <w:numFmt w:val="lowerLetter"/>
      <w:lvlText w:val="%5."/>
      <w:lvlJc w:val="left"/>
      <w:pPr>
        <w:ind w:left="3273" w:hanging="360"/>
      </w:pPr>
    </w:lvl>
    <w:lvl w:ilvl="5" w:tplc="0A4C5320" w:tentative="1">
      <w:start w:val="1"/>
      <w:numFmt w:val="lowerRoman"/>
      <w:lvlText w:val="%6."/>
      <w:lvlJc w:val="right"/>
      <w:pPr>
        <w:ind w:left="3993" w:hanging="180"/>
      </w:pPr>
    </w:lvl>
    <w:lvl w:ilvl="6" w:tplc="6A6410B2" w:tentative="1">
      <w:start w:val="1"/>
      <w:numFmt w:val="decimal"/>
      <w:lvlText w:val="%7."/>
      <w:lvlJc w:val="left"/>
      <w:pPr>
        <w:ind w:left="4713" w:hanging="360"/>
      </w:pPr>
    </w:lvl>
    <w:lvl w:ilvl="7" w:tplc="DCB231B8" w:tentative="1">
      <w:start w:val="1"/>
      <w:numFmt w:val="lowerLetter"/>
      <w:lvlText w:val="%8."/>
      <w:lvlJc w:val="left"/>
      <w:pPr>
        <w:ind w:left="5433" w:hanging="360"/>
      </w:pPr>
    </w:lvl>
    <w:lvl w:ilvl="8" w:tplc="CD2CA9F4" w:tentative="1">
      <w:start w:val="1"/>
      <w:numFmt w:val="lowerRoman"/>
      <w:lvlText w:val="%9."/>
      <w:lvlJc w:val="right"/>
      <w:pPr>
        <w:ind w:left="6153" w:hanging="180"/>
      </w:pPr>
    </w:lvl>
  </w:abstractNum>
  <w:abstractNum w:abstractNumId="1" w15:restartNumberingAfterBreak="0">
    <w:nsid w:val="066D2903"/>
    <w:multiLevelType w:val="hybridMultilevel"/>
    <w:tmpl w:val="C458E90A"/>
    <w:lvl w:ilvl="0" w:tplc="F5F41388">
      <w:start w:val="1"/>
      <w:numFmt w:val="lowerLetter"/>
      <w:lvlText w:val="(%1)"/>
      <w:lvlJc w:val="left"/>
      <w:pPr>
        <w:ind w:left="393" w:hanging="360"/>
      </w:pPr>
      <w:rPr>
        <w:rFonts w:hint="default"/>
      </w:rPr>
    </w:lvl>
    <w:lvl w:ilvl="1" w:tplc="8F006B32" w:tentative="1">
      <w:start w:val="1"/>
      <w:numFmt w:val="lowerLetter"/>
      <w:lvlText w:val="%2."/>
      <w:lvlJc w:val="left"/>
      <w:pPr>
        <w:ind w:left="1113" w:hanging="360"/>
      </w:pPr>
    </w:lvl>
    <w:lvl w:ilvl="2" w:tplc="BD725D80" w:tentative="1">
      <w:start w:val="1"/>
      <w:numFmt w:val="lowerRoman"/>
      <w:lvlText w:val="%3."/>
      <w:lvlJc w:val="right"/>
      <w:pPr>
        <w:ind w:left="1833" w:hanging="180"/>
      </w:pPr>
    </w:lvl>
    <w:lvl w:ilvl="3" w:tplc="955A0BB6" w:tentative="1">
      <w:start w:val="1"/>
      <w:numFmt w:val="decimal"/>
      <w:lvlText w:val="%4."/>
      <w:lvlJc w:val="left"/>
      <w:pPr>
        <w:ind w:left="2553" w:hanging="360"/>
      </w:pPr>
    </w:lvl>
    <w:lvl w:ilvl="4" w:tplc="AC1ACC74" w:tentative="1">
      <w:start w:val="1"/>
      <w:numFmt w:val="lowerLetter"/>
      <w:lvlText w:val="%5."/>
      <w:lvlJc w:val="left"/>
      <w:pPr>
        <w:ind w:left="3273" w:hanging="360"/>
      </w:pPr>
    </w:lvl>
    <w:lvl w:ilvl="5" w:tplc="0A2A2C28" w:tentative="1">
      <w:start w:val="1"/>
      <w:numFmt w:val="lowerRoman"/>
      <w:lvlText w:val="%6."/>
      <w:lvlJc w:val="right"/>
      <w:pPr>
        <w:ind w:left="3993" w:hanging="180"/>
      </w:pPr>
    </w:lvl>
    <w:lvl w:ilvl="6" w:tplc="771617CA" w:tentative="1">
      <w:start w:val="1"/>
      <w:numFmt w:val="decimal"/>
      <w:lvlText w:val="%7."/>
      <w:lvlJc w:val="left"/>
      <w:pPr>
        <w:ind w:left="4713" w:hanging="360"/>
      </w:pPr>
    </w:lvl>
    <w:lvl w:ilvl="7" w:tplc="ED405172" w:tentative="1">
      <w:start w:val="1"/>
      <w:numFmt w:val="lowerLetter"/>
      <w:lvlText w:val="%8."/>
      <w:lvlJc w:val="left"/>
      <w:pPr>
        <w:ind w:left="5433" w:hanging="360"/>
      </w:pPr>
    </w:lvl>
    <w:lvl w:ilvl="8" w:tplc="10FE5412" w:tentative="1">
      <w:start w:val="1"/>
      <w:numFmt w:val="lowerRoman"/>
      <w:lvlText w:val="%9."/>
      <w:lvlJc w:val="right"/>
      <w:pPr>
        <w:ind w:left="6153" w:hanging="180"/>
      </w:pPr>
    </w:lvl>
  </w:abstractNum>
  <w:abstractNum w:abstractNumId="2" w15:restartNumberingAfterBreak="0">
    <w:nsid w:val="072B1CA5"/>
    <w:multiLevelType w:val="hybridMultilevel"/>
    <w:tmpl w:val="B882CC20"/>
    <w:lvl w:ilvl="0" w:tplc="8AEAA4BE">
      <w:start w:val="1"/>
      <w:numFmt w:val="decimal"/>
      <w:pStyle w:val="Texteavecnumro"/>
      <w:lvlText w:val="%1."/>
      <w:lvlJc w:val="left"/>
      <w:pPr>
        <w:ind w:left="1778" w:hanging="360"/>
      </w:pPr>
      <w:rPr>
        <w:rFonts w:hint="default"/>
        <w:color w:val="auto"/>
        <w:w w:val="100"/>
      </w:rPr>
    </w:lvl>
    <w:lvl w:ilvl="1" w:tplc="982A1D4A" w:tentative="1">
      <w:start w:val="1"/>
      <w:numFmt w:val="lowerLetter"/>
      <w:lvlText w:val="%2."/>
      <w:lvlJc w:val="left"/>
      <w:pPr>
        <w:ind w:left="2498" w:hanging="360"/>
      </w:pPr>
    </w:lvl>
    <w:lvl w:ilvl="2" w:tplc="E1F037FC" w:tentative="1">
      <w:start w:val="1"/>
      <w:numFmt w:val="lowerRoman"/>
      <w:lvlText w:val="%3."/>
      <w:lvlJc w:val="right"/>
      <w:pPr>
        <w:ind w:left="3218" w:hanging="180"/>
      </w:pPr>
    </w:lvl>
    <w:lvl w:ilvl="3" w:tplc="4870401C" w:tentative="1">
      <w:start w:val="1"/>
      <w:numFmt w:val="decimal"/>
      <w:lvlText w:val="%4."/>
      <w:lvlJc w:val="left"/>
      <w:pPr>
        <w:ind w:left="3938" w:hanging="360"/>
      </w:pPr>
    </w:lvl>
    <w:lvl w:ilvl="4" w:tplc="07AA6C0A" w:tentative="1">
      <w:start w:val="1"/>
      <w:numFmt w:val="lowerLetter"/>
      <w:lvlText w:val="%5."/>
      <w:lvlJc w:val="left"/>
      <w:pPr>
        <w:ind w:left="4658" w:hanging="360"/>
      </w:pPr>
    </w:lvl>
    <w:lvl w:ilvl="5" w:tplc="59940672" w:tentative="1">
      <w:start w:val="1"/>
      <w:numFmt w:val="lowerRoman"/>
      <w:lvlText w:val="%6."/>
      <w:lvlJc w:val="right"/>
      <w:pPr>
        <w:ind w:left="5378" w:hanging="180"/>
      </w:pPr>
    </w:lvl>
    <w:lvl w:ilvl="6" w:tplc="C17673F4" w:tentative="1">
      <w:start w:val="1"/>
      <w:numFmt w:val="decimal"/>
      <w:lvlText w:val="%7."/>
      <w:lvlJc w:val="left"/>
      <w:pPr>
        <w:ind w:left="6098" w:hanging="360"/>
      </w:pPr>
    </w:lvl>
    <w:lvl w:ilvl="7" w:tplc="E2BA7446" w:tentative="1">
      <w:start w:val="1"/>
      <w:numFmt w:val="lowerLetter"/>
      <w:lvlText w:val="%8."/>
      <w:lvlJc w:val="left"/>
      <w:pPr>
        <w:ind w:left="6818" w:hanging="360"/>
      </w:pPr>
    </w:lvl>
    <w:lvl w:ilvl="8" w:tplc="1640F0BC" w:tentative="1">
      <w:start w:val="1"/>
      <w:numFmt w:val="lowerRoman"/>
      <w:lvlText w:val="%9."/>
      <w:lvlJc w:val="right"/>
      <w:pPr>
        <w:ind w:left="7538" w:hanging="180"/>
      </w:pPr>
    </w:lvl>
  </w:abstractNum>
  <w:abstractNum w:abstractNumId="3" w15:restartNumberingAfterBreak="0">
    <w:nsid w:val="0C166C6B"/>
    <w:multiLevelType w:val="hybridMultilevel"/>
    <w:tmpl w:val="24DA2972"/>
    <w:lvl w:ilvl="0" w:tplc="B400E77A">
      <w:start w:val="1"/>
      <w:numFmt w:val="lowerLetter"/>
      <w:lvlText w:val="(%1)"/>
      <w:lvlJc w:val="left"/>
      <w:pPr>
        <w:ind w:left="1215" w:hanging="855"/>
      </w:pPr>
      <w:rPr>
        <w:rFonts w:hint="default"/>
      </w:rPr>
    </w:lvl>
    <w:lvl w:ilvl="1" w:tplc="C3FAE90A" w:tentative="1">
      <w:start w:val="1"/>
      <w:numFmt w:val="lowerLetter"/>
      <w:lvlText w:val="%2."/>
      <w:lvlJc w:val="left"/>
      <w:pPr>
        <w:ind w:left="1440" w:hanging="360"/>
      </w:pPr>
    </w:lvl>
    <w:lvl w:ilvl="2" w:tplc="A3C41250" w:tentative="1">
      <w:start w:val="1"/>
      <w:numFmt w:val="lowerRoman"/>
      <w:lvlText w:val="%3."/>
      <w:lvlJc w:val="right"/>
      <w:pPr>
        <w:ind w:left="2160" w:hanging="180"/>
      </w:pPr>
    </w:lvl>
    <w:lvl w:ilvl="3" w:tplc="E8127DA0" w:tentative="1">
      <w:start w:val="1"/>
      <w:numFmt w:val="decimal"/>
      <w:lvlText w:val="%4."/>
      <w:lvlJc w:val="left"/>
      <w:pPr>
        <w:ind w:left="2880" w:hanging="360"/>
      </w:pPr>
    </w:lvl>
    <w:lvl w:ilvl="4" w:tplc="000289F8" w:tentative="1">
      <w:start w:val="1"/>
      <w:numFmt w:val="lowerLetter"/>
      <w:lvlText w:val="%5."/>
      <w:lvlJc w:val="left"/>
      <w:pPr>
        <w:ind w:left="3600" w:hanging="360"/>
      </w:pPr>
    </w:lvl>
    <w:lvl w:ilvl="5" w:tplc="98DCCBC2" w:tentative="1">
      <w:start w:val="1"/>
      <w:numFmt w:val="lowerRoman"/>
      <w:lvlText w:val="%6."/>
      <w:lvlJc w:val="right"/>
      <w:pPr>
        <w:ind w:left="4320" w:hanging="180"/>
      </w:pPr>
    </w:lvl>
    <w:lvl w:ilvl="6" w:tplc="55A8664C" w:tentative="1">
      <w:start w:val="1"/>
      <w:numFmt w:val="decimal"/>
      <w:lvlText w:val="%7."/>
      <w:lvlJc w:val="left"/>
      <w:pPr>
        <w:ind w:left="5040" w:hanging="360"/>
      </w:pPr>
    </w:lvl>
    <w:lvl w:ilvl="7" w:tplc="10F8673C" w:tentative="1">
      <w:start w:val="1"/>
      <w:numFmt w:val="lowerLetter"/>
      <w:lvlText w:val="%8."/>
      <w:lvlJc w:val="left"/>
      <w:pPr>
        <w:ind w:left="5760" w:hanging="360"/>
      </w:pPr>
    </w:lvl>
    <w:lvl w:ilvl="8" w:tplc="E51284D4"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1ABCE19C">
      <w:start w:val="1"/>
      <w:numFmt w:val="bullet"/>
      <w:pStyle w:val="TIRETbul1cm"/>
      <w:lvlText w:val=""/>
      <w:lvlJc w:val="left"/>
      <w:pPr>
        <w:tabs>
          <w:tab w:val="num" w:pos="360"/>
        </w:tabs>
        <w:ind w:left="284" w:hanging="284"/>
      </w:pPr>
      <w:rPr>
        <w:rFonts w:ascii="Symbol" w:hAnsi="Symbol" w:hint="default"/>
      </w:rPr>
    </w:lvl>
    <w:lvl w:ilvl="1" w:tplc="A4C216BA">
      <w:start w:val="1"/>
      <w:numFmt w:val="decimal"/>
      <w:lvlText w:val="%2."/>
      <w:lvlJc w:val="left"/>
      <w:pPr>
        <w:tabs>
          <w:tab w:val="num" w:pos="1157"/>
        </w:tabs>
        <w:ind w:left="1157" w:hanging="360"/>
      </w:pPr>
      <w:rPr>
        <w:rFonts w:hint="default"/>
      </w:rPr>
    </w:lvl>
    <w:lvl w:ilvl="2" w:tplc="3168C7BC" w:tentative="1">
      <w:start w:val="1"/>
      <w:numFmt w:val="bullet"/>
      <w:lvlText w:val=""/>
      <w:lvlJc w:val="left"/>
      <w:pPr>
        <w:tabs>
          <w:tab w:val="num" w:pos="1877"/>
        </w:tabs>
        <w:ind w:left="1877" w:hanging="360"/>
      </w:pPr>
      <w:rPr>
        <w:rFonts w:ascii="Wingdings" w:hAnsi="Wingdings" w:hint="default"/>
      </w:rPr>
    </w:lvl>
    <w:lvl w:ilvl="3" w:tplc="10CCC4EC" w:tentative="1">
      <w:start w:val="1"/>
      <w:numFmt w:val="bullet"/>
      <w:lvlText w:val=""/>
      <w:lvlJc w:val="left"/>
      <w:pPr>
        <w:tabs>
          <w:tab w:val="num" w:pos="2597"/>
        </w:tabs>
        <w:ind w:left="2597" w:hanging="360"/>
      </w:pPr>
      <w:rPr>
        <w:rFonts w:ascii="Symbol" w:hAnsi="Symbol" w:hint="default"/>
      </w:rPr>
    </w:lvl>
    <w:lvl w:ilvl="4" w:tplc="32BE2C7E" w:tentative="1">
      <w:start w:val="1"/>
      <w:numFmt w:val="bullet"/>
      <w:lvlText w:val="o"/>
      <w:lvlJc w:val="left"/>
      <w:pPr>
        <w:tabs>
          <w:tab w:val="num" w:pos="3317"/>
        </w:tabs>
        <w:ind w:left="3317" w:hanging="360"/>
      </w:pPr>
      <w:rPr>
        <w:rFonts w:ascii="Courier New" w:hAnsi="Courier New" w:hint="default"/>
      </w:rPr>
    </w:lvl>
    <w:lvl w:ilvl="5" w:tplc="4154B5E4" w:tentative="1">
      <w:start w:val="1"/>
      <w:numFmt w:val="bullet"/>
      <w:lvlText w:val=""/>
      <w:lvlJc w:val="left"/>
      <w:pPr>
        <w:tabs>
          <w:tab w:val="num" w:pos="4037"/>
        </w:tabs>
        <w:ind w:left="4037" w:hanging="360"/>
      </w:pPr>
      <w:rPr>
        <w:rFonts w:ascii="Wingdings" w:hAnsi="Wingdings" w:hint="default"/>
      </w:rPr>
    </w:lvl>
    <w:lvl w:ilvl="6" w:tplc="7C8C8476" w:tentative="1">
      <w:start w:val="1"/>
      <w:numFmt w:val="bullet"/>
      <w:lvlText w:val=""/>
      <w:lvlJc w:val="left"/>
      <w:pPr>
        <w:tabs>
          <w:tab w:val="num" w:pos="4757"/>
        </w:tabs>
        <w:ind w:left="4757" w:hanging="360"/>
      </w:pPr>
      <w:rPr>
        <w:rFonts w:ascii="Symbol" w:hAnsi="Symbol" w:hint="default"/>
      </w:rPr>
    </w:lvl>
    <w:lvl w:ilvl="7" w:tplc="2A44CD3A" w:tentative="1">
      <w:start w:val="1"/>
      <w:numFmt w:val="bullet"/>
      <w:lvlText w:val="o"/>
      <w:lvlJc w:val="left"/>
      <w:pPr>
        <w:tabs>
          <w:tab w:val="num" w:pos="5477"/>
        </w:tabs>
        <w:ind w:left="5477" w:hanging="360"/>
      </w:pPr>
      <w:rPr>
        <w:rFonts w:ascii="Courier New" w:hAnsi="Courier New" w:hint="default"/>
      </w:rPr>
    </w:lvl>
    <w:lvl w:ilvl="8" w:tplc="E3700164"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5934AAA"/>
    <w:multiLevelType w:val="hybridMultilevel"/>
    <w:tmpl w:val="C458E90A"/>
    <w:lvl w:ilvl="0" w:tplc="64C67B8E">
      <w:start w:val="1"/>
      <w:numFmt w:val="lowerLetter"/>
      <w:lvlText w:val="(%1)"/>
      <w:lvlJc w:val="left"/>
      <w:pPr>
        <w:ind w:left="393" w:hanging="360"/>
      </w:pPr>
      <w:rPr>
        <w:rFonts w:hint="default"/>
      </w:rPr>
    </w:lvl>
    <w:lvl w:ilvl="1" w:tplc="60EC9E72" w:tentative="1">
      <w:start w:val="1"/>
      <w:numFmt w:val="lowerLetter"/>
      <w:lvlText w:val="%2."/>
      <w:lvlJc w:val="left"/>
      <w:pPr>
        <w:ind w:left="1113" w:hanging="360"/>
      </w:pPr>
    </w:lvl>
    <w:lvl w:ilvl="2" w:tplc="001EEFC6" w:tentative="1">
      <w:start w:val="1"/>
      <w:numFmt w:val="lowerRoman"/>
      <w:lvlText w:val="%3."/>
      <w:lvlJc w:val="right"/>
      <w:pPr>
        <w:ind w:left="1833" w:hanging="180"/>
      </w:pPr>
    </w:lvl>
    <w:lvl w:ilvl="3" w:tplc="0F50B322" w:tentative="1">
      <w:start w:val="1"/>
      <w:numFmt w:val="decimal"/>
      <w:lvlText w:val="%4."/>
      <w:lvlJc w:val="left"/>
      <w:pPr>
        <w:ind w:left="2553" w:hanging="360"/>
      </w:pPr>
    </w:lvl>
    <w:lvl w:ilvl="4" w:tplc="D3E0EA7E" w:tentative="1">
      <w:start w:val="1"/>
      <w:numFmt w:val="lowerLetter"/>
      <w:lvlText w:val="%5."/>
      <w:lvlJc w:val="left"/>
      <w:pPr>
        <w:ind w:left="3273" w:hanging="360"/>
      </w:pPr>
    </w:lvl>
    <w:lvl w:ilvl="5" w:tplc="84A431A0" w:tentative="1">
      <w:start w:val="1"/>
      <w:numFmt w:val="lowerRoman"/>
      <w:lvlText w:val="%6."/>
      <w:lvlJc w:val="right"/>
      <w:pPr>
        <w:ind w:left="3993" w:hanging="180"/>
      </w:pPr>
    </w:lvl>
    <w:lvl w:ilvl="6" w:tplc="4462E79C" w:tentative="1">
      <w:start w:val="1"/>
      <w:numFmt w:val="decimal"/>
      <w:lvlText w:val="%7."/>
      <w:lvlJc w:val="left"/>
      <w:pPr>
        <w:ind w:left="4713" w:hanging="360"/>
      </w:pPr>
    </w:lvl>
    <w:lvl w:ilvl="7" w:tplc="FE0A6A5C" w:tentative="1">
      <w:start w:val="1"/>
      <w:numFmt w:val="lowerLetter"/>
      <w:lvlText w:val="%8."/>
      <w:lvlJc w:val="left"/>
      <w:pPr>
        <w:ind w:left="5433" w:hanging="360"/>
      </w:pPr>
    </w:lvl>
    <w:lvl w:ilvl="8" w:tplc="E69C8450" w:tentative="1">
      <w:start w:val="1"/>
      <w:numFmt w:val="lowerRoman"/>
      <w:lvlText w:val="%9."/>
      <w:lvlJc w:val="right"/>
      <w:pPr>
        <w:ind w:left="6153" w:hanging="180"/>
      </w:pPr>
    </w:lvl>
  </w:abstractNum>
  <w:abstractNum w:abstractNumId="6" w15:restartNumberingAfterBreak="0">
    <w:nsid w:val="27B6374F"/>
    <w:multiLevelType w:val="hybridMultilevel"/>
    <w:tmpl w:val="C73CCA46"/>
    <w:lvl w:ilvl="0" w:tplc="B51EDA16">
      <w:start w:val="1"/>
      <w:numFmt w:val="lowerRoman"/>
      <w:lvlText w:val="%1."/>
      <w:lvlJc w:val="left"/>
      <w:pPr>
        <w:ind w:left="1507" w:hanging="720"/>
      </w:pPr>
      <w:rPr>
        <w:rFonts w:hint="default"/>
      </w:rPr>
    </w:lvl>
    <w:lvl w:ilvl="1" w:tplc="19008D9A" w:tentative="1">
      <w:start w:val="1"/>
      <w:numFmt w:val="lowerLetter"/>
      <w:lvlText w:val="%2."/>
      <w:lvlJc w:val="left"/>
      <w:pPr>
        <w:ind w:left="1867" w:hanging="360"/>
      </w:pPr>
    </w:lvl>
    <w:lvl w:ilvl="2" w:tplc="D28CD35A" w:tentative="1">
      <w:start w:val="1"/>
      <w:numFmt w:val="lowerRoman"/>
      <w:lvlText w:val="%3."/>
      <w:lvlJc w:val="right"/>
      <w:pPr>
        <w:ind w:left="2587" w:hanging="180"/>
      </w:pPr>
    </w:lvl>
    <w:lvl w:ilvl="3" w:tplc="CE7CE094" w:tentative="1">
      <w:start w:val="1"/>
      <w:numFmt w:val="decimal"/>
      <w:lvlText w:val="%4."/>
      <w:lvlJc w:val="left"/>
      <w:pPr>
        <w:ind w:left="3307" w:hanging="360"/>
      </w:pPr>
    </w:lvl>
    <w:lvl w:ilvl="4" w:tplc="17DCCB90" w:tentative="1">
      <w:start w:val="1"/>
      <w:numFmt w:val="lowerLetter"/>
      <w:lvlText w:val="%5."/>
      <w:lvlJc w:val="left"/>
      <w:pPr>
        <w:ind w:left="4027" w:hanging="360"/>
      </w:pPr>
    </w:lvl>
    <w:lvl w:ilvl="5" w:tplc="DB2E1AB0" w:tentative="1">
      <w:start w:val="1"/>
      <w:numFmt w:val="lowerRoman"/>
      <w:lvlText w:val="%6."/>
      <w:lvlJc w:val="right"/>
      <w:pPr>
        <w:ind w:left="4747" w:hanging="180"/>
      </w:pPr>
    </w:lvl>
    <w:lvl w:ilvl="6" w:tplc="29283B38" w:tentative="1">
      <w:start w:val="1"/>
      <w:numFmt w:val="decimal"/>
      <w:lvlText w:val="%7."/>
      <w:lvlJc w:val="left"/>
      <w:pPr>
        <w:ind w:left="5467" w:hanging="360"/>
      </w:pPr>
    </w:lvl>
    <w:lvl w:ilvl="7" w:tplc="387C3FFA" w:tentative="1">
      <w:start w:val="1"/>
      <w:numFmt w:val="lowerLetter"/>
      <w:lvlText w:val="%8."/>
      <w:lvlJc w:val="left"/>
      <w:pPr>
        <w:ind w:left="6187" w:hanging="360"/>
      </w:pPr>
    </w:lvl>
    <w:lvl w:ilvl="8" w:tplc="C930BB50" w:tentative="1">
      <w:start w:val="1"/>
      <w:numFmt w:val="lowerRoman"/>
      <w:lvlText w:val="%9."/>
      <w:lvlJc w:val="right"/>
      <w:pPr>
        <w:ind w:left="6907" w:hanging="180"/>
      </w:pPr>
    </w:lvl>
  </w:abstractNum>
  <w:abstractNum w:abstractNumId="7" w15:restartNumberingAfterBreak="0">
    <w:nsid w:val="28964627"/>
    <w:multiLevelType w:val="hybridMultilevel"/>
    <w:tmpl w:val="24DA2972"/>
    <w:lvl w:ilvl="0" w:tplc="53A09170">
      <w:start w:val="1"/>
      <w:numFmt w:val="lowerLetter"/>
      <w:lvlText w:val="(%1)"/>
      <w:lvlJc w:val="left"/>
      <w:pPr>
        <w:ind w:left="1215" w:hanging="855"/>
      </w:pPr>
      <w:rPr>
        <w:rFonts w:hint="default"/>
      </w:rPr>
    </w:lvl>
    <w:lvl w:ilvl="1" w:tplc="DDC8C254" w:tentative="1">
      <w:start w:val="1"/>
      <w:numFmt w:val="lowerLetter"/>
      <w:lvlText w:val="%2."/>
      <w:lvlJc w:val="left"/>
      <w:pPr>
        <w:ind w:left="1440" w:hanging="360"/>
      </w:pPr>
    </w:lvl>
    <w:lvl w:ilvl="2" w:tplc="A9ACCBD2" w:tentative="1">
      <w:start w:val="1"/>
      <w:numFmt w:val="lowerRoman"/>
      <w:lvlText w:val="%3."/>
      <w:lvlJc w:val="right"/>
      <w:pPr>
        <w:ind w:left="2160" w:hanging="180"/>
      </w:pPr>
    </w:lvl>
    <w:lvl w:ilvl="3" w:tplc="ACF00730" w:tentative="1">
      <w:start w:val="1"/>
      <w:numFmt w:val="decimal"/>
      <w:lvlText w:val="%4."/>
      <w:lvlJc w:val="left"/>
      <w:pPr>
        <w:ind w:left="2880" w:hanging="360"/>
      </w:pPr>
    </w:lvl>
    <w:lvl w:ilvl="4" w:tplc="194025CE" w:tentative="1">
      <w:start w:val="1"/>
      <w:numFmt w:val="lowerLetter"/>
      <w:lvlText w:val="%5."/>
      <w:lvlJc w:val="left"/>
      <w:pPr>
        <w:ind w:left="3600" w:hanging="360"/>
      </w:pPr>
    </w:lvl>
    <w:lvl w:ilvl="5" w:tplc="C26EA95E" w:tentative="1">
      <w:start w:val="1"/>
      <w:numFmt w:val="lowerRoman"/>
      <w:lvlText w:val="%6."/>
      <w:lvlJc w:val="right"/>
      <w:pPr>
        <w:ind w:left="4320" w:hanging="180"/>
      </w:pPr>
    </w:lvl>
    <w:lvl w:ilvl="6" w:tplc="0A6AF39E" w:tentative="1">
      <w:start w:val="1"/>
      <w:numFmt w:val="decimal"/>
      <w:lvlText w:val="%7."/>
      <w:lvlJc w:val="left"/>
      <w:pPr>
        <w:ind w:left="5040" w:hanging="360"/>
      </w:pPr>
    </w:lvl>
    <w:lvl w:ilvl="7" w:tplc="7ABACEDE" w:tentative="1">
      <w:start w:val="1"/>
      <w:numFmt w:val="lowerLetter"/>
      <w:lvlText w:val="%8."/>
      <w:lvlJc w:val="left"/>
      <w:pPr>
        <w:ind w:left="5760" w:hanging="360"/>
      </w:pPr>
    </w:lvl>
    <w:lvl w:ilvl="8" w:tplc="B426BB7E" w:tentative="1">
      <w:start w:val="1"/>
      <w:numFmt w:val="lowerRoman"/>
      <w:lvlText w:val="%9."/>
      <w:lvlJc w:val="right"/>
      <w:pPr>
        <w:ind w:left="6480" w:hanging="180"/>
      </w:pPr>
    </w:lvl>
  </w:abstractNum>
  <w:abstractNum w:abstractNumId="8" w15:restartNumberingAfterBreak="0">
    <w:nsid w:val="2DF1334E"/>
    <w:multiLevelType w:val="hybridMultilevel"/>
    <w:tmpl w:val="C1EE7A7E"/>
    <w:lvl w:ilvl="0" w:tplc="09E27364">
      <w:start w:val="1"/>
      <w:numFmt w:val="lowerLetter"/>
      <w:lvlText w:val="(%1)"/>
      <w:lvlJc w:val="left"/>
      <w:pPr>
        <w:ind w:left="855" w:hanging="495"/>
      </w:pPr>
      <w:rPr>
        <w:rFonts w:hint="default"/>
      </w:rPr>
    </w:lvl>
    <w:lvl w:ilvl="1" w:tplc="1F1E098C" w:tentative="1">
      <w:start w:val="1"/>
      <w:numFmt w:val="lowerLetter"/>
      <w:lvlText w:val="%2."/>
      <w:lvlJc w:val="left"/>
      <w:pPr>
        <w:ind w:left="1440" w:hanging="360"/>
      </w:pPr>
    </w:lvl>
    <w:lvl w:ilvl="2" w:tplc="A73045F0" w:tentative="1">
      <w:start w:val="1"/>
      <w:numFmt w:val="lowerRoman"/>
      <w:lvlText w:val="%3."/>
      <w:lvlJc w:val="right"/>
      <w:pPr>
        <w:ind w:left="2160" w:hanging="180"/>
      </w:pPr>
    </w:lvl>
    <w:lvl w:ilvl="3" w:tplc="57FE3E4E" w:tentative="1">
      <w:start w:val="1"/>
      <w:numFmt w:val="decimal"/>
      <w:lvlText w:val="%4."/>
      <w:lvlJc w:val="left"/>
      <w:pPr>
        <w:ind w:left="2880" w:hanging="360"/>
      </w:pPr>
    </w:lvl>
    <w:lvl w:ilvl="4" w:tplc="C290A152" w:tentative="1">
      <w:start w:val="1"/>
      <w:numFmt w:val="lowerLetter"/>
      <w:lvlText w:val="%5."/>
      <w:lvlJc w:val="left"/>
      <w:pPr>
        <w:ind w:left="3600" w:hanging="360"/>
      </w:pPr>
    </w:lvl>
    <w:lvl w:ilvl="5" w:tplc="4B9020F2" w:tentative="1">
      <w:start w:val="1"/>
      <w:numFmt w:val="lowerRoman"/>
      <w:lvlText w:val="%6."/>
      <w:lvlJc w:val="right"/>
      <w:pPr>
        <w:ind w:left="4320" w:hanging="180"/>
      </w:pPr>
    </w:lvl>
    <w:lvl w:ilvl="6" w:tplc="61CA0910" w:tentative="1">
      <w:start w:val="1"/>
      <w:numFmt w:val="decimal"/>
      <w:lvlText w:val="%7."/>
      <w:lvlJc w:val="left"/>
      <w:pPr>
        <w:ind w:left="5040" w:hanging="360"/>
      </w:pPr>
    </w:lvl>
    <w:lvl w:ilvl="7" w:tplc="03EA7D8C" w:tentative="1">
      <w:start w:val="1"/>
      <w:numFmt w:val="lowerLetter"/>
      <w:lvlText w:val="%8."/>
      <w:lvlJc w:val="left"/>
      <w:pPr>
        <w:ind w:left="5760" w:hanging="360"/>
      </w:pPr>
    </w:lvl>
    <w:lvl w:ilvl="8" w:tplc="C5CE16D0" w:tentative="1">
      <w:start w:val="1"/>
      <w:numFmt w:val="lowerRoman"/>
      <w:lvlText w:val="%9."/>
      <w:lvlJc w:val="right"/>
      <w:pPr>
        <w:ind w:left="6480" w:hanging="180"/>
      </w:pPr>
    </w:lvl>
  </w:abstractNum>
  <w:abstractNum w:abstractNumId="9" w15:restartNumberingAfterBreak="0">
    <w:nsid w:val="30945F3A"/>
    <w:multiLevelType w:val="hybridMultilevel"/>
    <w:tmpl w:val="C458E90A"/>
    <w:lvl w:ilvl="0" w:tplc="8C96BDF6">
      <w:start w:val="1"/>
      <w:numFmt w:val="lowerLetter"/>
      <w:lvlText w:val="(%1)"/>
      <w:lvlJc w:val="left"/>
      <w:pPr>
        <w:ind w:left="393" w:hanging="360"/>
      </w:pPr>
      <w:rPr>
        <w:rFonts w:hint="default"/>
      </w:rPr>
    </w:lvl>
    <w:lvl w:ilvl="1" w:tplc="21FE7E08" w:tentative="1">
      <w:start w:val="1"/>
      <w:numFmt w:val="lowerLetter"/>
      <w:lvlText w:val="%2."/>
      <w:lvlJc w:val="left"/>
      <w:pPr>
        <w:ind w:left="1113" w:hanging="360"/>
      </w:pPr>
    </w:lvl>
    <w:lvl w:ilvl="2" w:tplc="5DBEA172" w:tentative="1">
      <w:start w:val="1"/>
      <w:numFmt w:val="lowerRoman"/>
      <w:lvlText w:val="%3."/>
      <w:lvlJc w:val="right"/>
      <w:pPr>
        <w:ind w:left="1833" w:hanging="180"/>
      </w:pPr>
    </w:lvl>
    <w:lvl w:ilvl="3" w:tplc="2112FF12" w:tentative="1">
      <w:start w:val="1"/>
      <w:numFmt w:val="decimal"/>
      <w:lvlText w:val="%4."/>
      <w:lvlJc w:val="left"/>
      <w:pPr>
        <w:ind w:left="2553" w:hanging="360"/>
      </w:pPr>
    </w:lvl>
    <w:lvl w:ilvl="4" w:tplc="D9088B44" w:tentative="1">
      <w:start w:val="1"/>
      <w:numFmt w:val="lowerLetter"/>
      <w:lvlText w:val="%5."/>
      <w:lvlJc w:val="left"/>
      <w:pPr>
        <w:ind w:left="3273" w:hanging="360"/>
      </w:pPr>
    </w:lvl>
    <w:lvl w:ilvl="5" w:tplc="359CFA4E" w:tentative="1">
      <w:start w:val="1"/>
      <w:numFmt w:val="lowerRoman"/>
      <w:lvlText w:val="%6."/>
      <w:lvlJc w:val="right"/>
      <w:pPr>
        <w:ind w:left="3993" w:hanging="180"/>
      </w:pPr>
    </w:lvl>
    <w:lvl w:ilvl="6" w:tplc="1BB2E03A" w:tentative="1">
      <w:start w:val="1"/>
      <w:numFmt w:val="decimal"/>
      <w:lvlText w:val="%7."/>
      <w:lvlJc w:val="left"/>
      <w:pPr>
        <w:ind w:left="4713" w:hanging="360"/>
      </w:pPr>
    </w:lvl>
    <w:lvl w:ilvl="7" w:tplc="9786772E" w:tentative="1">
      <w:start w:val="1"/>
      <w:numFmt w:val="lowerLetter"/>
      <w:lvlText w:val="%8."/>
      <w:lvlJc w:val="left"/>
      <w:pPr>
        <w:ind w:left="5433" w:hanging="360"/>
      </w:pPr>
    </w:lvl>
    <w:lvl w:ilvl="8" w:tplc="B9265524" w:tentative="1">
      <w:start w:val="1"/>
      <w:numFmt w:val="lowerRoman"/>
      <w:lvlText w:val="%9."/>
      <w:lvlJc w:val="right"/>
      <w:pPr>
        <w:ind w:left="6153" w:hanging="180"/>
      </w:pPr>
    </w:lvl>
  </w:abstractNum>
  <w:abstractNum w:abstractNumId="10" w15:restartNumberingAfterBreak="0">
    <w:nsid w:val="35F07BFE"/>
    <w:multiLevelType w:val="hybridMultilevel"/>
    <w:tmpl w:val="4C7CAA2C"/>
    <w:lvl w:ilvl="0" w:tplc="90988514">
      <w:start w:val="1"/>
      <w:numFmt w:val="decimal"/>
      <w:pStyle w:val="COMPara"/>
      <w:lvlText w:val="%1."/>
      <w:lvlJc w:val="left"/>
      <w:pPr>
        <w:ind w:left="720" w:hanging="360"/>
      </w:pPr>
    </w:lvl>
    <w:lvl w:ilvl="1" w:tplc="BB005EA8">
      <w:start w:val="1"/>
      <w:numFmt w:val="lowerLetter"/>
      <w:lvlText w:val="%2."/>
      <w:lvlJc w:val="left"/>
      <w:pPr>
        <w:ind w:left="1440" w:hanging="360"/>
      </w:pPr>
    </w:lvl>
    <w:lvl w:ilvl="2" w:tplc="BBF67A4A">
      <w:start w:val="1"/>
      <w:numFmt w:val="lowerRoman"/>
      <w:lvlText w:val="%3."/>
      <w:lvlJc w:val="right"/>
      <w:pPr>
        <w:ind w:left="2160" w:hanging="180"/>
      </w:pPr>
    </w:lvl>
    <w:lvl w:ilvl="3" w:tplc="D5FA5D5E">
      <w:start w:val="1"/>
      <w:numFmt w:val="decimal"/>
      <w:lvlText w:val="%4."/>
      <w:lvlJc w:val="left"/>
      <w:pPr>
        <w:ind w:left="2880" w:hanging="360"/>
      </w:pPr>
    </w:lvl>
    <w:lvl w:ilvl="4" w:tplc="35729F1E" w:tentative="1">
      <w:start w:val="1"/>
      <w:numFmt w:val="lowerLetter"/>
      <w:lvlText w:val="%5."/>
      <w:lvlJc w:val="left"/>
      <w:pPr>
        <w:ind w:left="3600" w:hanging="360"/>
      </w:pPr>
    </w:lvl>
    <w:lvl w:ilvl="5" w:tplc="BA8E8DF0" w:tentative="1">
      <w:start w:val="1"/>
      <w:numFmt w:val="lowerRoman"/>
      <w:lvlText w:val="%6."/>
      <w:lvlJc w:val="right"/>
      <w:pPr>
        <w:ind w:left="4320" w:hanging="180"/>
      </w:pPr>
    </w:lvl>
    <w:lvl w:ilvl="6" w:tplc="C79C3EEC" w:tentative="1">
      <w:start w:val="1"/>
      <w:numFmt w:val="decimal"/>
      <w:lvlText w:val="%7."/>
      <w:lvlJc w:val="left"/>
      <w:pPr>
        <w:ind w:left="5040" w:hanging="360"/>
      </w:pPr>
    </w:lvl>
    <w:lvl w:ilvl="7" w:tplc="56BA9306" w:tentative="1">
      <w:start w:val="1"/>
      <w:numFmt w:val="lowerLetter"/>
      <w:lvlText w:val="%8."/>
      <w:lvlJc w:val="left"/>
      <w:pPr>
        <w:ind w:left="5760" w:hanging="360"/>
      </w:pPr>
    </w:lvl>
    <w:lvl w:ilvl="8" w:tplc="F8AA27D8" w:tentative="1">
      <w:start w:val="1"/>
      <w:numFmt w:val="lowerRoman"/>
      <w:lvlText w:val="%9."/>
      <w:lvlJc w:val="right"/>
      <w:pPr>
        <w:ind w:left="6480" w:hanging="180"/>
      </w:pPr>
    </w:lvl>
  </w:abstractNum>
  <w:abstractNum w:abstractNumId="11" w15:restartNumberingAfterBreak="0">
    <w:nsid w:val="395B111E"/>
    <w:multiLevelType w:val="hybridMultilevel"/>
    <w:tmpl w:val="24DA2972"/>
    <w:lvl w:ilvl="0" w:tplc="9750513C">
      <w:start w:val="1"/>
      <w:numFmt w:val="lowerLetter"/>
      <w:lvlText w:val="(%1)"/>
      <w:lvlJc w:val="left"/>
      <w:pPr>
        <w:ind w:left="1215" w:hanging="855"/>
      </w:pPr>
      <w:rPr>
        <w:rFonts w:hint="default"/>
      </w:rPr>
    </w:lvl>
    <w:lvl w:ilvl="1" w:tplc="DB409FE2" w:tentative="1">
      <w:start w:val="1"/>
      <w:numFmt w:val="lowerLetter"/>
      <w:lvlText w:val="%2."/>
      <w:lvlJc w:val="left"/>
      <w:pPr>
        <w:ind w:left="1440" w:hanging="360"/>
      </w:pPr>
    </w:lvl>
    <w:lvl w:ilvl="2" w:tplc="4B04353E" w:tentative="1">
      <w:start w:val="1"/>
      <w:numFmt w:val="lowerRoman"/>
      <w:lvlText w:val="%3."/>
      <w:lvlJc w:val="right"/>
      <w:pPr>
        <w:ind w:left="2160" w:hanging="180"/>
      </w:pPr>
    </w:lvl>
    <w:lvl w:ilvl="3" w:tplc="15165B36" w:tentative="1">
      <w:start w:val="1"/>
      <w:numFmt w:val="decimal"/>
      <w:lvlText w:val="%4."/>
      <w:lvlJc w:val="left"/>
      <w:pPr>
        <w:ind w:left="2880" w:hanging="360"/>
      </w:pPr>
    </w:lvl>
    <w:lvl w:ilvl="4" w:tplc="9982A9BE" w:tentative="1">
      <w:start w:val="1"/>
      <w:numFmt w:val="lowerLetter"/>
      <w:lvlText w:val="%5."/>
      <w:lvlJc w:val="left"/>
      <w:pPr>
        <w:ind w:left="3600" w:hanging="360"/>
      </w:pPr>
    </w:lvl>
    <w:lvl w:ilvl="5" w:tplc="800EF708" w:tentative="1">
      <w:start w:val="1"/>
      <w:numFmt w:val="lowerRoman"/>
      <w:lvlText w:val="%6."/>
      <w:lvlJc w:val="right"/>
      <w:pPr>
        <w:ind w:left="4320" w:hanging="180"/>
      </w:pPr>
    </w:lvl>
    <w:lvl w:ilvl="6" w:tplc="B140790C" w:tentative="1">
      <w:start w:val="1"/>
      <w:numFmt w:val="decimal"/>
      <w:lvlText w:val="%7."/>
      <w:lvlJc w:val="left"/>
      <w:pPr>
        <w:ind w:left="5040" w:hanging="360"/>
      </w:pPr>
    </w:lvl>
    <w:lvl w:ilvl="7" w:tplc="2E34E46A" w:tentative="1">
      <w:start w:val="1"/>
      <w:numFmt w:val="lowerLetter"/>
      <w:lvlText w:val="%8."/>
      <w:lvlJc w:val="left"/>
      <w:pPr>
        <w:ind w:left="5760" w:hanging="360"/>
      </w:pPr>
    </w:lvl>
    <w:lvl w:ilvl="8" w:tplc="46208F5C"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3892BB68">
      <w:start w:val="1"/>
      <w:numFmt w:val="decimal"/>
      <w:pStyle w:val="COMParaDecision"/>
      <w:lvlText w:val="%1."/>
      <w:lvlJc w:val="left"/>
      <w:pPr>
        <w:ind w:left="1287" w:hanging="360"/>
      </w:pPr>
    </w:lvl>
    <w:lvl w:ilvl="1" w:tplc="1562A634" w:tentative="1">
      <w:start w:val="1"/>
      <w:numFmt w:val="lowerLetter"/>
      <w:lvlText w:val="%2."/>
      <w:lvlJc w:val="left"/>
      <w:pPr>
        <w:ind w:left="2007" w:hanging="360"/>
      </w:pPr>
    </w:lvl>
    <w:lvl w:ilvl="2" w:tplc="C9B005A4" w:tentative="1">
      <w:start w:val="1"/>
      <w:numFmt w:val="lowerRoman"/>
      <w:lvlText w:val="%3."/>
      <w:lvlJc w:val="right"/>
      <w:pPr>
        <w:ind w:left="2727" w:hanging="180"/>
      </w:pPr>
    </w:lvl>
    <w:lvl w:ilvl="3" w:tplc="DA9AECB8" w:tentative="1">
      <w:start w:val="1"/>
      <w:numFmt w:val="decimal"/>
      <w:lvlText w:val="%4."/>
      <w:lvlJc w:val="left"/>
      <w:pPr>
        <w:ind w:left="3447" w:hanging="360"/>
      </w:pPr>
    </w:lvl>
    <w:lvl w:ilvl="4" w:tplc="DA0E0630" w:tentative="1">
      <w:start w:val="1"/>
      <w:numFmt w:val="lowerLetter"/>
      <w:lvlText w:val="%5."/>
      <w:lvlJc w:val="left"/>
      <w:pPr>
        <w:ind w:left="4167" w:hanging="360"/>
      </w:pPr>
    </w:lvl>
    <w:lvl w:ilvl="5" w:tplc="9F60AC56" w:tentative="1">
      <w:start w:val="1"/>
      <w:numFmt w:val="lowerRoman"/>
      <w:lvlText w:val="%6."/>
      <w:lvlJc w:val="right"/>
      <w:pPr>
        <w:ind w:left="4887" w:hanging="180"/>
      </w:pPr>
    </w:lvl>
    <w:lvl w:ilvl="6" w:tplc="F74EF0EC" w:tentative="1">
      <w:start w:val="1"/>
      <w:numFmt w:val="decimal"/>
      <w:lvlText w:val="%7."/>
      <w:lvlJc w:val="left"/>
      <w:pPr>
        <w:ind w:left="5607" w:hanging="360"/>
      </w:pPr>
    </w:lvl>
    <w:lvl w:ilvl="7" w:tplc="32A68126" w:tentative="1">
      <w:start w:val="1"/>
      <w:numFmt w:val="lowerLetter"/>
      <w:lvlText w:val="%8."/>
      <w:lvlJc w:val="left"/>
      <w:pPr>
        <w:ind w:left="6327" w:hanging="360"/>
      </w:pPr>
    </w:lvl>
    <w:lvl w:ilvl="8" w:tplc="1C4CDE8A"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862A8A4E">
      <w:start w:val="1"/>
      <w:numFmt w:val="upperRoman"/>
      <w:pStyle w:val="Heading4"/>
      <w:lvlText w:val="%1."/>
      <w:lvlJc w:val="right"/>
      <w:pPr>
        <w:ind w:left="720" w:hanging="360"/>
      </w:pPr>
      <w:rPr>
        <w:rFonts w:hint="default"/>
        <w:b/>
        <w:i w:val="0"/>
      </w:rPr>
    </w:lvl>
    <w:lvl w:ilvl="1" w:tplc="78ACD028" w:tentative="1">
      <w:start w:val="1"/>
      <w:numFmt w:val="lowerLetter"/>
      <w:lvlText w:val="%2."/>
      <w:lvlJc w:val="left"/>
      <w:pPr>
        <w:ind w:left="1440" w:hanging="360"/>
      </w:pPr>
    </w:lvl>
    <w:lvl w:ilvl="2" w:tplc="2474D20E" w:tentative="1">
      <w:start w:val="1"/>
      <w:numFmt w:val="lowerRoman"/>
      <w:lvlText w:val="%3."/>
      <w:lvlJc w:val="right"/>
      <w:pPr>
        <w:ind w:left="2160" w:hanging="180"/>
      </w:pPr>
    </w:lvl>
    <w:lvl w:ilvl="3" w:tplc="23A241D8" w:tentative="1">
      <w:start w:val="1"/>
      <w:numFmt w:val="decimal"/>
      <w:lvlText w:val="%4."/>
      <w:lvlJc w:val="left"/>
      <w:pPr>
        <w:ind w:left="2880" w:hanging="360"/>
      </w:pPr>
    </w:lvl>
    <w:lvl w:ilvl="4" w:tplc="83108FBA" w:tentative="1">
      <w:start w:val="1"/>
      <w:numFmt w:val="lowerLetter"/>
      <w:lvlText w:val="%5."/>
      <w:lvlJc w:val="left"/>
      <w:pPr>
        <w:ind w:left="3600" w:hanging="360"/>
      </w:pPr>
    </w:lvl>
    <w:lvl w:ilvl="5" w:tplc="7F0695AA" w:tentative="1">
      <w:start w:val="1"/>
      <w:numFmt w:val="lowerRoman"/>
      <w:lvlText w:val="%6."/>
      <w:lvlJc w:val="right"/>
      <w:pPr>
        <w:ind w:left="4320" w:hanging="180"/>
      </w:pPr>
    </w:lvl>
    <w:lvl w:ilvl="6" w:tplc="2C44ADB4" w:tentative="1">
      <w:start w:val="1"/>
      <w:numFmt w:val="decimal"/>
      <w:lvlText w:val="%7."/>
      <w:lvlJc w:val="left"/>
      <w:pPr>
        <w:ind w:left="5040" w:hanging="360"/>
      </w:pPr>
    </w:lvl>
    <w:lvl w:ilvl="7" w:tplc="614E6FFC" w:tentative="1">
      <w:start w:val="1"/>
      <w:numFmt w:val="lowerLetter"/>
      <w:lvlText w:val="%8."/>
      <w:lvlJc w:val="left"/>
      <w:pPr>
        <w:ind w:left="5760" w:hanging="360"/>
      </w:pPr>
    </w:lvl>
    <w:lvl w:ilvl="8" w:tplc="91C6DC2E" w:tentative="1">
      <w:start w:val="1"/>
      <w:numFmt w:val="lowerRoman"/>
      <w:lvlText w:val="%9."/>
      <w:lvlJc w:val="right"/>
      <w:pPr>
        <w:ind w:left="6480" w:hanging="180"/>
      </w:pPr>
    </w:lvl>
  </w:abstractNum>
  <w:abstractNum w:abstractNumId="14" w15:restartNumberingAfterBreak="0">
    <w:nsid w:val="47C22FB2"/>
    <w:multiLevelType w:val="hybridMultilevel"/>
    <w:tmpl w:val="C458E90A"/>
    <w:lvl w:ilvl="0" w:tplc="559EDE9E">
      <w:start w:val="1"/>
      <w:numFmt w:val="lowerLetter"/>
      <w:lvlText w:val="(%1)"/>
      <w:lvlJc w:val="left"/>
      <w:pPr>
        <w:ind w:left="393" w:hanging="360"/>
      </w:pPr>
      <w:rPr>
        <w:rFonts w:hint="default"/>
      </w:rPr>
    </w:lvl>
    <w:lvl w:ilvl="1" w:tplc="DBD03E0E" w:tentative="1">
      <w:start w:val="1"/>
      <w:numFmt w:val="lowerLetter"/>
      <w:lvlText w:val="%2."/>
      <w:lvlJc w:val="left"/>
      <w:pPr>
        <w:ind w:left="1113" w:hanging="360"/>
      </w:pPr>
    </w:lvl>
    <w:lvl w:ilvl="2" w:tplc="07D60D78" w:tentative="1">
      <w:start w:val="1"/>
      <w:numFmt w:val="lowerRoman"/>
      <w:lvlText w:val="%3."/>
      <w:lvlJc w:val="right"/>
      <w:pPr>
        <w:ind w:left="1833" w:hanging="180"/>
      </w:pPr>
    </w:lvl>
    <w:lvl w:ilvl="3" w:tplc="F774CC98" w:tentative="1">
      <w:start w:val="1"/>
      <w:numFmt w:val="decimal"/>
      <w:lvlText w:val="%4."/>
      <w:lvlJc w:val="left"/>
      <w:pPr>
        <w:ind w:left="2553" w:hanging="360"/>
      </w:pPr>
    </w:lvl>
    <w:lvl w:ilvl="4" w:tplc="92BA6286" w:tentative="1">
      <w:start w:val="1"/>
      <w:numFmt w:val="lowerLetter"/>
      <w:lvlText w:val="%5."/>
      <w:lvlJc w:val="left"/>
      <w:pPr>
        <w:ind w:left="3273" w:hanging="360"/>
      </w:pPr>
    </w:lvl>
    <w:lvl w:ilvl="5" w:tplc="3C5E5F42" w:tentative="1">
      <w:start w:val="1"/>
      <w:numFmt w:val="lowerRoman"/>
      <w:lvlText w:val="%6."/>
      <w:lvlJc w:val="right"/>
      <w:pPr>
        <w:ind w:left="3993" w:hanging="180"/>
      </w:pPr>
    </w:lvl>
    <w:lvl w:ilvl="6" w:tplc="CD8E5C66" w:tentative="1">
      <w:start w:val="1"/>
      <w:numFmt w:val="decimal"/>
      <w:lvlText w:val="%7."/>
      <w:lvlJc w:val="left"/>
      <w:pPr>
        <w:ind w:left="4713" w:hanging="360"/>
      </w:pPr>
    </w:lvl>
    <w:lvl w:ilvl="7" w:tplc="39B4F6BC" w:tentative="1">
      <w:start w:val="1"/>
      <w:numFmt w:val="lowerLetter"/>
      <w:lvlText w:val="%8."/>
      <w:lvlJc w:val="left"/>
      <w:pPr>
        <w:ind w:left="5433" w:hanging="360"/>
      </w:pPr>
    </w:lvl>
    <w:lvl w:ilvl="8" w:tplc="23C8368C" w:tentative="1">
      <w:start w:val="1"/>
      <w:numFmt w:val="lowerRoman"/>
      <w:lvlText w:val="%9."/>
      <w:lvlJc w:val="right"/>
      <w:pPr>
        <w:ind w:left="6153" w:hanging="180"/>
      </w:pPr>
    </w:lvl>
  </w:abstractNum>
  <w:abstractNum w:abstractNumId="15" w15:restartNumberingAfterBreak="0">
    <w:nsid w:val="54C13D09"/>
    <w:multiLevelType w:val="hybridMultilevel"/>
    <w:tmpl w:val="24DA2972"/>
    <w:lvl w:ilvl="0" w:tplc="1ED2DA3A">
      <w:start w:val="1"/>
      <w:numFmt w:val="lowerLetter"/>
      <w:lvlText w:val="(%1)"/>
      <w:lvlJc w:val="left"/>
      <w:pPr>
        <w:ind w:left="1215" w:hanging="855"/>
      </w:pPr>
      <w:rPr>
        <w:rFonts w:hint="default"/>
      </w:rPr>
    </w:lvl>
    <w:lvl w:ilvl="1" w:tplc="A386DE18" w:tentative="1">
      <w:start w:val="1"/>
      <w:numFmt w:val="lowerLetter"/>
      <w:lvlText w:val="%2."/>
      <w:lvlJc w:val="left"/>
      <w:pPr>
        <w:ind w:left="1440" w:hanging="360"/>
      </w:pPr>
    </w:lvl>
    <w:lvl w:ilvl="2" w:tplc="DF18609E" w:tentative="1">
      <w:start w:val="1"/>
      <w:numFmt w:val="lowerRoman"/>
      <w:lvlText w:val="%3."/>
      <w:lvlJc w:val="right"/>
      <w:pPr>
        <w:ind w:left="2160" w:hanging="180"/>
      </w:pPr>
    </w:lvl>
    <w:lvl w:ilvl="3" w:tplc="28222B5E" w:tentative="1">
      <w:start w:val="1"/>
      <w:numFmt w:val="decimal"/>
      <w:lvlText w:val="%4."/>
      <w:lvlJc w:val="left"/>
      <w:pPr>
        <w:ind w:left="2880" w:hanging="360"/>
      </w:pPr>
    </w:lvl>
    <w:lvl w:ilvl="4" w:tplc="4402555E" w:tentative="1">
      <w:start w:val="1"/>
      <w:numFmt w:val="lowerLetter"/>
      <w:lvlText w:val="%5."/>
      <w:lvlJc w:val="left"/>
      <w:pPr>
        <w:ind w:left="3600" w:hanging="360"/>
      </w:pPr>
    </w:lvl>
    <w:lvl w:ilvl="5" w:tplc="5E94D3B2" w:tentative="1">
      <w:start w:val="1"/>
      <w:numFmt w:val="lowerRoman"/>
      <w:lvlText w:val="%6."/>
      <w:lvlJc w:val="right"/>
      <w:pPr>
        <w:ind w:left="4320" w:hanging="180"/>
      </w:pPr>
    </w:lvl>
    <w:lvl w:ilvl="6" w:tplc="FE2ED110" w:tentative="1">
      <w:start w:val="1"/>
      <w:numFmt w:val="decimal"/>
      <w:lvlText w:val="%7."/>
      <w:lvlJc w:val="left"/>
      <w:pPr>
        <w:ind w:left="5040" w:hanging="360"/>
      </w:pPr>
    </w:lvl>
    <w:lvl w:ilvl="7" w:tplc="EB3853A4" w:tentative="1">
      <w:start w:val="1"/>
      <w:numFmt w:val="lowerLetter"/>
      <w:lvlText w:val="%8."/>
      <w:lvlJc w:val="left"/>
      <w:pPr>
        <w:ind w:left="5760" w:hanging="360"/>
      </w:pPr>
    </w:lvl>
    <w:lvl w:ilvl="8" w:tplc="0E3213CC" w:tentative="1">
      <w:start w:val="1"/>
      <w:numFmt w:val="lowerRoman"/>
      <w:lvlText w:val="%9."/>
      <w:lvlJc w:val="right"/>
      <w:pPr>
        <w:ind w:left="6480" w:hanging="180"/>
      </w:pPr>
    </w:lvl>
  </w:abstractNum>
  <w:abstractNum w:abstractNumId="16" w15:restartNumberingAfterBreak="0">
    <w:nsid w:val="55613E12"/>
    <w:multiLevelType w:val="hybridMultilevel"/>
    <w:tmpl w:val="24DA2972"/>
    <w:lvl w:ilvl="0" w:tplc="162C1814">
      <w:start w:val="1"/>
      <w:numFmt w:val="lowerLetter"/>
      <w:lvlText w:val="(%1)"/>
      <w:lvlJc w:val="left"/>
      <w:pPr>
        <w:ind w:left="1215" w:hanging="855"/>
      </w:pPr>
      <w:rPr>
        <w:rFonts w:hint="default"/>
      </w:rPr>
    </w:lvl>
    <w:lvl w:ilvl="1" w:tplc="247AA4F6" w:tentative="1">
      <w:start w:val="1"/>
      <w:numFmt w:val="lowerLetter"/>
      <w:lvlText w:val="%2."/>
      <w:lvlJc w:val="left"/>
      <w:pPr>
        <w:ind w:left="1440" w:hanging="360"/>
      </w:pPr>
    </w:lvl>
    <w:lvl w:ilvl="2" w:tplc="E2E656A6" w:tentative="1">
      <w:start w:val="1"/>
      <w:numFmt w:val="lowerRoman"/>
      <w:lvlText w:val="%3."/>
      <w:lvlJc w:val="right"/>
      <w:pPr>
        <w:ind w:left="2160" w:hanging="180"/>
      </w:pPr>
    </w:lvl>
    <w:lvl w:ilvl="3" w:tplc="B4469924" w:tentative="1">
      <w:start w:val="1"/>
      <w:numFmt w:val="decimal"/>
      <w:lvlText w:val="%4."/>
      <w:lvlJc w:val="left"/>
      <w:pPr>
        <w:ind w:left="2880" w:hanging="360"/>
      </w:pPr>
    </w:lvl>
    <w:lvl w:ilvl="4" w:tplc="7D8E456C" w:tentative="1">
      <w:start w:val="1"/>
      <w:numFmt w:val="lowerLetter"/>
      <w:lvlText w:val="%5."/>
      <w:lvlJc w:val="left"/>
      <w:pPr>
        <w:ind w:left="3600" w:hanging="360"/>
      </w:pPr>
    </w:lvl>
    <w:lvl w:ilvl="5" w:tplc="C110FD00" w:tentative="1">
      <w:start w:val="1"/>
      <w:numFmt w:val="lowerRoman"/>
      <w:lvlText w:val="%6."/>
      <w:lvlJc w:val="right"/>
      <w:pPr>
        <w:ind w:left="4320" w:hanging="180"/>
      </w:pPr>
    </w:lvl>
    <w:lvl w:ilvl="6" w:tplc="8D42AFF2" w:tentative="1">
      <w:start w:val="1"/>
      <w:numFmt w:val="decimal"/>
      <w:lvlText w:val="%7."/>
      <w:lvlJc w:val="left"/>
      <w:pPr>
        <w:ind w:left="5040" w:hanging="360"/>
      </w:pPr>
    </w:lvl>
    <w:lvl w:ilvl="7" w:tplc="6C243C2E" w:tentative="1">
      <w:start w:val="1"/>
      <w:numFmt w:val="lowerLetter"/>
      <w:lvlText w:val="%8."/>
      <w:lvlJc w:val="left"/>
      <w:pPr>
        <w:ind w:left="5760" w:hanging="360"/>
      </w:pPr>
    </w:lvl>
    <w:lvl w:ilvl="8" w:tplc="3348BEE2" w:tentative="1">
      <w:start w:val="1"/>
      <w:numFmt w:val="lowerRoman"/>
      <w:lvlText w:val="%9."/>
      <w:lvlJc w:val="right"/>
      <w:pPr>
        <w:ind w:left="6480" w:hanging="180"/>
      </w:pPr>
    </w:lvl>
  </w:abstractNum>
  <w:abstractNum w:abstractNumId="17" w15:restartNumberingAfterBreak="0">
    <w:nsid w:val="5B5A4266"/>
    <w:multiLevelType w:val="hybridMultilevel"/>
    <w:tmpl w:val="F2D68366"/>
    <w:lvl w:ilvl="0" w:tplc="8974C580">
      <w:start w:val="1"/>
      <w:numFmt w:val="lowerLetter"/>
      <w:lvlText w:val="(%1)"/>
      <w:lvlJc w:val="left"/>
      <w:pPr>
        <w:ind w:left="720" w:hanging="360"/>
      </w:pPr>
      <w:rPr>
        <w:rFonts w:hint="default"/>
      </w:rPr>
    </w:lvl>
    <w:lvl w:ilvl="1" w:tplc="4BAC89C4" w:tentative="1">
      <w:start w:val="1"/>
      <w:numFmt w:val="lowerLetter"/>
      <w:lvlText w:val="%2."/>
      <w:lvlJc w:val="left"/>
      <w:pPr>
        <w:ind w:left="1440" w:hanging="360"/>
      </w:pPr>
    </w:lvl>
    <w:lvl w:ilvl="2" w:tplc="A2507D00" w:tentative="1">
      <w:start w:val="1"/>
      <w:numFmt w:val="lowerRoman"/>
      <w:lvlText w:val="%3."/>
      <w:lvlJc w:val="right"/>
      <w:pPr>
        <w:ind w:left="2160" w:hanging="180"/>
      </w:pPr>
    </w:lvl>
    <w:lvl w:ilvl="3" w:tplc="D6946DF6" w:tentative="1">
      <w:start w:val="1"/>
      <w:numFmt w:val="decimal"/>
      <w:lvlText w:val="%4."/>
      <w:lvlJc w:val="left"/>
      <w:pPr>
        <w:ind w:left="2880" w:hanging="360"/>
      </w:pPr>
    </w:lvl>
    <w:lvl w:ilvl="4" w:tplc="D18A4AD0" w:tentative="1">
      <w:start w:val="1"/>
      <w:numFmt w:val="lowerLetter"/>
      <w:lvlText w:val="%5."/>
      <w:lvlJc w:val="left"/>
      <w:pPr>
        <w:ind w:left="3600" w:hanging="360"/>
      </w:pPr>
    </w:lvl>
    <w:lvl w:ilvl="5" w:tplc="6C544C6E" w:tentative="1">
      <w:start w:val="1"/>
      <w:numFmt w:val="lowerRoman"/>
      <w:lvlText w:val="%6."/>
      <w:lvlJc w:val="right"/>
      <w:pPr>
        <w:ind w:left="4320" w:hanging="180"/>
      </w:pPr>
    </w:lvl>
    <w:lvl w:ilvl="6" w:tplc="76DA06B6" w:tentative="1">
      <w:start w:val="1"/>
      <w:numFmt w:val="decimal"/>
      <w:lvlText w:val="%7."/>
      <w:lvlJc w:val="left"/>
      <w:pPr>
        <w:ind w:left="5040" w:hanging="360"/>
      </w:pPr>
    </w:lvl>
    <w:lvl w:ilvl="7" w:tplc="D71495D4" w:tentative="1">
      <w:start w:val="1"/>
      <w:numFmt w:val="lowerLetter"/>
      <w:lvlText w:val="%8."/>
      <w:lvlJc w:val="left"/>
      <w:pPr>
        <w:ind w:left="5760" w:hanging="360"/>
      </w:pPr>
    </w:lvl>
    <w:lvl w:ilvl="8" w:tplc="7332D7AC" w:tentative="1">
      <w:start w:val="1"/>
      <w:numFmt w:val="lowerRoman"/>
      <w:lvlText w:val="%9."/>
      <w:lvlJc w:val="right"/>
      <w:pPr>
        <w:ind w:left="6480" w:hanging="180"/>
      </w:pPr>
    </w:lvl>
  </w:abstractNum>
  <w:abstractNum w:abstractNumId="18" w15:restartNumberingAfterBreak="0">
    <w:nsid w:val="65844D09"/>
    <w:multiLevelType w:val="hybridMultilevel"/>
    <w:tmpl w:val="24DA2972"/>
    <w:lvl w:ilvl="0" w:tplc="5412C09E">
      <w:start w:val="1"/>
      <w:numFmt w:val="lowerLetter"/>
      <w:lvlText w:val="(%1)"/>
      <w:lvlJc w:val="left"/>
      <w:pPr>
        <w:ind w:left="1215" w:hanging="855"/>
      </w:pPr>
      <w:rPr>
        <w:rFonts w:hint="default"/>
      </w:rPr>
    </w:lvl>
    <w:lvl w:ilvl="1" w:tplc="26248F2C" w:tentative="1">
      <w:start w:val="1"/>
      <w:numFmt w:val="lowerLetter"/>
      <w:lvlText w:val="%2."/>
      <w:lvlJc w:val="left"/>
      <w:pPr>
        <w:ind w:left="1440" w:hanging="360"/>
      </w:pPr>
    </w:lvl>
    <w:lvl w:ilvl="2" w:tplc="159C89F2" w:tentative="1">
      <w:start w:val="1"/>
      <w:numFmt w:val="lowerRoman"/>
      <w:lvlText w:val="%3."/>
      <w:lvlJc w:val="right"/>
      <w:pPr>
        <w:ind w:left="2160" w:hanging="180"/>
      </w:pPr>
    </w:lvl>
    <w:lvl w:ilvl="3" w:tplc="9CAE4AA0" w:tentative="1">
      <w:start w:val="1"/>
      <w:numFmt w:val="decimal"/>
      <w:lvlText w:val="%4."/>
      <w:lvlJc w:val="left"/>
      <w:pPr>
        <w:ind w:left="2880" w:hanging="360"/>
      </w:pPr>
    </w:lvl>
    <w:lvl w:ilvl="4" w:tplc="3780751E" w:tentative="1">
      <w:start w:val="1"/>
      <w:numFmt w:val="lowerLetter"/>
      <w:lvlText w:val="%5."/>
      <w:lvlJc w:val="left"/>
      <w:pPr>
        <w:ind w:left="3600" w:hanging="360"/>
      </w:pPr>
    </w:lvl>
    <w:lvl w:ilvl="5" w:tplc="7B70E9FA" w:tentative="1">
      <w:start w:val="1"/>
      <w:numFmt w:val="lowerRoman"/>
      <w:lvlText w:val="%6."/>
      <w:lvlJc w:val="right"/>
      <w:pPr>
        <w:ind w:left="4320" w:hanging="180"/>
      </w:pPr>
    </w:lvl>
    <w:lvl w:ilvl="6" w:tplc="E0CC84B8" w:tentative="1">
      <w:start w:val="1"/>
      <w:numFmt w:val="decimal"/>
      <w:lvlText w:val="%7."/>
      <w:lvlJc w:val="left"/>
      <w:pPr>
        <w:ind w:left="5040" w:hanging="360"/>
      </w:pPr>
    </w:lvl>
    <w:lvl w:ilvl="7" w:tplc="E5941666" w:tentative="1">
      <w:start w:val="1"/>
      <w:numFmt w:val="lowerLetter"/>
      <w:lvlText w:val="%8."/>
      <w:lvlJc w:val="left"/>
      <w:pPr>
        <w:ind w:left="5760" w:hanging="360"/>
      </w:pPr>
    </w:lvl>
    <w:lvl w:ilvl="8" w:tplc="BA5253E0" w:tentative="1">
      <w:start w:val="1"/>
      <w:numFmt w:val="lowerRoman"/>
      <w:lvlText w:val="%9."/>
      <w:lvlJc w:val="right"/>
      <w:pPr>
        <w:ind w:left="6480" w:hanging="180"/>
      </w:pPr>
    </w:lvl>
  </w:abstractNum>
  <w:abstractNum w:abstractNumId="19" w15:restartNumberingAfterBreak="0">
    <w:nsid w:val="72655861"/>
    <w:multiLevelType w:val="hybridMultilevel"/>
    <w:tmpl w:val="4740CCB6"/>
    <w:lvl w:ilvl="0" w:tplc="77C8A71C">
      <w:start w:val="1"/>
      <w:numFmt w:val="lowerRoman"/>
      <w:pStyle w:val="i"/>
      <w:lvlText w:val="%1."/>
      <w:lvlJc w:val="left"/>
      <w:pPr>
        <w:ind w:left="1147" w:hanging="360"/>
      </w:pPr>
      <w:rPr>
        <w:rFonts w:cs="Times New Roman" w:hint="default"/>
      </w:rPr>
    </w:lvl>
    <w:lvl w:ilvl="1" w:tplc="49F4868C" w:tentative="1">
      <w:start w:val="1"/>
      <w:numFmt w:val="lowerLetter"/>
      <w:lvlText w:val="%2."/>
      <w:lvlJc w:val="left"/>
      <w:pPr>
        <w:ind w:left="1867" w:hanging="360"/>
      </w:pPr>
      <w:rPr>
        <w:rFonts w:cs="Times New Roman"/>
      </w:rPr>
    </w:lvl>
    <w:lvl w:ilvl="2" w:tplc="1C3CAFE2" w:tentative="1">
      <w:start w:val="1"/>
      <w:numFmt w:val="lowerRoman"/>
      <w:lvlText w:val="%3."/>
      <w:lvlJc w:val="right"/>
      <w:pPr>
        <w:ind w:left="2587" w:hanging="180"/>
      </w:pPr>
      <w:rPr>
        <w:rFonts w:cs="Times New Roman"/>
      </w:rPr>
    </w:lvl>
    <w:lvl w:ilvl="3" w:tplc="0D68BA7A" w:tentative="1">
      <w:start w:val="1"/>
      <w:numFmt w:val="decimal"/>
      <w:lvlText w:val="%4."/>
      <w:lvlJc w:val="left"/>
      <w:pPr>
        <w:ind w:left="3307" w:hanging="360"/>
      </w:pPr>
      <w:rPr>
        <w:rFonts w:cs="Times New Roman"/>
      </w:rPr>
    </w:lvl>
    <w:lvl w:ilvl="4" w:tplc="6B703322" w:tentative="1">
      <w:start w:val="1"/>
      <w:numFmt w:val="lowerLetter"/>
      <w:lvlText w:val="%5."/>
      <w:lvlJc w:val="left"/>
      <w:pPr>
        <w:ind w:left="4027" w:hanging="360"/>
      </w:pPr>
      <w:rPr>
        <w:rFonts w:cs="Times New Roman"/>
      </w:rPr>
    </w:lvl>
    <w:lvl w:ilvl="5" w:tplc="16787C98" w:tentative="1">
      <w:start w:val="1"/>
      <w:numFmt w:val="lowerRoman"/>
      <w:lvlText w:val="%6."/>
      <w:lvlJc w:val="right"/>
      <w:pPr>
        <w:ind w:left="4747" w:hanging="180"/>
      </w:pPr>
      <w:rPr>
        <w:rFonts w:cs="Times New Roman"/>
      </w:rPr>
    </w:lvl>
    <w:lvl w:ilvl="6" w:tplc="4E5C7908" w:tentative="1">
      <w:start w:val="1"/>
      <w:numFmt w:val="decimal"/>
      <w:lvlText w:val="%7."/>
      <w:lvlJc w:val="left"/>
      <w:pPr>
        <w:ind w:left="5467" w:hanging="360"/>
      </w:pPr>
      <w:rPr>
        <w:rFonts w:cs="Times New Roman"/>
      </w:rPr>
    </w:lvl>
    <w:lvl w:ilvl="7" w:tplc="9334AC74" w:tentative="1">
      <w:start w:val="1"/>
      <w:numFmt w:val="lowerLetter"/>
      <w:lvlText w:val="%8."/>
      <w:lvlJc w:val="left"/>
      <w:pPr>
        <w:ind w:left="6187" w:hanging="360"/>
      </w:pPr>
      <w:rPr>
        <w:rFonts w:cs="Times New Roman"/>
      </w:rPr>
    </w:lvl>
    <w:lvl w:ilvl="8" w:tplc="628ABDDE" w:tentative="1">
      <w:start w:val="1"/>
      <w:numFmt w:val="lowerRoman"/>
      <w:lvlText w:val="%9."/>
      <w:lvlJc w:val="right"/>
      <w:pPr>
        <w:ind w:left="6907" w:hanging="180"/>
      </w:pPr>
      <w:rPr>
        <w:rFonts w:cs="Times New Roman"/>
      </w:rPr>
    </w:lvl>
  </w:abstractNum>
  <w:abstractNum w:abstractNumId="20" w15:restartNumberingAfterBreak="0">
    <w:nsid w:val="7E26587C"/>
    <w:multiLevelType w:val="hybridMultilevel"/>
    <w:tmpl w:val="C458E90A"/>
    <w:lvl w:ilvl="0" w:tplc="70804AC4">
      <w:start w:val="1"/>
      <w:numFmt w:val="lowerLetter"/>
      <w:lvlText w:val="(%1)"/>
      <w:lvlJc w:val="left"/>
      <w:pPr>
        <w:ind w:left="393" w:hanging="360"/>
      </w:pPr>
      <w:rPr>
        <w:rFonts w:hint="default"/>
      </w:rPr>
    </w:lvl>
    <w:lvl w:ilvl="1" w:tplc="D2E8AC12" w:tentative="1">
      <w:start w:val="1"/>
      <w:numFmt w:val="lowerLetter"/>
      <w:lvlText w:val="%2."/>
      <w:lvlJc w:val="left"/>
      <w:pPr>
        <w:ind w:left="1113" w:hanging="360"/>
      </w:pPr>
    </w:lvl>
    <w:lvl w:ilvl="2" w:tplc="C3669EC0" w:tentative="1">
      <w:start w:val="1"/>
      <w:numFmt w:val="lowerRoman"/>
      <w:lvlText w:val="%3."/>
      <w:lvlJc w:val="right"/>
      <w:pPr>
        <w:ind w:left="1833" w:hanging="180"/>
      </w:pPr>
    </w:lvl>
    <w:lvl w:ilvl="3" w:tplc="CBEA4B6A" w:tentative="1">
      <w:start w:val="1"/>
      <w:numFmt w:val="decimal"/>
      <w:lvlText w:val="%4."/>
      <w:lvlJc w:val="left"/>
      <w:pPr>
        <w:ind w:left="2553" w:hanging="360"/>
      </w:pPr>
    </w:lvl>
    <w:lvl w:ilvl="4" w:tplc="8CA41804" w:tentative="1">
      <w:start w:val="1"/>
      <w:numFmt w:val="lowerLetter"/>
      <w:lvlText w:val="%5."/>
      <w:lvlJc w:val="left"/>
      <w:pPr>
        <w:ind w:left="3273" w:hanging="360"/>
      </w:pPr>
    </w:lvl>
    <w:lvl w:ilvl="5" w:tplc="ACBADB54" w:tentative="1">
      <w:start w:val="1"/>
      <w:numFmt w:val="lowerRoman"/>
      <w:lvlText w:val="%6."/>
      <w:lvlJc w:val="right"/>
      <w:pPr>
        <w:ind w:left="3993" w:hanging="180"/>
      </w:pPr>
    </w:lvl>
    <w:lvl w:ilvl="6" w:tplc="A2343848" w:tentative="1">
      <w:start w:val="1"/>
      <w:numFmt w:val="decimal"/>
      <w:lvlText w:val="%7."/>
      <w:lvlJc w:val="left"/>
      <w:pPr>
        <w:ind w:left="4713" w:hanging="360"/>
      </w:pPr>
    </w:lvl>
    <w:lvl w:ilvl="7" w:tplc="B03C726E" w:tentative="1">
      <w:start w:val="1"/>
      <w:numFmt w:val="lowerLetter"/>
      <w:lvlText w:val="%8."/>
      <w:lvlJc w:val="left"/>
      <w:pPr>
        <w:ind w:left="5433" w:hanging="360"/>
      </w:pPr>
    </w:lvl>
    <w:lvl w:ilvl="8" w:tplc="45543BF2" w:tentative="1">
      <w:start w:val="1"/>
      <w:numFmt w:val="lowerRoman"/>
      <w:lvlText w:val="%9."/>
      <w:lvlJc w:val="right"/>
      <w:pPr>
        <w:ind w:left="6153" w:hanging="180"/>
      </w:pPr>
    </w:lvl>
  </w:abstractNum>
  <w:num w:numId="1">
    <w:abstractNumId w:val="4"/>
  </w:num>
  <w:num w:numId="2">
    <w:abstractNumId w:val="10"/>
  </w:num>
  <w:num w:numId="3">
    <w:abstractNumId w:val="12"/>
  </w:num>
  <w:num w:numId="4">
    <w:abstractNumId w:val="13"/>
  </w:num>
  <w:num w:numId="5">
    <w:abstractNumId w:val="2"/>
  </w:num>
  <w:num w:numId="6">
    <w:abstractNumId w:val="10"/>
    <w:lvlOverride w:ilvl="0">
      <w:startOverride w:val="1"/>
    </w:lvlOverride>
  </w:num>
  <w:num w:numId="7">
    <w:abstractNumId w:val="14"/>
  </w:num>
  <w:num w:numId="8">
    <w:abstractNumId w:val="19"/>
  </w:num>
  <w:num w:numId="9">
    <w:abstractNumId w:val="19"/>
    <w:lvlOverride w:ilvl="0">
      <w:startOverride w:val="1"/>
    </w:lvlOverride>
  </w:num>
  <w:num w:numId="10">
    <w:abstractNumId w:val="18"/>
  </w:num>
  <w:num w:numId="11">
    <w:abstractNumId w:val="9"/>
  </w:num>
  <w:num w:numId="12">
    <w:abstractNumId w:val="6"/>
  </w:num>
  <w:num w:numId="13">
    <w:abstractNumId w:val="20"/>
  </w:num>
  <w:num w:numId="14">
    <w:abstractNumId w:val="1"/>
  </w:num>
  <w:num w:numId="15">
    <w:abstractNumId w:val="0"/>
  </w:num>
  <w:num w:numId="16">
    <w:abstractNumId w:val="5"/>
  </w:num>
  <w:num w:numId="17">
    <w:abstractNumId w:val="16"/>
  </w:num>
  <w:num w:numId="18">
    <w:abstractNumId w:val="11"/>
  </w:num>
  <w:num w:numId="19">
    <w:abstractNumId w:val="15"/>
  </w:num>
  <w:num w:numId="20">
    <w:abstractNumId w:val="7"/>
  </w:num>
  <w:num w:numId="21">
    <w:abstractNumId w:val="3"/>
  </w:num>
  <w:num w:numId="22">
    <w:abstractNumId w:val="17"/>
  </w:num>
  <w:num w:numId="23">
    <w:abstractNumId w:val="8"/>
  </w:num>
  <w:num w:numId="24">
    <w:abstractNumId w:val="10"/>
  </w:num>
  <w:num w:numId="25">
    <w:abstractNumId w:val="10"/>
  </w:num>
  <w:num w:numId="26">
    <w:abstractNumId w:val="10"/>
  </w:num>
  <w:num w:numId="27">
    <w:abstractNumId w:val="10"/>
  </w:num>
  <w:num w:numId="28">
    <w:abstractNumId w:val="10"/>
  </w:num>
  <w:num w:numId="2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B18"/>
    <w:rsid w:val="00031E0C"/>
    <w:rsid w:val="00074872"/>
    <w:rsid w:val="000E7990"/>
    <w:rsid w:val="000E7B81"/>
    <w:rsid w:val="001C7CEB"/>
    <w:rsid w:val="00316337"/>
    <w:rsid w:val="00471812"/>
    <w:rsid w:val="00487449"/>
    <w:rsid w:val="005C73EB"/>
    <w:rsid w:val="005D4FD3"/>
    <w:rsid w:val="008E46D1"/>
    <w:rsid w:val="009D7E71"/>
    <w:rsid w:val="00A42859"/>
    <w:rsid w:val="00AF10F9"/>
    <w:rsid w:val="00B94EF7"/>
    <w:rsid w:val="00BB2D25"/>
    <w:rsid w:val="00CB0542"/>
    <w:rsid w:val="00DC3828"/>
    <w:rsid w:val="00E231F8"/>
    <w:rsid w:val="00F41ACF"/>
    <w:rsid w:val="00F74436"/>
    <w:rsid w:val="00F7492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573A6F1"/>
  <w15:chartTrackingRefBased/>
  <w15:docId w15:val="{A0E5FA28-7CE1-4AD5-A93B-293FB813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es-ES" w:eastAsia="es-ES"/>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s-ES" w:eastAsia="es-ES"/>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s-ES" w:eastAsia="es-ES"/>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s-ES" w:eastAsia="es-ES"/>
    </w:rPr>
  </w:style>
  <w:style w:type="paragraph" w:customStyle="1" w:styleId="Sansinterligne2">
    <w:name w:val="Sans interligne2"/>
    <w:uiPriority w:val="1"/>
    <w:rsid w:val="006C3FFC"/>
    <w:rPr>
      <w:rFonts w:ascii="Times New Roman" w:eastAsia="Times New Roman" w:hAnsi="Times New Roman"/>
      <w:sz w:val="24"/>
      <w:szCs w:val="24"/>
      <w:lang w:val="es-ES" w:eastAsia="es-ES"/>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s-ES" w:eastAsia="es-E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s-ES" w:eastAsia="es-ES"/>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s-ES" w:eastAsia="es-ES"/>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s-ES" w:eastAsia="es-E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character" w:styleId="Hyperlink">
    <w:name w:val="Hyperlink"/>
    <w:uiPriority w:val="99"/>
    <w:unhideWhenUsed/>
    <w:rsid w:val="00D41C6D"/>
    <w:rPr>
      <w:color w:val="0000FF"/>
      <w:u w:val="single"/>
      <w:lang w:val="es-ES" w:eastAsia="es-ES"/>
    </w:rPr>
  </w:style>
  <w:style w:type="paragraph" w:styleId="FootnoteText">
    <w:name w:val="footnote text"/>
    <w:basedOn w:val="Normal"/>
    <w:link w:val="FootnoteTextChar"/>
    <w:uiPriority w:val="99"/>
    <w:semiHidden/>
    <w:unhideWhenUsed/>
    <w:rsid w:val="004A4F6E"/>
    <w:rPr>
      <w:sz w:val="20"/>
      <w:szCs w:val="20"/>
    </w:rPr>
  </w:style>
  <w:style w:type="character" w:customStyle="1" w:styleId="FootnoteTextChar">
    <w:name w:val="Footnote Text Char"/>
    <w:link w:val="FootnoteText"/>
    <w:uiPriority w:val="99"/>
    <w:semiHidden/>
    <w:rsid w:val="004A4F6E"/>
    <w:rPr>
      <w:rFonts w:ascii="Times New Roman" w:eastAsia="Times New Roman" w:hAnsi="Times New Roman"/>
      <w:lang w:val="es-ES" w:eastAsia="es-ES"/>
    </w:rPr>
  </w:style>
  <w:style w:type="character" w:styleId="FootnoteReference">
    <w:name w:val="footnote reference"/>
    <w:uiPriority w:val="99"/>
    <w:semiHidden/>
    <w:unhideWhenUsed/>
    <w:rsid w:val="004A4F6E"/>
    <w:rPr>
      <w:vertAlign w:val="superscript"/>
      <w:lang w:val="es-ES" w:eastAsia="es-ES"/>
    </w:rPr>
  </w:style>
  <w:style w:type="character" w:styleId="FollowedHyperlink">
    <w:name w:val="FollowedHyperlink"/>
    <w:uiPriority w:val="99"/>
    <w:semiHidden/>
    <w:unhideWhenUsed/>
    <w:rsid w:val="004A4F6E"/>
    <w:rPr>
      <w:color w:val="800080"/>
      <w:u w:val="single"/>
      <w:lang w:val="es-ES" w:eastAsia="es-ES"/>
    </w:rPr>
  </w:style>
  <w:style w:type="character" w:styleId="CommentReference">
    <w:name w:val="annotation reference"/>
    <w:uiPriority w:val="99"/>
    <w:semiHidden/>
    <w:unhideWhenUsed/>
    <w:rsid w:val="00E81055"/>
    <w:rPr>
      <w:sz w:val="16"/>
      <w:szCs w:val="16"/>
      <w:lang w:val="es-ES" w:eastAsia="es-ES"/>
    </w:rPr>
  </w:style>
  <w:style w:type="paragraph" w:styleId="CommentText">
    <w:name w:val="annotation text"/>
    <w:basedOn w:val="Normal"/>
    <w:link w:val="CommentTextChar"/>
    <w:uiPriority w:val="99"/>
    <w:semiHidden/>
    <w:unhideWhenUsed/>
    <w:rsid w:val="00E81055"/>
    <w:rPr>
      <w:sz w:val="20"/>
      <w:szCs w:val="20"/>
    </w:rPr>
  </w:style>
  <w:style w:type="character" w:customStyle="1" w:styleId="CommentTextChar">
    <w:name w:val="Comment Text Char"/>
    <w:link w:val="CommentText"/>
    <w:uiPriority w:val="99"/>
    <w:semiHidden/>
    <w:rsid w:val="00E81055"/>
    <w:rPr>
      <w:rFonts w:ascii="Times New Roman" w:eastAsia="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E81055"/>
    <w:rPr>
      <w:b/>
      <w:bCs/>
    </w:rPr>
  </w:style>
  <w:style w:type="character" w:customStyle="1" w:styleId="CommentSubjectChar">
    <w:name w:val="Comment Subject Char"/>
    <w:link w:val="CommentSubject"/>
    <w:uiPriority w:val="99"/>
    <w:semiHidden/>
    <w:rsid w:val="00E81055"/>
    <w:rPr>
      <w:rFonts w:ascii="Times New Roman" w:eastAsia="Times New Roman" w:hAnsi="Times New Roman"/>
      <w:b/>
      <w:bCs/>
      <w:lang w:val="es-ES" w:eastAsia="es-ES"/>
    </w:rPr>
  </w:style>
  <w:style w:type="paragraph" w:customStyle="1" w:styleId="Texteavecnumro">
    <w:name w:val="Texte avec numéro"/>
    <w:basedOn w:val="ListParagraph"/>
    <w:qFormat/>
    <w:rsid w:val="00F27BC5"/>
    <w:pPr>
      <w:widowControl w:val="0"/>
      <w:numPr>
        <w:numId w:val="5"/>
      </w:numPr>
      <w:autoSpaceDE w:val="0"/>
      <w:autoSpaceDN w:val="0"/>
      <w:adjustRightInd w:val="0"/>
      <w:spacing w:after="120"/>
      <w:ind w:left="785"/>
      <w:contextualSpacing w:val="0"/>
    </w:pPr>
    <w:rPr>
      <w:rFonts w:ascii="Arial" w:eastAsia="Malgun Gothic" w:hAnsi="Arial" w:cs="Arial"/>
      <w:color w:val="363435"/>
      <w:w w:val="94"/>
      <w:sz w:val="22"/>
      <w:szCs w:val="22"/>
    </w:rPr>
  </w:style>
  <w:style w:type="paragraph" w:customStyle="1" w:styleId="1">
    <w:name w:val="1."/>
    <w:basedOn w:val="Normal"/>
    <w:link w:val="1Char"/>
    <w:qFormat/>
    <w:rsid w:val="00F27BC5"/>
    <w:pPr>
      <w:widowControl w:val="0"/>
      <w:tabs>
        <w:tab w:val="left" w:pos="1134"/>
      </w:tabs>
      <w:autoSpaceDE w:val="0"/>
      <w:autoSpaceDN w:val="0"/>
      <w:adjustRightInd w:val="0"/>
      <w:spacing w:after="120"/>
      <w:ind w:left="1134" w:hanging="567"/>
    </w:pPr>
    <w:rPr>
      <w:rFonts w:ascii="Arial" w:eastAsia="SimSun" w:hAnsi="Arial" w:cs="Arial"/>
      <w:w w:val="96"/>
      <w:sz w:val="22"/>
      <w:szCs w:val="22"/>
    </w:rPr>
  </w:style>
  <w:style w:type="character" w:customStyle="1" w:styleId="1Char">
    <w:name w:val="1. Char"/>
    <w:link w:val="1"/>
    <w:locked/>
    <w:rsid w:val="00F27BC5"/>
    <w:rPr>
      <w:rFonts w:ascii="Arial" w:hAnsi="Arial" w:cs="Arial"/>
      <w:w w:val="96"/>
      <w:sz w:val="22"/>
      <w:szCs w:val="22"/>
      <w:lang w:val="es-ES" w:eastAsia="es-ES"/>
    </w:rPr>
  </w:style>
  <w:style w:type="paragraph" w:styleId="ListParagraph">
    <w:name w:val="List Paragraph"/>
    <w:basedOn w:val="Normal"/>
    <w:uiPriority w:val="34"/>
    <w:rsid w:val="00F27BC5"/>
    <w:pPr>
      <w:ind w:left="720"/>
      <w:contextualSpacing/>
    </w:pPr>
  </w:style>
  <w:style w:type="character" w:customStyle="1" w:styleId="atenuated">
    <w:name w:val="atenuated"/>
    <w:basedOn w:val="DefaultParagraphFont"/>
    <w:rsid w:val="00D570FC"/>
  </w:style>
  <w:style w:type="table" w:customStyle="1" w:styleId="GridTable2-Accent11">
    <w:name w:val="Grid Table 2 - Accent 11"/>
    <w:basedOn w:val="TableNormal"/>
    <w:uiPriority w:val="47"/>
    <w:rsid w:val="008C2BD0"/>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3-Accent51">
    <w:name w:val="Grid Table 3 - Accent 51"/>
    <w:basedOn w:val="TableNormal"/>
    <w:uiPriority w:val="48"/>
    <w:rsid w:val="008C2BD0"/>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uiPriority w:val="49"/>
    <w:rsid w:val="008C2BD0"/>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U1">
    <w:name w:val="U.1"/>
    <w:basedOn w:val="Normal"/>
    <w:qFormat/>
    <w:rsid w:val="003942C4"/>
    <w:pPr>
      <w:widowControl w:val="0"/>
      <w:tabs>
        <w:tab w:val="left" w:pos="1701"/>
      </w:tabs>
      <w:autoSpaceDE w:val="0"/>
      <w:autoSpaceDN w:val="0"/>
      <w:adjustRightInd w:val="0"/>
      <w:spacing w:after="120"/>
      <w:ind w:left="1701" w:hanging="567"/>
    </w:pPr>
    <w:rPr>
      <w:rFonts w:ascii="Arial" w:eastAsia="SimSun" w:hAnsi="Arial" w:cs="Arial"/>
      <w:sz w:val="22"/>
      <w:szCs w:val="22"/>
    </w:rPr>
  </w:style>
  <w:style w:type="paragraph" w:customStyle="1" w:styleId="i">
    <w:name w:val="(i)"/>
    <w:basedOn w:val="Normal"/>
    <w:link w:val="iChar"/>
    <w:autoRedefine/>
    <w:qFormat/>
    <w:rsid w:val="003942C4"/>
    <w:pPr>
      <w:numPr>
        <w:numId w:val="8"/>
      </w:numPr>
      <w:autoSpaceDE w:val="0"/>
      <w:autoSpaceDN w:val="0"/>
      <w:adjustRightInd w:val="0"/>
      <w:spacing w:before="120" w:after="120"/>
      <w:ind w:right="284"/>
      <w:jc w:val="both"/>
    </w:pPr>
    <w:rPr>
      <w:rFonts w:ascii="Arial" w:eastAsia="SimSun" w:hAnsi="Arial" w:cs="Arial"/>
      <w:w w:val="90"/>
      <w:sz w:val="22"/>
      <w:szCs w:val="22"/>
    </w:rPr>
  </w:style>
  <w:style w:type="character" w:customStyle="1" w:styleId="iChar">
    <w:name w:val="(i) Char"/>
    <w:link w:val="i"/>
    <w:locked/>
    <w:rsid w:val="003942C4"/>
    <w:rPr>
      <w:rFonts w:ascii="Arial" w:hAnsi="Arial" w:cs="Arial"/>
      <w:w w:val="90"/>
      <w:sz w:val="22"/>
      <w:szCs w:val="22"/>
      <w:lang w:val="es-ES" w:eastAsia="es-ES"/>
    </w:rPr>
  </w:style>
  <w:style w:type="paragraph" w:styleId="Revision">
    <w:name w:val="Revision"/>
    <w:hidden/>
    <w:uiPriority w:val="99"/>
    <w:semiHidden/>
    <w:rsid w:val="004C134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2.COM/10" TargetMode="External"/><Relationship Id="rId13" Type="http://schemas.openxmlformats.org/officeDocument/2006/relationships/hyperlink" Target="https://ich.unesco.org/en/Decisions/10.COM/6.b" TargetMode="External"/><Relationship Id="rId18" Type="http://schemas.openxmlformats.org/officeDocument/2006/relationships/hyperlink" Target="http://www.unesco.org/culture/ic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esco.org/culture/ich" TargetMode="External"/><Relationship Id="rId7" Type="http://schemas.openxmlformats.org/officeDocument/2006/relationships/endnotes" Target="endnotes.xml"/><Relationship Id="rId12" Type="http://schemas.openxmlformats.org/officeDocument/2006/relationships/hyperlink" Target="https://ich.unesco.org/doc/src/ITH-17-12.COM-10-EN.docx" TargetMode="External"/><Relationship Id="rId17" Type="http://schemas.openxmlformats.org/officeDocument/2006/relationships/hyperlink" Target="http://www.unesco.org/culture/ich" TargetMode="External"/><Relationship Id="rId25" Type="http://schemas.openxmlformats.org/officeDocument/2006/relationships/hyperlink" Target="https://ich.unesco.or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unesco.org/culture/i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2.COM/10" TargetMode="External"/><Relationship Id="rId24" Type="http://schemas.openxmlformats.org/officeDocument/2006/relationships/hyperlink" Target="http://www.unesco.org/culture/i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unesco.org/culture/ich" TargetMode="External"/><Relationship Id="rId10" Type="http://schemas.openxmlformats.org/officeDocument/2006/relationships/hyperlink" Target="https://ich.unesco.org/doc/src/ITH-17-12.COM_WG-7-EN.doc" TargetMode="External"/><Relationship Id="rId19" Type="http://schemas.openxmlformats.org/officeDocument/2006/relationships/hyperlink" Target="https://ich.unesco.org/" TargetMode="External"/><Relationship Id="rId4" Type="http://schemas.openxmlformats.org/officeDocument/2006/relationships/settings" Target="settings.xml"/><Relationship Id="rId9" Type="http://schemas.openxmlformats.org/officeDocument/2006/relationships/hyperlink" Target="https://ich.unesco.org/doc/src/ITH-17-12.COM_WG-5-EN.doc" TargetMode="External"/><Relationship Id="rId14" Type="http://schemas.openxmlformats.org/officeDocument/2006/relationships/header" Target="header1.xml"/><Relationship Id="rId22" Type="http://schemas.openxmlformats.org/officeDocument/2006/relationships/hyperlink" Target="https://ich.unesco.org/"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0826-A202-4F6F-A1E4-AA15A8F2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TotalTime>
  <Pages>11</Pages>
  <Words>3740</Words>
  <Characters>20572</Characters>
  <Application>Microsoft Office Word</Application>
  <DocSecurity>0</DocSecurity>
  <Lines>171</Lines>
  <Paragraphs>48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24264</CharactersWithSpaces>
  <SharedDoc>false</SharedDoc>
  <HLinks>
    <vt:vector size="90" baseType="variant">
      <vt:variant>
        <vt:i4>2490478</vt:i4>
      </vt:variant>
      <vt:variant>
        <vt:i4>42</vt:i4>
      </vt:variant>
      <vt:variant>
        <vt:i4>0</vt:i4>
      </vt:variant>
      <vt:variant>
        <vt:i4>5</vt:i4>
      </vt:variant>
      <vt:variant>
        <vt:lpwstr>https://ich.unesco.org/</vt:lpwstr>
      </vt:variant>
      <vt:variant>
        <vt:lpwstr/>
      </vt:variant>
      <vt:variant>
        <vt:i4>1310812</vt:i4>
      </vt:variant>
      <vt:variant>
        <vt:i4>39</vt:i4>
      </vt:variant>
      <vt:variant>
        <vt:i4>0</vt:i4>
      </vt:variant>
      <vt:variant>
        <vt:i4>5</vt:i4>
      </vt:variant>
      <vt:variant>
        <vt:lpwstr>http://www.unesco.org/culture/ich</vt:lpwstr>
      </vt:variant>
      <vt:variant>
        <vt:lpwstr/>
      </vt:variant>
      <vt:variant>
        <vt:i4>1310812</vt:i4>
      </vt:variant>
      <vt:variant>
        <vt:i4>36</vt:i4>
      </vt:variant>
      <vt:variant>
        <vt:i4>0</vt:i4>
      </vt:variant>
      <vt:variant>
        <vt:i4>5</vt:i4>
      </vt:variant>
      <vt:variant>
        <vt:lpwstr>http://www.unesco.org/culture/ich</vt:lpwstr>
      </vt:variant>
      <vt:variant>
        <vt:lpwstr/>
      </vt:variant>
      <vt:variant>
        <vt:i4>2490478</vt:i4>
      </vt:variant>
      <vt:variant>
        <vt:i4>33</vt:i4>
      </vt:variant>
      <vt:variant>
        <vt:i4>0</vt:i4>
      </vt:variant>
      <vt:variant>
        <vt:i4>5</vt:i4>
      </vt:variant>
      <vt:variant>
        <vt:lpwstr>https://ich.unesco.org/</vt:lpwstr>
      </vt:variant>
      <vt:variant>
        <vt:lpwstr/>
      </vt:variant>
      <vt:variant>
        <vt:i4>1310812</vt:i4>
      </vt:variant>
      <vt:variant>
        <vt:i4>30</vt:i4>
      </vt:variant>
      <vt:variant>
        <vt:i4>0</vt:i4>
      </vt:variant>
      <vt:variant>
        <vt:i4>5</vt:i4>
      </vt:variant>
      <vt:variant>
        <vt:lpwstr>http://www.unesco.org/culture/ich</vt:lpwstr>
      </vt:variant>
      <vt:variant>
        <vt:lpwstr/>
      </vt:variant>
      <vt:variant>
        <vt:i4>1310812</vt:i4>
      </vt:variant>
      <vt:variant>
        <vt:i4>27</vt:i4>
      </vt:variant>
      <vt:variant>
        <vt:i4>0</vt:i4>
      </vt:variant>
      <vt:variant>
        <vt:i4>5</vt:i4>
      </vt:variant>
      <vt:variant>
        <vt:lpwstr>http://www.unesco.org/culture/ich</vt:lpwstr>
      </vt:variant>
      <vt:variant>
        <vt:lpwstr/>
      </vt:variant>
      <vt:variant>
        <vt:i4>2490478</vt:i4>
      </vt:variant>
      <vt:variant>
        <vt:i4>24</vt:i4>
      </vt:variant>
      <vt:variant>
        <vt:i4>0</vt:i4>
      </vt:variant>
      <vt:variant>
        <vt:i4>5</vt:i4>
      </vt:variant>
      <vt:variant>
        <vt:lpwstr>https://ich.unesco.org/</vt:lpwstr>
      </vt:variant>
      <vt:variant>
        <vt:lpwstr/>
      </vt:variant>
      <vt:variant>
        <vt:i4>1310812</vt:i4>
      </vt:variant>
      <vt:variant>
        <vt:i4>21</vt:i4>
      </vt:variant>
      <vt:variant>
        <vt:i4>0</vt:i4>
      </vt:variant>
      <vt:variant>
        <vt:i4>5</vt:i4>
      </vt:variant>
      <vt:variant>
        <vt:lpwstr>http://www.unesco.org/culture/ich</vt:lpwstr>
      </vt:variant>
      <vt:variant>
        <vt:lpwstr/>
      </vt:variant>
      <vt:variant>
        <vt:i4>1310812</vt:i4>
      </vt:variant>
      <vt:variant>
        <vt:i4>18</vt:i4>
      </vt:variant>
      <vt:variant>
        <vt:i4>0</vt:i4>
      </vt:variant>
      <vt:variant>
        <vt:i4>5</vt:i4>
      </vt:variant>
      <vt:variant>
        <vt:lpwstr>http://www.unesco.org/culture/ich</vt:lpwstr>
      </vt:variant>
      <vt:variant>
        <vt:lpwstr/>
      </vt:variant>
      <vt:variant>
        <vt:i4>2228278</vt:i4>
      </vt:variant>
      <vt:variant>
        <vt:i4>15</vt:i4>
      </vt:variant>
      <vt:variant>
        <vt:i4>0</vt:i4>
      </vt:variant>
      <vt:variant>
        <vt:i4>5</vt:i4>
      </vt:variant>
      <vt:variant>
        <vt:lpwstr>https://ich.unesco.org/en/Decisions/10.COM/6.b</vt:lpwstr>
      </vt:variant>
      <vt:variant>
        <vt:lpwstr/>
      </vt:variant>
      <vt:variant>
        <vt:i4>6619259</vt:i4>
      </vt:variant>
      <vt:variant>
        <vt:i4>12</vt:i4>
      </vt:variant>
      <vt:variant>
        <vt:i4>0</vt:i4>
      </vt:variant>
      <vt:variant>
        <vt:i4>5</vt:i4>
      </vt:variant>
      <vt:variant>
        <vt:lpwstr>https://ich.unesco.org/doc/src/ITH-17-12.COM-10-EN.docx</vt:lpwstr>
      </vt:variant>
      <vt:variant>
        <vt:lpwstr/>
      </vt:variant>
      <vt:variant>
        <vt:i4>4522008</vt:i4>
      </vt:variant>
      <vt:variant>
        <vt:i4>9</vt:i4>
      </vt:variant>
      <vt:variant>
        <vt:i4>0</vt:i4>
      </vt:variant>
      <vt:variant>
        <vt:i4>5</vt:i4>
      </vt:variant>
      <vt:variant>
        <vt:lpwstr>https://ich.unesco.org/en/Decisions/12.COM/10</vt:lpwstr>
      </vt:variant>
      <vt:variant>
        <vt:lpwstr/>
      </vt:variant>
      <vt:variant>
        <vt:i4>917609</vt:i4>
      </vt:variant>
      <vt:variant>
        <vt:i4>6</vt:i4>
      </vt:variant>
      <vt:variant>
        <vt:i4>0</vt:i4>
      </vt:variant>
      <vt:variant>
        <vt:i4>5</vt:i4>
      </vt:variant>
      <vt:variant>
        <vt:lpwstr>https://ich.unesco.org/doc/src/ITH-17-12.COM_WG-7-EN.doc</vt:lpwstr>
      </vt:variant>
      <vt:variant>
        <vt:lpwstr/>
      </vt:variant>
      <vt:variant>
        <vt:i4>917611</vt:i4>
      </vt:variant>
      <vt:variant>
        <vt:i4>3</vt:i4>
      </vt:variant>
      <vt:variant>
        <vt:i4>0</vt:i4>
      </vt:variant>
      <vt:variant>
        <vt:i4>5</vt:i4>
      </vt:variant>
      <vt:variant>
        <vt:lpwstr>https://ich.unesco.org/doc/src/ITH-17-12.COM_WG-5-EN.doc</vt:lpwstr>
      </vt:variant>
      <vt:variant>
        <vt:lpwstr/>
      </vt:variant>
      <vt:variant>
        <vt:i4>4522008</vt:i4>
      </vt:variant>
      <vt:variant>
        <vt:i4>0</vt:i4>
      </vt:variant>
      <vt:variant>
        <vt:i4>0</vt:i4>
      </vt:variant>
      <vt:variant>
        <vt:i4>5</vt:i4>
      </vt:variant>
      <vt:variant>
        <vt:lpwstr>https://ich.unesco.org/en/Decisions/12.COM/10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MUNIER, Caroline</cp:lastModifiedBy>
  <cp:revision>4</cp:revision>
  <cp:lastPrinted>2017-10-25T08:46:00Z</cp:lastPrinted>
  <dcterms:created xsi:type="dcterms:W3CDTF">2018-05-31T14:09:00Z</dcterms:created>
  <dcterms:modified xsi:type="dcterms:W3CDTF">2018-05-31T14:17:00Z</dcterms:modified>
</cp:coreProperties>
</file>