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9725" w14:textId="77777777" w:rsidR="00655736" w:rsidRPr="00414643" w:rsidRDefault="00655736" w:rsidP="00655736">
      <w:pPr>
        <w:spacing w:before="1440"/>
        <w:jc w:val="center"/>
        <w:rPr>
          <w:rFonts w:ascii="Arial" w:hAnsi="Arial" w:cs="Arial"/>
          <w:b/>
          <w:sz w:val="22"/>
          <w:szCs w:val="22"/>
        </w:rPr>
      </w:pPr>
      <w:r>
        <w:rPr>
          <w:rFonts w:ascii="Arial" w:hAnsi="Arial"/>
          <w:b/>
          <w:sz w:val="22"/>
          <w:szCs w:val="22"/>
        </w:rPr>
        <w:t xml:space="preserve">CONVENTION POUR LA SAUVEGARDE DU </w:t>
      </w:r>
      <w:r>
        <w:rPr>
          <w:rFonts w:ascii="Arial" w:hAnsi="Arial"/>
          <w:b/>
          <w:sz w:val="22"/>
          <w:szCs w:val="22"/>
        </w:rPr>
        <w:br/>
        <w:t>PATRIMOINE CULTUREL IMMATÉRIEL</w:t>
      </w:r>
    </w:p>
    <w:p w14:paraId="1DD94C6C" w14:textId="77777777"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14:paraId="345586E1" w14:textId="77777777" w:rsidR="00D95C4C" w:rsidRPr="00FD624F" w:rsidRDefault="00EF69E3" w:rsidP="00D95C4C">
      <w:pPr>
        <w:spacing w:before="840"/>
        <w:jc w:val="center"/>
        <w:rPr>
          <w:rFonts w:ascii="Arial" w:hAnsi="Arial" w:cs="Arial"/>
          <w:b/>
          <w:sz w:val="22"/>
          <w:szCs w:val="22"/>
        </w:rPr>
      </w:pPr>
      <w:r>
        <w:rPr>
          <w:rFonts w:ascii="Arial" w:hAnsi="Arial"/>
          <w:b/>
          <w:sz w:val="22"/>
          <w:szCs w:val="22"/>
        </w:rPr>
        <w:t>Septième session</w:t>
      </w:r>
    </w:p>
    <w:p w14:paraId="50242FB1" w14:textId="30761BA3" w:rsidR="00D95C4C" w:rsidRPr="00FD624F" w:rsidRDefault="00D95C4C" w:rsidP="00D95C4C">
      <w:pPr>
        <w:jc w:val="center"/>
        <w:rPr>
          <w:rFonts w:ascii="Arial" w:hAnsi="Arial" w:cs="Arial"/>
          <w:b/>
          <w:sz w:val="22"/>
          <w:szCs w:val="22"/>
        </w:rPr>
      </w:pPr>
      <w:r>
        <w:rPr>
          <w:rFonts w:ascii="Arial" w:hAnsi="Arial"/>
          <w:b/>
          <w:sz w:val="22"/>
          <w:szCs w:val="22"/>
        </w:rPr>
        <w:t>Siège de l</w:t>
      </w:r>
      <w:r w:rsidR="006575A1">
        <w:rPr>
          <w:rFonts w:ascii="Arial" w:hAnsi="Arial"/>
          <w:b/>
          <w:sz w:val="22"/>
          <w:szCs w:val="22"/>
        </w:rPr>
        <w:t>’</w:t>
      </w:r>
      <w:r>
        <w:rPr>
          <w:rFonts w:ascii="Arial" w:hAnsi="Arial"/>
          <w:b/>
          <w:sz w:val="22"/>
          <w:szCs w:val="22"/>
        </w:rPr>
        <w:t>UNESCO, Salle II</w:t>
      </w:r>
    </w:p>
    <w:p w14:paraId="17467DDB" w14:textId="77777777" w:rsidR="00655736" w:rsidRPr="00414643" w:rsidRDefault="00C42C66" w:rsidP="00D95C4C">
      <w:pPr>
        <w:jc w:val="center"/>
        <w:rPr>
          <w:rFonts w:ascii="Arial" w:hAnsi="Arial" w:cs="Arial"/>
          <w:b/>
          <w:sz w:val="22"/>
          <w:szCs w:val="22"/>
        </w:rPr>
      </w:pPr>
      <w:r>
        <w:rPr>
          <w:rFonts w:ascii="Arial" w:hAnsi="Arial"/>
          <w:b/>
          <w:sz w:val="22"/>
          <w:szCs w:val="22"/>
        </w:rPr>
        <w:t>4 – 6 juin 2018</w:t>
      </w:r>
    </w:p>
    <w:p w14:paraId="06570B43" w14:textId="625DF94F" w:rsidR="00655736" w:rsidRPr="00414643"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12 de l</w:t>
      </w:r>
      <w:r w:rsidR="006575A1">
        <w:rPr>
          <w:rFonts w:ascii="Arial" w:hAnsi="Arial"/>
          <w:b/>
          <w:sz w:val="22"/>
          <w:szCs w:val="22"/>
          <w:u w:val="single"/>
        </w:rPr>
        <w:t>’</w:t>
      </w:r>
      <w:r>
        <w:rPr>
          <w:rFonts w:ascii="Arial" w:hAnsi="Arial"/>
          <w:b/>
          <w:sz w:val="22"/>
          <w:szCs w:val="22"/>
          <w:u w:val="single"/>
        </w:rPr>
        <w:t>ordre du jour provisoire :</w:t>
      </w:r>
    </w:p>
    <w:p w14:paraId="5457AE81" w14:textId="05157FEC" w:rsidR="002F312A" w:rsidRPr="00414643" w:rsidRDefault="00472AC3" w:rsidP="0000757E">
      <w:pPr>
        <w:pStyle w:val="Sansinterligne2"/>
        <w:spacing w:after="1200"/>
        <w:jc w:val="center"/>
        <w:rPr>
          <w:rFonts w:ascii="Arial" w:hAnsi="Arial" w:cs="Arial"/>
          <w:b/>
          <w:sz w:val="22"/>
          <w:szCs w:val="22"/>
        </w:rPr>
      </w:pPr>
      <w:r>
        <w:rPr>
          <w:rFonts w:ascii="Arial" w:hAnsi="Arial"/>
          <w:b/>
          <w:sz w:val="22"/>
          <w:szCs w:val="22"/>
        </w:rPr>
        <w:t>Suivi de la mise en œuvre des recommandations pertinentes du Groupe de travail à composition non limitée sur la gouvernance, les procédures et les méthodes de travail des organes directeurs de l</w:t>
      </w:r>
      <w:r w:rsidR="006575A1">
        <w:rPr>
          <w:rFonts w:ascii="Arial" w:hAnsi="Arial"/>
          <w:b/>
          <w:sz w:val="22"/>
          <w:szCs w:val="22"/>
        </w:rPr>
        <w:t>’</w:t>
      </w:r>
      <w:r>
        <w:rPr>
          <w:rFonts w:ascii="Arial" w:hAnsi="Arial"/>
          <w:b/>
          <w:sz w:val="22"/>
          <w:szCs w:val="22"/>
        </w:rPr>
        <w:t>UNESCO (résolution 39 C/87)</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C61CA" w14:paraId="7DBA5CF3" w14:textId="77777777" w:rsidTr="000226CE">
        <w:trPr>
          <w:jc w:val="center"/>
        </w:trPr>
        <w:tc>
          <w:tcPr>
            <w:tcW w:w="5670" w:type="dxa"/>
            <w:vAlign w:val="center"/>
          </w:tcPr>
          <w:p w14:paraId="42CE684D" w14:textId="77777777" w:rsidR="0057439C" w:rsidRPr="00414643"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14:paraId="04BD1724" w14:textId="5624D865" w:rsidR="007A01DE" w:rsidRPr="00C21D96" w:rsidRDefault="00F610B9" w:rsidP="005B7A35">
            <w:pPr>
              <w:pStyle w:val="Sansinterligne2"/>
              <w:spacing w:after="120"/>
              <w:jc w:val="both"/>
              <w:rPr>
                <w:rFonts w:ascii="Arial" w:hAnsi="Arial" w:cs="Arial"/>
                <w:b/>
                <w:sz w:val="22"/>
                <w:szCs w:val="22"/>
              </w:rPr>
            </w:pPr>
            <w:r>
              <w:rPr>
                <w:rFonts w:ascii="Arial" w:hAnsi="Arial"/>
                <w:sz w:val="22"/>
                <w:szCs w:val="22"/>
              </w:rPr>
              <w:t>Lors de sa trente-neuvième session, par la résolution 39 C/87, la Conférence générale a invité le Conseil exécutif, la Directrice générale et les organes directeurs des différents organes à mettre en œuvre les recommandations du Groupe de travail à composition non limitée sur la gouvernance de l</w:t>
            </w:r>
            <w:r w:rsidR="006575A1">
              <w:rPr>
                <w:rFonts w:ascii="Arial" w:hAnsi="Arial"/>
                <w:sz w:val="22"/>
                <w:szCs w:val="22"/>
              </w:rPr>
              <w:t>’</w:t>
            </w:r>
            <w:r>
              <w:rPr>
                <w:rFonts w:ascii="Arial" w:hAnsi="Arial"/>
                <w:sz w:val="22"/>
                <w:szCs w:val="22"/>
              </w:rPr>
              <w:t>UNESCO, telles que présentées dans le document 39 C/70. Le présent document fait le point sur l</w:t>
            </w:r>
            <w:r w:rsidR="006575A1">
              <w:rPr>
                <w:rFonts w:ascii="Arial" w:hAnsi="Arial"/>
                <w:sz w:val="22"/>
                <w:szCs w:val="22"/>
              </w:rPr>
              <w:t>’</w:t>
            </w:r>
            <w:r>
              <w:rPr>
                <w:rFonts w:ascii="Arial" w:hAnsi="Arial"/>
                <w:sz w:val="22"/>
                <w:szCs w:val="22"/>
              </w:rPr>
              <w:t>état de la mise en œuvre des recommandations de ce groupe de travail qui sont pertinentes pour les organes directeurs de la Convention de 2003.</w:t>
            </w:r>
          </w:p>
          <w:p w14:paraId="038418DC" w14:textId="69E6EEC6" w:rsidR="00655736" w:rsidRPr="00414643" w:rsidRDefault="00FB6630" w:rsidP="007523AD">
            <w:pPr>
              <w:pStyle w:val="Sansinterligne2"/>
              <w:spacing w:after="12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6</w:t>
            </w:r>
          </w:p>
        </w:tc>
      </w:tr>
    </w:tbl>
    <w:p w14:paraId="5EEA2075" w14:textId="77777777" w:rsidR="006C4D90" w:rsidRDefault="006C4D90">
      <w:pPr>
        <w:rPr>
          <w:rFonts w:ascii="Arial" w:hAnsi="Arial" w:cs="Arial"/>
          <w:snapToGrid w:val="0"/>
          <w:sz w:val="22"/>
          <w:szCs w:val="22"/>
        </w:rPr>
      </w:pPr>
      <w:r>
        <w:br w:type="page"/>
      </w:r>
    </w:p>
    <w:p w14:paraId="6ABA0542" w14:textId="171DB4DF" w:rsidR="00474F64" w:rsidRPr="00E863FC" w:rsidRDefault="00D946EA" w:rsidP="005D74DF">
      <w:pPr>
        <w:pStyle w:val="ListParagraph"/>
        <w:numPr>
          <w:ilvl w:val="0"/>
          <w:numId w:val="19"/>
        </w:numPr>
        <w:spacing w:after="120"/>
        <w:ind w:left="567" w:hanging="567"/>
        <w:contextualSpacing w:val="0"/>
        <w:jc w:val="both"/>
        <w:rPr>
          <w:rFonts w:ascii="Arial" w:hAnsi="Arial" w:cs="Arial"/>
          <w:snapToGrid w:val="0"/>
          <w:sz w:val="22"/>
          <w:szCs w:val="22"/>
        </w:rPr>
      </w:pPr>
      <w:r>
        <w:rPr>
          <w:rFonts w:ascii="Arial" w:hAnsi="Arial"/>
          <w:snapToGrid w:val="0"/>
          <w:sz w:val="22"/>
          <w:szCs w:val="22"/>
        </w:rPr>
        <w:lastRenderedPageBreak/>
        <w:t>Lors de sa trente-huitième session en 2015, la Conférence générale de l</w:t>
      </w:r>
      <w:r w:rsidR="006575A1">
        <w:rPr>
          <w:rFonts w:ascii="Arial" w:hAnsi="Arial"/>
          <w:snapToGrid w:val="0"/>
          <w:sz w:val="22"/>
          <w:szCs w:val="22"/>
        </w:rPr>
        <w:t>’</w:t>
      </w:r>
      <w:r>
        <w:rPr>
          <w:rFonts w:ascii="Arial" w:hAnsi="Arial"/>
          <w:snapToGrid w:val="0"/>
          <w:sz w:val="22"/>
          <w:szCs w:val="22"/>
        </w:rPr>
        <w:t>UNESCO a créé par sa résolution 38 C/101 un groupe de travail à composition non limitée sur la gouvernance, les procédures et les méthodes de travail des organes directeurs de l</w:t>
      </w:r>
      <w:r w:rsidR="006575A1">
        <w:rPr>
          <w:rFonts w:ascii="Arial" w:hAnsi="Arial"/>
          <w:snapToGrid w:val="0"/>
          <w:sz w:val="22"/>
          <w:szCs w:val="22"/>
        </w:rPr>
        <w:t>’</w:t>
      </w:r>
      <w:r>
        <w:rPr>
          <w:rFonts w:ascii="Arial" w:hAnsi="Arial"/>
          <w:snapToGrid w:val="0"/>
          <w:sz w:val="22"/>
          <w:szCs w:val="22"/>
        </w:rPr>
        <w:t>UNESCO, dont l</w:t>
      </w:r>
      <w:r w:rsidR="006575A1">
        <w:rPr>
          <w:rFonts w:ascii="Arial" w:hAnsi="Arial"/>
          <w:snapToGrid w:val="0"/>
          <w:sz w:val="22"/>
          <w:szCs w:val="22"/>
        </w:rPr>
        <w:t>’</w:t>
      </w:r>
      <w:r>
        <w:rPr>
          <w:rFonts w:ascii="Arial" w:hAnsi="Arial"/>
          <w:snapToGrid w:val="0"/>
          <w:sz w:val="22"/>
          <w:szCs w:val="22"/>
        </w:rPr>
        <w:t>objectif est d</w:t>
      </w:r>
      <w:r w:rsidR="006575A1">
        <w:rPr>
          <w:rFonts w:ascii="Arial" w:hAnsi="Arial"/>
          <w:snapToGrid w:val="0"/>
          <w:sz w:val="22"/>
          <w:szCs w:val="22"/>
        </w:rPr>
        <w:t>’</w:t>
      </w:r>
      <w:r>
        <w:rPr>
          <w:rFonts w:ascii="Arial" w:hAnsi="Arial"/>
          <w:snapToGrid w:val="0"/>
          <w:sz w:val="22"/>
          <w:szCs w:val="22"/>
        </w:rPr>
        <w:t>exploiter les possibilités de renforcer la synergie, l</w:t>
      </w:r>
      <w:r w:rsidR="006575A1">
        <w:rPr>
          <w:rFonts w:ascii="Arial" w:hAnsi="Arial"/>
          <w:snapToGrid w:val="0"/>
          <w:sz w:val="22"/>
          <w:szCs w:val="22"/>
        </w:rPr>
        <w:t>’</w:t>
      </w:r>
      <w:r>
        <w:rPr>
          <w:rFonts w:ascii="Arial" w:hAnsi="Arial"/>
          <w:snapToGrid w:val="0"/>
          <w:sz w:val="22"/>
          <w:szCs w:val="22"/>
        </w:rPr>
        <w:t>harmonisation, l</w:t>
      </w:r>
      <w:r w:rsidR="006575A1">
        <w:rPr>
          <w:rFonts w:ascii="Arial" w:hAnsi="Arial"/>
          <w:snapToGrid w:val="0"/>
          <w:sz w:val="22"/>
          <w:szCs w:val="22"/>
        </w:rPr>
        <w:t>’</w:t>
      </w:r>
      <w:r>
        <w:rPr>
          <w:rFonts w:ascii="Arial" w:hAnsi="Arial"/>
          <w:snapToGrid w:val="0"/>
          <w:sz w:val="22"/>
          <w:szCs w:val="22"/>
        </w:rPr>
        <w:t>efficacité et l</w:t>
      </w:r>
      <w:r w:rsidR="006575A1">
        <w:rPr>
          <w:rFonts w:ascii="Arial" w:hAnsi="Arial"/>
          <w:snapToGrid w:val="0"/>
          <w:sz w:val="22"/>
          <w:szCs w:val="22"/>
        </w:rPr>
        <w:t>’</w:t>
      </w:r>
      <w:r>
        <w:rPr>
          <w:rFonts w:ascii="Arial" w:hAnsi="Arial"/>
          <w:snapToGrid w:val="0"/>
          <w:sz w:val="22"/>
          <w:szCs w:val="22"/>
        </w:rPr>
        <w:t>impact. Ce groupe de travail lui-même a créé deux sous-groupes : le Sous-groupe 1, « Structure, composition et méthodes de travail des organes directeurs (Conférence générale et Conseil exécutif) ; et le Sous-groupe 2, « Structure, composition et méthodes de travail des organes internationaux et intergouvernementaux de l</w:t>
      </w:r>
      <w:r w:rsidR="006575A1">
        <w:rPr>
          <w:rFonts w:ascii="Arial" w:hAnsi="Arial"/>
          <w:snapToGrid w:val="0"/>
          <w:sz w:val="22"/>
          <w:szCs w:val="22"/>
        </w:rPr>
        <w:t>’</w:t>
      </w:r>
      <w:r>
        <w:rPr>
          <w:rFonts w:ascii="Arial" w:hAnsi="Arial"/>
          <w:snapToGrid w:val="0"/>
          <w:sz w:val="22"/>
          <w:szCs w:val="22"/>
        </w:rPr>
        <w:t>UNESCO ».</w:t>
      </w:r>
    </w:p>
    <w:p w14:paraId="5F0F11D3" w14:textId="7E6B03AB" w:rsidR="00A161CA" w:rsidRPr="003B52E4" w:rsidRDefault="00F610B9" w:rsidP="00654913">
      <w:pPr>
        <w:pStyle w:val="ListParagraph"/>
        <w:numPr>
          <w:ilvl w:val="0"/>
          <w:numId w:val="19"/>
        </w:numPr>
        <w:spacing w:after="120"/>
        <w:ind w:left="567" w:hanging="567"/>
        <w:contextualSpacing w:val="0"/>
        <w:jc w:val="both"/>
        <w:rPr>
          <w:rFonts w:ascii="Arial" w:hAnsi="Arial" w:cs="Arial"/>
          <w:snapToGrid w:val="0"/>
          <w:sz w:val="22"/>
          <w:szCs w:val="22"/>
        </w:rPr>
      </w:pPr>
      <w:r>
        <w:rPr>
          <w:rFonts w:ascii="Arial" w:hAnsi="Arial"/>
          <w:snapToGrid w:val="0"/>
          <w:sz w:val="22"/>
          <w:szCs w:val="22"/>
        </w:rPr>
        <w:t>Lors de sa trente-neuvième session en 2017, la Conférence générale a examiné le rapport du Groupe de travail (</w:t>
      </w:r>
      <w:hyperlink r:id="rId8" w:history="1">
        <w:r>
          <w:rPr>
            <w:rStyle w:val="Hyperlink"/>
            <w:rFonts w:ascii="Arial" w:hAnsi="Arial"/>
            <w:snapToGrid w:val="0"/>
            <w:sz w:val="22"/>
            <w:szCs w:val="22"/>
          </w:rPr>
          <w:t>document 39 C/20</w:t>
        </w:r>
      </w:hyperlink>
      <w:r>
        <w:rPr>
          <w:rFonts w:ascii="Arial" w:hAnsi="Arial"/>
          <w:snapToGrid w:val="0"/>
          <w:sz w:val="22"/>
          <w:szCs w:val="22"/>
        </w:rPr>
        <w:t>) ; et par sa résolution 39 C/87 elle a fait siennes les recommandations du groupe telles qu</w:t>
      </w:r>
      <w:r w:rsidR="006575A1">
        <w:rPr>
          <w:rFonts w:ascii="Arial" w:hAnsi="Arial"/>
          <w:snapToGrid w:val="0"/>
          <w:sz w:val="22"/>
          <w:szCs w:val="22"/>
        </w:rPr>
        <w:t>’</w:t>
      </w:r>
      <w:r>
        <w:rPr>
          <w:rFonts w:ascii="Arial" w:hAnsi="Arial"/>
          <w:snapToGrid w:val="0"/>
          <w:sz w:val="22"/>
          <w:szCs w:val="22"/>
        </w:rPr>
        <w:t xml:space="preserve">amendées par la Commission APX </w:t>
      </w:r>
      <w:r w:rsidR="00883219">
        <w:rPr>
          <w:rStyle w:val="FootnoteReference"/>
          <w:rFonts w:ascii="Arial" w:hAnsi="Arial" w:cs="Arial"/>
          <w:snapToGrid w:val="0"/>
          <w:sz w:val="22"/>
          <w:szCs w:val="22"/>
          <w:lang w:val="en-GB" w:eastAsia="en-US"/>
        </w:rPr>
        <w:footnoteReference w:id="1"/>
      </w:r>
      <w:r>
        <w:rPr>
          <w:rFonts w:ascii="Arial" w:hAnsi="Arial"/>
          <w:snapToGrid w:val="0"/>
          <w:sz w:val="22"/>
          <w:szCs w:val="22"/>
        </w:rPr>
        <w:t xml:space="preserve"> dans le </w:t>
      </w:r>
      <w:hyperlink r:id="rId9" w:history="1">
        <w:r>
          <w:rPr>
            <w:rStyle w:val="Hyperlink"/>
            <w:rFonts w:ascii="Arial" w:hAnsi="Arial"/>
            <w:snapToGrid w:val="0"/>
            <w:sz w:val="22"/>
            <w:szCs w:val="22"/>
          </w:rPr>
          <w:t>document 39 C/70</w:t>
        </w:r>
      </w:hyperlink>
      <w:r>
        <w:rPr>
          <w:rFonts w:ascii="Arial" w:hAnsi="Arial"/>
          <w:snapToGrid w:val="0"/>
          <w:sz w:val="22"/>
          <w:szCs w:val="22"/>
        </w:rPr>
        <w:t>. En outre, dans cette même résolution, la Conférence générale a invité le Conseil exécutif, la Directrice générale et les organes directeurs des différents organes examinés par le Groupe de travail à composition non limitée sur la gouvernance à mettre en œuvre, s</w:t>
      </w:r>
      <w:r w:rsidR="006575A1">
        <w:rPr>
          <w:rFonts w:ascii="Arial" w:hAnsi="Arial"/>
          <w:snapToGrid w:val="0"/>
          <w:sz w:val="22"/>
          <w:szCs w:val="22"/>
        </w:rPr>
        <w:t>’</w:t>
      </w:r>
      <w:r>
        <w:rPr>
          <w:rFonts w:ascii="Arial" w:hAnsi="Arial"/>
          <w:snapToGrid w:val="0"/>
          <w:sz w:val="22"/>
          <w:szCs w:val="22"/>
        </w:rPr>
        <w:t>il y a lieu, lesdites recommandations</w:t>
      </w:r>
    </w:p>
    <w:p w14:paraId="5F2E7282" w14:textId="6559F0CB" w:rsidR="00A161CA" w:rsidRPr="00942976" w:rsidRDefault="00237D23" w:rsidP="007761A8">
      <w:pPr>
        <w:pStyle w:val="ListParagraph"/>
        <w:numPr>
          <w:ilvl w:val="0"/>
          <w:numId w:val="19"/>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Les organes directeurs de la Convention de 2003 avaient déjà abordé les questions de gouvernance à diverses occasions, mais le Comité a inscrit un point relatif aux recommandations du Groupe de travail à composition non limitée à l</w:t>
      </w:r>
      <w:r w:rsidR="006575A1">
        <w:rPr>
          <w:rFonts w:ascii="Arial" w:hAnsi="Arial"/>
          <w:snapToGrid w:val="0"/>
          <w:sz w:val="22"/>
          <w:szCs w:val="22"/>
        </w:rPr>
        <w:t>’</w:t>
      </w:r>
      <w:r>
        <w:rPr>
          <w:rFonts w:ascii="Arial" w:hAnsi="Arial"/>
          <w:snapToGrid w:val="0"/>
          <w:sz w:val="22"/>
          <w:szCs w:val="22"/>
        </w:rPr>
        <w:t>ordre du jour de sa douzième session afin de le présenter à la septième session de l</w:t>
      </w:r>
      <w:r w:rsidR="006575A1">
        <w:rPr>
          <w:rFonts w:ascii="Arial" w:hAnsi="Arial"/>
          <w:snapToGrid w:val="0"/>
          <w:sz w:val="22"/>
          <w:szCs w:val="22"/>
        </w:rPr>
        <w:t>’</w:t>
      </w:r>
      <w:r>
        <w:rPr>
          <w:rFonts w:ascii="Arial" w:hAnsi="Arial"/>
          <w:snapToGrid w:val="0"/>
          <w:sz w:val="22"/>
          <w:szCs w:val="22"/>
        </w:rPr>
        <w:t>Assemblée générale. S</w:t>
      </w:r>
      <w:r w:rsidR="006575A1">
        <w:rPr>
          <w:rFonts w:ascii="Arial" w:hAnsi="Arial"/>
          <w:snapToGrid w:val="0"/>
          <w:sz w:val="22"/>
          <w:szCs w:val="22"/>
        </w:rPr>
        <w:t>’</w:t>
      </w:r>
      <w:r>
        <w:rPr>
          <w:rFonts w:ascii="Arial" w:hAnsi="Arial"/>
          <w:snapToGrid w:val="0"/>
          <w:sz w:val="22"/>
          <w:szCs w:val="22"/>
        </w:rPr>
        <w:t xml:space="preserve">inspirant de la résolution 39 C/87, le Comité a invité le Secrétariat à mettre en œuvre les recommandations pertinentes du Groupe de travail à composition non limitée, par sa </w:t>
      </w:r>
      <w:hyperlink r:id="rId10" w:history="1">
        <w:r>
          <w:rPr>
            <w:rStyle w:val="Hyperlink"/>
            <w:rFonts w:ascii="Arial" w:hAnsi="Arial"/>
            <w:snapToGrid w:val="0"/>
            <w:sz w:val="22"/>
            <w:szCs w:val="22"/>
          </w:rPr>
          <w:t>décision 12.COM 16</w:t>
        </w:r>
      </w:hyperlink>
      <w:r>
        <w:rPr>
          <w:rFonts w:ascii="Arial" w:hAnsi="Arial"/>
          <w:snapToGrid w:val="0"/>
          <w:sz w:val="22"/>
          <w:szCs w:val="22"/>
        </w:rPr>
        <w:t>. Il a également décidé d</w:t>
      </w:r>
      <w:r w:rsidR="006575A1">
        <w:rPr>
          <w:rFonts w:ascii="Arial" w:hAnsi="Arial"/>
          <w:snapToGrid w:val="0"/>
          <w:sz w:val="22"/>
          <w:szCs w:val="22"/>
        </w:rPr>
        <w:t>’</w:t>
      </w:r>
      <w:r>
        <w:rPr>
          <w:rFonts w:ascii="Arial" w:hAnsi="Arial"/>
          <w:snapToGrid w:val="0"/>
          <w:sz w:val="22"/>
          <w:szCs w:val="22"/>
        </w:rPr>
        <w:t>inscrire à l</w:t>
      </w:r>
      <w:r w:rsidR="006575A1">
        <w:rPr>
          <w:rFonts w:ascii="Arial" w:hAnsi="Arial"/>
          <w:snapToGrid w:val="0"/>
          <w:sz w:val="22"/>
          <w:szCs w:val="22"/>
        </w:rPr>
        <w:t>’</w:t>
      </w:r>
      <w:r>
        <w:rPr>
          <w:rFonts w:ascii="Arial" w:hAnsi="Arial"/>
          <w:snapToGrid w:val="0"/>
          <w:sz w:val="22"/>
          <w:szCs w:val="22"/>
        </w:rPr>
        <w:t>ordre du jour de sa treizième session en 2018 un point sur le suivi des recommandations en question.</w:t>
      </w:r>
    </w:p>
    <w:p w14:paraId="50754311" w14:textId="295B70C3" w:rsidR="006D47D5" w:rsidRPr="00942976" w:rsidRDefault="00A161CA" w:rsidP="00874122">
      <w:pPr>
        <w:pStyle w:val="ListParagraph"/>
        <w:numPr>
          <w:ilvl w:val="0"/>
          <w:numId w:val="19"/>
        </w:numPr>
        <w:spacing w:after="120"/>
        <w:ind w:left="567" w:hanging="567"/>
        <w:contextualSpacing w:val="0"/>
        <w:jc w:val="both"/>
        <w:rPr>
          <w:rFonts w:ascii="Arial" w:hAnsi="Arial" w:cs="Arial"/>
          <w:sz w:val="22"/>
          <w:szCs w:val="22"/>
        </w:rPr>
      </w:pPr>
      <w:r>
        <w:rPr>
          <w:rFonts w:ascii="Arial" w:hAnsi="Arial"/>
          <w:snapToGrid w:val="0"/>
          <w:sz w:val="22"/>
          <w:szCs w:val="22"/>
        </w:rPr>
        <w:t>L</w:t>
      </w:r>
      <w:r w:rsidR="006575A1">
        <w:rPr>
          <w:rFonts w:ascii="Arial" w:hAnsi="Arial"/>
          <w:snapToGrid w:val="0"/>
          <w:sz w:val="22"/>
          <w:szCs w:val="22"/>
        </w:rPr>
        <w:t>’</w:t>
      </w:r>
      <w:r>
        <w:rPr>
          <w:rFonts w:ascii="Arial" w:hAnsi="Arial"/>
          <w:snapToGrid w:val="0"/>
          <w:sz w:val="22"/>
          <w:szCs w:val="22"/>
        </w:rPr>
        <w:t>examen réalisé par la douzième session du Comité s</w:t>
      </w:r>
      <w:r w:rsidR="006575A1">
        <w:rPr>
          <w:rFonts w:ascii="Arial" w:hAnsi="Arial"/>
          <w:snapToGrid w:val="0"/>
          <w:sz w:val="22"/>
          <w:szCs w:val="22"/>
        </w:rPr>
        <w:t>’</w:t>
      </w:r>
      <w:r>
        <w:rPr>
          <w:rFonts w:ascii="Arial" w:hAnsi="Arial"/>
          <w:snapToGrid w:val="0"/>
          <w:sz w:val="22"/>
          <w:szCs w:val="22"/>
        </w:rPr>
        <w:t>est limité aux recommandations du Groupe de travail à composition non limitée qui mentionnent explicitement la Convention de 2003. S</w:t>
      </w:r>
      <w:r w:rsidR="006575A1">
        <w:rPr>
          <w:rFonts w:ascii="Arial" w:hAnsi="Arial"/>
          <w:snapToGrid w:val="0"/>
          <w:sz w:val="22"/>
          <w:szCs w:val="22"/>
        </w:rPr>
        <w:t>’</w:t>
      </w:r>
      <w:r>
        <w:rPr>
          <w:rFonts w:ascii="Arial" w:hAnsi="Arial"/>
          <w:snapToGrid w:val="0"/>
          <w:sz w:val="22"/>
          <w:szCs w:val="22"/>
        </w:rPr>
        <w:t>appuyant sur les indications fournies pendant les discussions sur ce point, le Secrétariat a identifié les recommandations jugées directement pertinentes pour les organes directeurs de la Convention de 2003. L</w:t>
      </w:r>
      <w:r w:rsidR="006575A1">
        <w:rPr>
          <w:rFonts w:ascii="Arial" w:hAnsi="Arial"/>
          <w:snapToGrid w:val="0"/>
          <w:sz w:val="22"/>
          <w:szCs w:val="22"/>
        </w:rPr>
        <w:t>’</w:t>
      </w:r>
      <w:r>
        <w:rPr>
          <w:rFonts w:ascii="Arial" w:hAnsi="Arial"/>
          <w:snapToGrid w:val="0"/>
          <w:sz w:val="22"/>
          <w:szCs w:val="22"/>
        </w:rPr>
        <w:t>annexe au présent document contient la liste de ces recommandations, ainsi que des explications concernant l</w:t>
      </w:r>
      <w:r w:rsidR="006575A1">
        <w:rPr>
          <w:rFonts w:ascii="Arial" w:hAnsi="Arial"/>
          <w:snapToGrid w:val="0"/>
          <w:sz w:val="22"/>
          <w:szCs w:val="22"/>
        </w:rPr>
        <w:t>’</w:t>
      </w:r>
      <w:r>
        <w:rPr>
          <w:rFonts w:ascii="Arial" w:hAnsi="Arial"/>
          <w:snapToGrid w:val="0"/>
          <w:sz w:val="22"/>
          <w:szCs w:val="22"/>
        </w:rPr>
        <w:t>état actuel de leur mise en œuvre. Pour chacune des recommandations sélectionnées, il est également précisé à laquelle des quatre catégories suivantes elle appartient :</w:t>
      </w:r>
    </w:p>
    <w:p w14:paraId="67BB8A43" w14:textId="3E634F40" w:rsidR="00AF4772" w:rsidRDefault="000F3C6B" w:rsidP="00E863FC">
      <w:pPr>
        <w:pStyle w:val="COMPara"/>
        <w:numPr>
          <w:ilvl w:val="0"/>
          <w:numId w:val="43"/>
        </w:numPr>
        <w:ind w:left="993" w:hanging="426"/>
        <w:jc w:val="both"/>
      </w:pPr>
      <w:r>
        <w:rPr>
          <w:b/>
        </w:rPr>
        <w:t>Mise en œuvre achevée :</w:t>
      </w:r>
      <w:r>
        <w:t xml:space="preserve"> les pratiques/règles actuelles sont conformes à cette recommandation, aucune autre action n</w:t>
      </w:r>
      <w:r w:rsidR="006575A1">
        <w:t>’</w:t>
      </w:r>
      <w:r>
        <w:t>est nécessaire. Par ailleurs, le Secrétariat considère que ses pratiques dans certains domaines couverts par les recommandations peuvent être reconnues comme des bonnes pratiques (11 recommandations dont 4 bonnes pratiques) ;</w:t>
      </w:r>
    </w:p>
    <w:p w14:paraId="42D7147F" w14:textId="3BDE589C" w:rsidR="00172C7D" w:rsidRDefault="00172C7D" w:rsidP="00172C7D">
      <w:pPr>
        <w:pStyle w:val="COMPara"/>
        <w:numPr>
          <w:ilvl w:val="0"/>
          <w:numId w:val="43"/>
        </w:numPr>
        <w:ind w:left="993" w:hanging="426"/>
        <w:jc w:val="both"/>
      </w:pPr>
      <w:r>
        <w:rPr>
          <w:b/>
        </w:rPr>
        <w:t>Action en cours :</w:t>
      </w:r>
      <w:r>
        <w:t xml:space="preserve"> une action a déjà été lancée par le Secrétariat (</w:t>
      </w:r>
      <w:r w:rsidR="00FD37F9">
        <w:t>2</w:t>
      </w:r>
      <w:r>
        <w:t> recommandation</w:t>
      </w:r>
      <w:r w:rsidR="00FD37F9">
        <w:t>s</w:t>
      </w:r>
      <w:r>
        <w:t>) ;</w:t>
      </w:r>
    </w:p>
    <w:p w14:paraId="20B415C4" w14:textId="52348956" w:rsidR="00AF4772" w:rsidRDefault="00D05226" w:rsidP="00E863FC">
      <w:pPr>
        <w:pStyle w:val="COMPara"/>
        <w:numPr>
          <w:ilvl w:val="0"/>
          <w:numId w:val="43"/>
        </w:numPr>
        <w:ind w:left="993" w:hanging="426"/>
        <w:jc w:val="both"/>
      </w:pPr>
      <w:r>
        <w:rPr>
          <w:b/>
        </w:rPr>
        <w:t>Action proposée :</w:t>
      </w:r>
      <w:r>
        <w:t xml:space="preserve"> une action est proposée pour favoriser la mise en œuvre de ces recommandations (8 recommandations) ;</w:t>
      </w:r>
    </w:p>
    <w:p w14:paraId="540FB363" w14:textId="2C42433D" w:rsidR="00430698" w:rsidRDefault="00EF3E35" w:rsidP="00F617CB">
      <w:pPr>
        <w:pStyle w:val="COMPara"/>
        <w:numPr>
          <w:ilvl w:val="0"/>
          <w:numId w:val="43"/>
        </w:numPr>
        <w:ind w:left="993" w:hanging="426"/>
        <w:jc w:val="both"/>
      </w:pPr>
      <w:r>
        <w:rPr>
          <w:b/>
        </w:rPr>
        <w:t>Action nécessaire des États parties :</w:t>
      </w:r>
      <w:r>
        <w:t xml:space="preserve"> la mise en œuvre de ces recommandations relève des États parties (5 recommandations).</w:t>
      </w:r>
    </w:p>
    <w:p w14:paraId="0019F4B2" w14:textId="2F961FAC" w:rsidR="00D2636E" w:rsidRPr="00942976" w:rsidRDefault="00546F87" w:rsidP="00942976">
      <w:pPr>
        <w:pStyle w:val="ListParagraph"/>
        <w:numPr>
          <w:ilvl w:val="0"/>
          <w:numId w:val="19"/>
        </w:numPr>
        <w:spacing w:after="120"/>
        <w:ind w:left="567" w:hanging="567"/>
        <w:contextualSpacing w:val="0"/>
        <w:jc w:val="both"/>
        <w:rPr>
          <w:rFonts w:ascii="Arial" w:hAnsi="Arial" w:cs="Arial"/>
          <w:sz w:val="22"/>
          <w:szCs w:val="22"/>
        </w:rPr>
      </w:pPr>
      <w:r>
        <w:rPr>
          <w:rFonts w:ascii="Arial" w:hAnsi="Arial"/>
          <w:snapToGrid w:val="0"/>
          <w:sz w:val="22"/>
          <w:szCs w:val="22"/>
        </w:rPr>
        <w:t xml:space="preserve">Il convient de noter que les actions entrant dans la catégorie iii ci-dessus portent principalement sur des révisions des règlements intérieurs des organes directeurs de la Convention de 2003. Dans le même temps, conformément à sa </w:t>
      </w:r>
      <w:r w:rsidR="005D74DF">
        <w:rPr>
          <w:rFonts w:ascii="Arial" w:hAnsi="Arial"/>
          <w:snapToGrid w:val="0"/>
          <w:sz w:val="22"/>
          <w:szCs w:val="22"/>
        </w:rPr>
        <w:fldChar w:fldCharType="begin"/>
      </w:r>
      <w:r w:rsidR="005D74DF">
        <w:rPr>
          <w:rFonts w:ascii="Arial" w:hAnsi="Arial"/>
          <w:snapToGrid w:val="0"/>
          <w:sz w:val="22"/>
          <w:szCs w:val="22"/>
        </w:rPr>
        <w:instrText xml:space="preserve"> HYPERLINK "https://ich.unesco.org/fr/Resolutions/6.GA/11" </w:instrText>
      </w:r>
      <w:r w:rsidR="005D74DF">
        <w:rPr>
          <w:rFonts w:ascii="Arial" w:hAnsi="Arial"/>
          <w:snapToGrid w:val="0"/>
          <w:sz w:val="22"/>
          <w:szCs w:val="22"/>
        </w:rPr>
      </w:r>
      <w:r w:rsidR="005D74DF">
        <w:rPr>
          <w:rFonts w:ascii="Arial" w:hAnsi="Arial"/>
          <w:snapToGrid w:val="0"/>
          <w:sz w:val="22"/>
          <w:szCs w:val="22"/>
        </w:rPr>
        <w:fldChar w:fldCharType="separate"/>
      </w:r>
      <w:r w:rsidRPr="005D74DF">
        <w:rPr>
          <w:rStyle w:val="Hyperlink"/>
          <w:rFonts w:ascii="Arial" w:hAnsi="Arial"/>
          <w:snapToGrid w:val="0"/>
          <w:sz w:val="22"/>
          <w:szCs w:val="22"/>
        </w:rPr>
        <w:t>résolution</w:t>
      </w:r>
      <w:r w:rsidRPr="005D74DF">
        <w:rPr>
          <w:rStyle w:val="Hyperlink"/>
          <w:rFonts w:ascii="Arial" w:hAnsi="Arial"/>
          <w:snapToGrid w:val="0"/>
          <w:sz w:val="22"/>
          <w:szCs w:val="22"/>
        </w:rPr>
        <w:t> </w:t>
      </w:r>
      <w:r w:rsidRPr="005D74DF">
        <w:rPr>
          <w:rStyle w:val="Hyperlink"/>
          <w:rFonts w:ascii="Arial" w:hAnsi="Arial"/>
          <w:snapToGrid w:val="0"/>
          <w:sz w:val="22"/>
          <w:szCs w:val="22"/>
        </w:rPr>
        <w:t>6.GA 11</w:t>
      </w:r>
      <w:r w:rsidR="005D74DF">
        <w:rPr>
          <w:rFonts w:ascii="Arial" w:hAnsi="Arial"/>
          <w:snapToGrid w:val="0"/>
          <w:sz w:val="22"/>
          <w:szCs w:val="22"/>
        </w:rPr>
        <w:fldChar w:fldCharType="end"/>
      </w:r>
      <w:r>
        <w:rPr>
          <w:rFonts w:ascii="Arial" w:hAnsi="Arial"/>
          <w:snapToGrid w:val="0"/>
          <w:sz w:val="22"/>
          <w:szCs w:val="22"/>
        </w:rPr>
        <w:t>, l</w:t>
      </w:r>
      <w:r w:rsidR="006575A1">
        <w:rPr>
          <w:rFonts w:ascii="Arial" w:hAnsi="Arial"/>
          <w:snapToGrid w:val="0"/>
          <w:sz w:val="22"/>
          <w:szCs w:val="22"/>
        </w:rPr>
        <w:t>’</w:t>
      </w:r>
      <w:r>
        <w:rPr>
          <w:rFonts w:ascii="Arial" w:hAnsi="Arial"/>
          <w:snapToGrid w:val="0"/>
          <w:sz w:val="22"/>
          <w:szCs w:val="22"/>
        </w:rPr>
        <w:t>Assemblée générale doit examiner au cours de la présente session (point 13 de l</w:t>
      </w:r>
      <w:r w:rsidR="006575A1">
        <w:rPr>
          <w:rFonts w:ascii="Arial" w:hAnsi="Arial"/>
          <w:snapToGrid w:val="0"/>
          <w:sz w:val="22"/>
          <w:szCs w:val="22"/>
        </w:rPr>
        <w:t>’</w:t>
      </w:r>
      <w:r>
        <w:rPr>
          <w:rFonts w:ascii="Arial" w:hAnsi="Arial"/>
          <w:snapToGrid w:val="0"/>
          <w:sz w:val="22"/>
          <w:szCs w:val="22"/>
        </w:rPr>
        <w:t xml:space="preserve">ordre du jour, document </w:t>
      </w:r>
      <w:r w:rsidR="005D74DF">
        <w:rPr>
          <w:rFonts w:ascii="Arial" w:hAnsi="Arial"/>
          <w:snapToGrid w:val="0"/>
          <w:sz w:val="22"/>
          <w:szCs w:val="22"/>
        </w:rPr>
        <w:fldChar w:fldCharType="begin"/>
      </w:r>
      <w:r w:rsidR="005D74DF">
        <w:rPr>
          <w:rFonts w:ascii="Arial" w:hAnsi="Arial"/>
          <w:snapToGrid w:val="0"/>
          <w:sz w:val="22"/>
          <w:szCs w:val="22"/>
        </w:rPr>
        <w:instrText xml:space="preserve"> HYPERLINK "https://ich.unesco.org/doc/src/ITH-18-7.GA-13-FR.docx" </w:instrText>
      </w:r>
      <w:r w:rsidR="005D74DF">
        <w:rPr>
          <w:rFonts w:ascii="Arial" w:hAnsi="Arial"/>
          <w:snapToGrid w:val="0"/>
          <w:sz w:val="22"/>
          <w:szCs w:val="22"/>
        </w:rPr>
      </w:r>
      <w:r w:rsidR="005D74DF">
        <w:rPr>
          <w:rFonts w:ascii="Arial" w:hAnsi="Arial"/>
          <w:snapToGrid w:val="0"/>
          <w:sz w:val="22"/>
          <w:szCs w:val="22"/>
        </w:rPr>
        <w:fldChar w:fldCharType="separate"/>
      </w:r>
      <w:r w:rsidRPr="005D74DF">
        <w:rPr>
          <w:rStyle w:val="Hyperlink"/>
          <w:rFonts w:ascii="Arial" w:hAnsi="Arial"/>
          <w:snapToGrid w:val="0"/>
          <w:sz w:val="22"/>
          <w:szCs w:val="22"/>
        </w:rPr>
        <w:t>ITH/18/7.GA/13</w:t>
      </w:r>
      <w:r w:rsidR="005D74DF">
        <w:rPr>
          <w:rFonts w:ascii="Arial" w:hAnsi="Arial"/>
          <w:snapToGrid w:val="0"/>
          <w:sz w:val="22"/>
          <w:szCs w:val="22"/>
        </w:rPr>
        <w:fldChar w:fldCharType="end"/>
      </w:r>
      <w:r>
        <w:rPr>
          <w:rFonts w:ascii="Arial" w:hAnsi="Arial"/>
          <w:snapToGrid w:val="0"/>
          <w:sz w:val="22"/>
          <w:szCs w:val="22"/>
        </w:rPr>
        <w:t>) de possibles modifications de son Règlement intérieur. Ces deux processus parallèles trouvent leur origine dans les résolutions de la trente-huitième session de la Conférence générale en 2015 invitant tous les organes des Conventions, entre autres acteurs, à s</w:t>
      </w:r>
      <w:r w:rsidR="006575A1">
        <w:rPr>
          <w:rFonts w:ascii="Arial" w:hAnsi="Arial"/>
          <w:snapToGrid w:val="0"/>
          <w:sz w:val="22"/>
          <w:szCs w:val="22"/>
        </w:rPr>
        <w:t>’</w:t>
      </w:r>
      <w:r>
        <w:rPr>
          <w:rFonts w:ascii="Arial" w:hAnsi="Arial"/>
          <w:snapToGrid w:val="0"/>
          <w:sz w:val="22"/>
          <w:szCs w:val="22"/>
        </w:rPr>
        <w:t xml:space="preserve">appuyer sur les recommandations du Commissaire aux comptes </w:t>
      </w:r>
      <w:r>
        <w:rPr>
          <w:rFonts w:ascii="Arial" w:hAnsi="Arial"/>
          <w:snapToGrid w:val="0"/>
          <w:sz w:val="22"/>
          <w:szCs w:val="22"/>
        </w:rPr>
        <w:lastRenderedPageBreak/>
        <w:t>(document 38 C/23) pour améliorer la gouvernance et créant le Groupe de travail à composition non limitée sur la gouvernance. Il est donc important que les propositions et recommandations découlant de ces deux processus soient coordonnées, afin de donner lieu à une seule et même série d</w:t>
      </w:r>
      <w:r w:rsidR="006575A1">
        <w:rPr>
          <w:rFonts w:ascii="Arial" w:hAnsi="Arial"/>
          <w:snapToGrid w:val="0"/>
          <w:sz w:val="22"/>
          <w:szCs w:val="22"/>
        </w:rPr>
        <w:t>’</w:t>
      </w:r>
      <w:r>
        <w:rPr>
          <w:rFonts w:ascii="Arial" w:hAnsi="Arial"/>
          <w:snapToGrid w:val="0"/>
          <w:sz w:val="22"/>
          <w:szCs w:val="22"/>
        </w:rPr>
        <w:t>amendements proposés pour le Règlement intérieur. À cet égard, les travaux du groupe de travail informel ad hoc sur la Convention de 2003 établi par le Comité</w:t>
      </w:r>
      <w:r>
        <w:rPr>
          <w:rFonts w:ascii="Arial" w:hAnsi="Arial"/>
          <w:sz w:val="22"/>
          <w:szCs w:val="22"/>
        </w:rPr>
        <w:t>(</w:t>
      </w:r>
      <w:hyperlink r:id="rId11" w:history="1">
        <w:r>
          <w:rPr>
            <w:rStyle w:val="Hyperlink"/>
            <w:rFonts w:ascii="Arial" w:hAnsi="Arial"/>
            <w:sz w:val="22"/>
            <w:szCs w:val="22"/>
          </w:rPr>
          <w:t>décision 12.COM 13</w:t>
        </w:r>
      </w:hyperlink>
      <w:r w:rsidRPr="008D7D7C">
        <w:rPr>
          <w:rStyle w:val="Hyperlink"/>
          <w:rFonts w:ascii="Arial" w:hAnsi="Arial"/>
          <w:color w:val="auto"/>
          <w:sz w:val="22"/>
          <w:szCs w:val="22"/>
          <w:u w:val="none"/>
        </w:rPr>
        <w:t>)</w:t>
      </w:r>
      <w:r>
        <w:rPr>
          <w:sz w:val="22"/>
          <w:szCs w:val="22"/>
        </w:rPr>
        <w:t xml:space="preserve"> </w:t>
      </w:r>
      <w:r>
        <w:rPr>
          <w:rFonts w:ascii="Arial" w:hAnsi="Arial"/>
          <w:snapToGrid w:val="0"/>
          <w:sz w:val="22"/>
          <w:szCs w:val="22"/>
        </w:rPr>
        <w:t>pourraient faciliter ce processus.</w:t>
      </w:r>
    </w:p>
    <w:p w14:paraId="7A1B7720" w14:textId="3903484A" w:rsidR="008A1ED4" w:rsidRPr="005A4A42" w:rsidRDefault="008A1ED4" w:rsidP="004B2387">
      <w:pPr>
        <w:keepNext/>
        <w:numPr>
          <w:ilvl w:val="0"/>
          <w:numId w:val="19"/>
        </w:numPr>
        <w:spacing w:after="120"/>
        <w:ind w:left="567" w:hanging="567"/>
        <w:jc w:val="both"/>
        <w:rPr>
          <w:rFonts w:ascii="Arial" w:eastAsia="SimSun" w:hAnsi="Arial" w:cs="Arial"/>
          <w:sz w:val="22"/>
          <w:szCs w:val="22"/>
        </w:rPr>
      </w:pPr>
      <w:r>
        <w:rPr>
          <w:rFonts w:ascii="Arial" w:hAnsi="Arial"/>
          <w:sz w:val="22"/>
        </w:rPr>
        <w:t>L</w:t>
      </w:r>
      <w:r w:rsidR="006575A1">
        <w:rPr>
          <w:rFonts w:ascii="Arial" w:hAnsi="Arial"/>
          <w:sz w:val="22"/>
        </w:rPr>
        <w:t>’</w:t>
      </w:r>
      <w:r>
        <w:rPr>
          <w:rFonts w:ascii="Arial" w:hAnsi="Arial"/>
          <w:sz w:val="22"/>
        </w:rPr>
        <w:t>Assemblée générale souhaitera peut-être adopter la résolution suivante :</w:t>
      </w:r>
    </w:p>
    <w:p w14:paraId="0AB6070E" w14:textId="77777777" w:rsidR="008A1ED4" w:rsidRDefault="008A1ED4" w:rsidP="008A1ED4">
      <w:pPr>
        <w:pStyle w:val="GATitleResolution"/>
      </w:pPr>
      <w:r>
        <w:t>PROJET DE RÉSOLUTION 7.GA 12</w:t>
      </w:r>
    </w:p>
    <w:p w14:paraId="04396474" w14:textId="6938F73D" w:rsidR="008A1ED4" w:rsidRPr="005A4A42" w:rsidRDefault="008A1ED4" w:rsidP="008A1ED4">
      <w:pPr>
        <w:pStyle w:val="GAPreambulaResolution"/>
        <w:rPr>
          <w:rFonts w:eastAsia="SimSun"/>
        </w:rPr>
      </w:pPr>
      <w:r>
        <w:t>L</w:t>
      </w:r>
      <w:r w:rsidR="006575A1">
        <w:t>’</w:t>
      </w:r>
      <w:r>
        <w:t>Assemblée générale,</w:t>
      </w:r>
    </w:p>
    <w:p w14:paraId="28CF6ABE" w14:textId="74E4FD6A" w:rsidR="008A1ED4" w:rsidRPr="00345CB4" w:rsidRDefault="008A1ED4" w:rsidP="008A1ED4">
      <w:pPr>
        <w:pStyle w:val="COMParaDecision"/>
        <w:numPr>
          <w:ilvl w:val="0"/>
          <w:numId w:val="10"/>
        </w:numPr>
        <w:ind w:left="1134" w:hanging="567"/>
        <w:jc w:val="left"/>
      </w:pPr>
      <w:r>
        <w:t>Ayant examiné</w:t>
      </w:r>
      <w:r w:rsidRPr="008D7D7C">
        <w:rPr>
          <w:u w:val="none"/>
        </w:rPr>
        <w:t xml:space="preserve"> </w:t>
      </w:r>
      <w:r>
        <w:rPr>
          <w:u w:val="none"/>
        </w:rPr>
        <w:t>le document ITH/18/7.GA/12 et son annexe,</w:t>
      </w:r>
    </w:p>
    <w:p w14:paraId="76BCA533" w14:textId="3F7F5DF6" w:rsidR="00DA58CF" w:rsidRPr="00345CB4" w:rsidRDefault="00DA58CF" w:rsidP="00DA58CF">
      <w:pPr>
        <w:pStyle w:val="COMParaDecision"/>
        <w:numPr>
          <w:ilvl w:val="0"/>
          <w:numId w:val="10"/>
        </w:numPr>
        <w:ind w:left="1134" w:hanging="567"/>
        <w:jc w:val="left"/>
      </w:pPr>
      <w:r>
        <w:t>Prenant note</w:t>
      </w:r>
      <w:r w:rsidRPr="008D7D7C">
        <w:rPr>
          <w:u w:val="none"/>
        </w:rPr>
        <w:t xml:space="preserve"> </w:t>
      </w:r>
      <w:r>
        <w:rPr>
          <w:u w:val="none"/>
        </w:rPr>
        <w:t>du document ITH/18/7.GA/13 et de son annexe,</w:t>
      </w:r>
      <w:r>
        <w:t xml:space="preserve"> </w:t>
      </w:r>
    </w:p>
    <w:p w14:paraId="383EC222" w14:textId="6B87A394" w:rsidR="008A1ED4" w:rsidRPr="00345CB4" w:rsidRDefault="008A1ED4" w:rsidP="00D22B9C">
      <w:pPr>
        <w:pStyle w:val="COMParaDecision"/>
        <w:numPr>
          <w:ilvl w:val="0"/>
          <w:numId w:val="10"/>
        </w:numPr>
        <w:ind w:left="1134" w:hanging="567"/>
      </w:pPr>
      <w:r>
        <w:t>Rappelant</w:t>
      </w:r>
      <w:r>
        <w:rPr>
          <w:u w:val="none"/>
        </w:rPr>
        <w:t xml:space="preserve"> les décisions </w:t>
      </w:r>
      <w:hyperlink r:id="rId12" w:history="1">
        <w:r>
          <w:rPr>
            <w:rStyle w:val="Hyperlink"/>
          </w:rPr>
          <w:t>11.COM 7</w:t>
        </w:r>
      </w:hyperlink>
      <w:r>
        <w:rPr>
          <w:u w:val="none"/>
        </w:rPr>
        <w:t xml:space="preserve">, </w:t>
      </w:r>
      <w:hyperlink r:id="rId13" w:history="1">
        <w:r>
          <w:rPr>
            <w:rStyle w:val="Hyperlink"/>
          </w:rPr>
          <w:t>12.COM 13</w:t>
        </w:r>
      </w:hyperlink>
      <w:r>
        <w:rPr>
          <w:u w:val="none"/>
        </w:rPr>
        <w:t xml:space="preserve">, </w:t>
      </w:r>
      <w:hyperlink r:id="rId14" w:history="1">
        <w:r>
          <w:rPr>
            <w:rStyle w:val="Hyperlink"/>
          </w:rPr>
          <w:t>12.COM 16</w:t>
        </w:r>
      </w:hyperlink>
      <w:r>
        <w:rPr>
          <w:u w:val="none"/>
        </w:rPr>
        <w:t xml:space="preserve"> et la résolution </w:t>
      </w:r>
      <w:hyperlink r:id="rId15" w:history="1">
        <w:r>
          <w:rPr>
            <w:rStyle w:val="Hyperlink"/>
          </w:rPr>
          <w:t>6.GA 11</w:t>
        </w:r>
      </w:hyperlink>
      <w:r>
        <w:rPr>
          <w:u w:val="none"/>
        </w:rPr>
        <w:t>,</w:t>
      </w:r>
    </w:p>
    <w:p w14:paraId="5AAA544A" w14:textId="0B3782D5" w:rsidR="008A1ED4" w:rsidRPr="00942976" w:rsidRDefault="008A1ED4" w:rsidP="008A1ED4">
      <w:pPr>
        <w:pStyle w:val="COMParaDecision"/>
        <w:numPr>
          <w:ilvl w:val="0"/>
          <w:numId w:val="10"/>
        </w:numPr>
        <w:ind w:left="1134" w:hanging="567"/>
        <w:jc w:val="left"/>
      </w:pPr>
      <w:r>
        <w:t>Rappelant également</w:t>
      </w:r>
      <w:r>
        <w:rPr>
          <w:u w:val="none"/>
        </w:rPr>
        <w:t xml:space="preserve"> la Résolution 39 C/87,</w:t>
      </w:r>
    </w:p>
    <w:p w14:paraId="53706EBA" w14:textId="35D139DB" w:rsidR="008A1ED4" w:rsidRPr="00134502" w:rsidRDefault="005439C3" w:rsidP="005439C3">
      <w:pPr>
        <w:pStyle w:val="COMParaDecision"/>
        <w:numPr>
          <w:ilvl w:val="0"/>
          <w:numId w:val="10"/>
        </w:numPr>
        <w:ind w:left="1134" w:hanging="567"/>
      </w:pPr>
      <w:r>
        <w:t>Prend note</w:t>
      </w:r>
      <w:r>
        <w:rPr>
          <w:u w:val="none"/>
        </w:rPr>
        <w:t xml:space="preserve"> de l</w:t>
      </w:r>
      <w:r w:rsidR="006575A1">
        <w:rPr>
          <w:u w:val="none"/>
        </w:rPr>
        <w:t>’</w:t>
      </w:r>
      <w:r>
        <w:rPr>
          <w:u w:val="none"/>
        </w:rPr>
        <w:t>état actuel de la mise en œuvre des recommandations du Groupe de travail à composition non limitée sur la gouvernance, les procédures et les méthodes de travail des organes directeurs de l</w:t>
      </w:r>
      <w:r w:rsidR="006575A1">
        <w:rPr>
          <w:u w:val="none"/>
        </w:rPr>
        <w:t>’</w:t>
      </w:r>
      <w:r>
        <w:rPr>
          <w:u w:val="none"/>
        </w:rPr>
        <w:t>UNESCO qui sont pertinentes pour les organes directeurs de la Convention de 2003 ;</w:t>
      </w:r>
    </w:p>
    <w:p w14:paraId="71237CDE" w14:textId="0E6621E0" w:rsidR="00654AEB" w:rsidRPr="0049025A" w:rsidRDefault="00BF7498" w:rsidP="00942976">
      <w:pPr>
        <w:pStyle w:val="COMParaDecision"/>
        <w:numPr>
          <w:ilvl w:val="0"/>
          <w:numId w:val="10"/>
        </w:numPr>
        <w:ind w:left="1134" w:hanging="567"/>
        <w:rPr>
          <w:u w:val="none"/>
        </w:rPr>
      </w:pPr>
      <w:r>
        <w:t>Demande</w:t>
      </w:r>
      <w:r>
        <w:rPr>
          <w:u w:val="none"/>
        </w:rPr>
        <w:t xml:space="preserve"> que le Secrétariat, en concertation avec les États parties, propose des moyens de favoriser la mise en œuvre des recommandations (celles dont la mise en œuvre n</w:t>
      </w:r>
      <w:r w:rsidR="006575A1">
        <w:rPr>
          <w:u w:val="none"/>
        </w:rPr>
        <w:t>’</w:t>
      </w:r>
      <w:r>
        <w:rPr>
          <w:u w:val="none"/>
        </w:rPr>
        <w:t>est pas achevée), notamment en proposant des amendements au Règlement intérieur de l</w:t>
      </w:r>
      <w:r w:rsidR="006575A1">
        <w:rPr>
          <w:u w:val="none"/>
        </w:rPr>
        <w:t>’</w:t>
      </w:r>
      <w:r>
        <w:rPr>
          <w:u w:val="none"/>
        </w:rPr>
        <w:t>Assemblée générale et en tenant compte des propositions déjà reçues suite à la résolution 6.GA 11 ;</w:t>
      </w:r>
    </w:p>
    <w:p w14:paraId="62A44F74" w14:textId="3A9FCD56" w:rsidR="00BF7498" w:rsidRPr="0049025A" w:rsidRDefault="00BF7498" w:rsidP="00BF7498">
      <w:pPr>
        <w:pStyle w:val="COMParaDecision"/>
        <w:numPr>
          <w:ilvl w:val="0"/>
          <w:numId w:val="10"/>
        </w:numPr>
        <w:ind w:left="1134" w:hanging="567"/>
        <w:rPr>
          <w:u w:val="none"/>
        </w:rPr>
      </w:pPr>
      <w:r>
        <w:t>Demande en outre</w:t>
      </w:r>
      <w:r>
        <w:rPr>
          <w:u w:val="none"/>
        </w:rPr>
        <w:t xml:space="preserve"> au Secrétariat de veiller à adopter un langage neutre du point de vue du genre</w:t>
      </w:r>
      <w:r w:rsidR="0090735B">
        <w:rPr>
          <w:u w:val="none"/>
        </w:rPr>
        <w:t xml:space="preserve"> lors de la révision de Textes fondamentaux de la Convention dont une nouvelle version doit paraître en 2018 ;</w:t>
      </w:r>
    </w:p>
    <w:p w14:paraId="60F8F7C2" w14:textId="063F8059" w:rsidR="008A1ED4" w:rsidRPr="00345CB4" w:rsidRDefault="008A1ED4" w:rsidP="00FA4E62">
      <w:pPr>
        <w:pStyle w:val="COMParaDecision"/>
        <w:numPr>
          <w:ilvl w:val="0"/>
          <w:numId w:val="10"/>
        </w:numPr>
        <w:ind w:left="1134" w:hanging="567"/>
      </w:pPr>
      <w:r>
        <w:t>Invite</w:t>
      </w:r>
      <w:r>
        <w:rPr>
          <w:u w:val="none"/>
        </w:rPr>
        <w:t xml:space="preserve"> l</w:t>
      </w:r>
      <w:r w:rsidR="006575A1">
        <w:rPr>
          <w:u w:val="none"/>
        </w:rPr>
        <w:t>’</w:t>
      </w:r>
      <w:r>
        <w:rPr>
          <w:u w:val="none"/>
        </w:rPr>
        <w:t>Assemblée générale, le Comité et leurs bureaux respectifs à poursuivre leurs travaux dans le respect des recommandations du Groupe de travail à composition non limitée sur la gouvernance de l</w:t>
      </w:r>
      <w:r w:rsidR="006575A1">
        <w:rPr>
          <w:u w:val="none"/>
        </w:rPr>
        <w:t>’</w:t>
      </w:r>
      <w:r>
        <w:rPr>
          <w:u w:val="none"/>
        </w:rPr>
        <w:t>UNESCO ; en particulier en ce qui concerne les principes directeurs et les responsabilités des représentants des groupes électoraux au sein des bureaux, tels qu</w:t>
      </w:r>
      <w:r w:rsidR="006575A1">
        <w:rPr>
          <w:u w:val="none"/>
        </w:rPr>
        <w:t>’</w:t>
      </w:r>
      <w:r>
        <w:rPr>
          <w:u w:val="none"/>
        </w:rPr>
        <w:t>ils figurent à l</w:t>
      </w:r>
      <w:r w:rsidR="006575A1">
        <w:rPr>
          <w:u w:val="none"/>
        </w:rPr>
        <w:t>’</w:t>
      </w:r>
      <w:r>
        <w:rPr>
          <w:u w:val="none"/>
        </w:rPr>
        <w:t>Appendice 2 du rapport du Groupe de travail.</w:t>
      </w:r>
    </w:p>
    <w:p w14:paraId="4676154B" w14:textId="09B65C03" w:rsidR="008A1ED4" w:rsidRPr="00EE49F4" w:rsidRDefault="008A1ED4" w:rsidP="00072A48">
      <w:pPr>
        <w:pStyle w:val="COMParaDecision"/>
        <w:ind w:left="567" w:firstLine="0"/>
        <w:jc w:val="left"/>
      </w:pPr>
    </w:p>
    <w:p w14:paraId="3B1BA880" w14:textId="77777777" w:rsidR="00472AC3" w:rsidRPr="00427AA8" w:rsidRDefault="00472AC3">
      <w:pPr>
        <w:rPr>
          <w:rFonts w:ascii="Arial" w:hAnsi="Arial" w:cs="Arial"/>
          <w:snapToGrid w:val="0"/>
          <w:sz w:val="22"/>
          <w:szCs w:val="22"/>
          <w:lang w:eastAsia="en-US"/>
        </w:rPr>
        <w:sectPr w:rsidR="00472AC3" w:rsidRPr="00427AA8" w:rsidSect="00176720">
          <w:headerReference w:type="even" r:id="rId16"/>
          <w:headerReference w:type="default" r:id="rId17"/>
          <w:headerReference w:type="first" r:id="rId18"/>
          <w:pgSz w:w="11906" w:h="16838" w:code="9"/>
          <w:pgMar w:top="1418" w:right="1134" w:bottom="1134" w:left="1134" w:header="397" w:footer="284" w:gutter="0"/>
          <w:cols w:space="708"/>
          <w:titlePg/>
          <w:docGrid w:linePitch="360"/>
        </w:sectPr>
      </w:pPr>
    </w:p>
    <w:p w14:paraId="2F1C1091" w14:textId="428AC0D9" w:rsidR="00895E59" w:rsidRDefault="00586044" w:rsidP="00895E59">
      <w:pPr>
        <w:spacing w:after="240"/>
        <w:jc w:val="center"/>
        <w:rPr>
          <w:rFonts w:ascii="Arial" w:hAnsi="Arial" w:cs="Arial"/>
          <w:b/>
          <w:snapToGrid w:val="0"/>
          <w:sz w:val="22"/>
          <w:szCs w:val="22"/>
        </w:rPr>
      </w:pPr>
      <w:r>
        <w:rPr>
          <w:rFonts w:ascii="Arial" w:hAnsi="Arial"/>
          <w:b/>
          <w:snapToGrid w:val="0"/>
          <w:sz w:val="22"/>
          <w:szCs w:val="22"/>
        </w:rPr>
        <w:lastRenderedPageBreak/>
        <w:t>ANNEXE</w:t>
      </w:r>
    </w:p>
    <w:p w14:paraId="7AD41337" w14:textId="17E2D7F0" w:rsidR="005E7EEF" w:rsidRPr="00472AC3" w:rsidRDefault="005E7EEF" w:rsidP="005E7EEF">
      <w:pPr>
        <w:spacing w:after="120"/>
        <w:jc w:val="center"/>
        <w:rPr>
          <w:rFonts w:ascii="Arial" w:hAnsi="Arial" w:cs="Arial"/>
          <w:b/>
          <w:smallCaps/>
          <w:snapToGrid w:val="0"/>
          <w:sz w:val="22"/>
          <w:szCs w:val="22"/>
        </w:rPr>
      </w:pPr>
      <w:r>
        <w:rPr>
          <w:rFonts w:ascii="Arial" w:hAnsi="Arial"/>
          <w:b/>
          <w:smallCaps/>
          <w:snapToGrid w:val="0"/>
          <w:sz w:val="22"/>
          <w:szCs w:val="22"/>
        </w:rPr>
        <w:t>Recommandations du groupe de travail à composition non limitée sur la gouvernance, les procédures et les méthodes de travail des organes directeurs de l</w:t>
      </w:r>
      <w:r w:rsidR="006575A1">
        <w:rPr>
          <w:rFonts w:ascii="Arial" w:hAnsi="Arial"/>
          <w:b/>
          <w:smallCaps/>
          <w:snapToGrid w:val="0"/>
          <w:sz w:val="22"/>
          <w:szCs w:val="22"/>
        </w:rPr>
        <w:t>’</w:t>
      </w:r>
      <w:r>
        <w:rPr>
          <w:rFonts w:ascii="Arial" w:hAnsi="Arial"/>
          <w:b/>
          <w:smallCaps/>
          <w:snapToGrid w:val="0"/>
          <w:sz w:val="22"/>
          <w:szCs w:val="22"/>
        </w:rPr>
        <w:t>UNESCO</w:t>
      </w:r>
    </w:p>
    <w:p w14:paraId="34F21AEB" w14:textId="599DA8A4" w:rsidR="005E7EEF" w:rsidRPr="00472AC3" w:rsidRDefault="005E7EEF" w:rsidP="005E7EEF">
      <w:pPr>
        <w:spacing w:after="240"/>
        <w:jc w:val="center"/>
        <w:rPr>
          <w:rFonts w:ascii="Arial" w:hAnsi="Arial" w:cs="Arial"/>
          <w:smallCaps/>
          <w:snapToGrid w:val="0"/>
          <w:sz w:val="22"/>
          <w:szCs w:val="22"/>
        </w:rPr>
      </w:pPr>
      <w:r>
        <w:rPr>
          <w:rFonts w:ascii="Arial" w:hAnsi="Arial"/>
          <w:b/>
          <w:smallCaps/>
          <w:snapToGrid w:val="0"/>
          <w:sz w:val="22"/>
          <w:szCs w:val="22"/>
        </w:rPr>
        <w:t>Partie 2. Structure, composition et méthode de travail des organes internationaux et intergouvernementaux (OII) de l</w:t>
      </w:r>
      <w:r w:rsidR="006575A1">
        <w:rPr>
          <w:rFonts w:ascii="Arial" w:hAnsi="Arial"/>
          <w:b/>
          <w:smallCaps/>
          <w:snapToGrid w:val="0"/>
          <w:sz w:val="22"/>
          <w:szCs w:val="22"/>
        </w:rPr>
        <w:t>’</w:t>
      </w:r>
      <w:r>
        <w:rPr>
          <w:rFonts w:ascii="Arial" w:hAnsi="Arial"/>
          <w:b/>
          <w:smallCaps/>
          <w:snapToGrid w:val="0"/>
          <w:sz w:val="22"/>
          <w:szCs w:val="22"/>
        </w:rPr>
        <w:t>UNESCO</w:t>
      </w:r>
      <w:r>
        <w:rPr>
          <w:rStyle w:val="FootnoteReference"/>
          <w:rFonts w:ascii="Arial" w:hAnsi="Arial" w:cs="Arial"/>
          <w:b/>
          <w:smallCaps/>
          <w:snapToGrid w:val="0"/>
          <w:sz w:val="22"/>
          <w:szCs w:val="22"/>
          <w:lang w:val="en-GB" w:eastAsia="en-US"/>
        </w:rPr>
        <w:footnoteReference w:id="2"/>
      </w:r>
    </w:p>
    <w:tbl>
      <w:tblPr>
        <w:tblStyle w:val="TableGrid"/>
        <w:tblW w:w="5000" w:type="pct"/>
        <w:tblLook w:val="04A0" w:firstRow="1" w:lastRow="0" w:firstColumn="1" w:lastColumn="0" w:noHBand="0" w:noVBand="1"/>
      </w:tblPr>
      <w:tblGrid>
        <w:gridCol w:w="6068"/>
        <w:gridCol w:w="8492"/>
      </w:tblGrid>
      <w:tr w:rsidR="000731D8" w:rsidRPr="00985ABE" w14:paraId="60CB874B" w14:textId="77777777" w:rsidTr="006575A1">
        <w:trPr>
          <w:trHeight w:val="340"/>
          <w:tblHeader/>
        </w:trPr>
        <w:tc>
          <w:tcPr>
            <w:tcW w:w="6068" w:type="dxa"/>
            <w:vAlign w:val="center"/>
          </w:tcPr>
          <w:p w14:paraId="0790BA59" w14:textId="77777777" w:rsidR="002E4FD0" w:rsidRPr="008D7D7C" w:rsidRDefault="002E4FD0" w:rsidP="007F6386">
            <w:pPr>
              <w:rPr>
                <w:rFonts w:ascii="Arial" w:hAnsi="Arial" w:cs="Arial"/>
                <w:b/>
                <w:snapToGrid w:val="0"/>
                <w:sz w:val="22"/>
                <w:szCs w:val="22"/>
              </w:rPr>
            </w:pPr>
            <w:r w:rsidRPr="008D7D7C">
              <w:rPr>
                <w:rFonts w:ascii="Arial" w:hAnsi="Arial" w:cs="Arial"/>
                <w:b/>
                <w:snapToGrid w:val="0"/>
                <w:sz w:val="22"/>
                <w:szCs w:val="22"/>
              </w:rPr>
              <w:t>Recommandation</w:t>
            </w:r>
          </w:p>
        </w:tc>
        <w:tc>
          <w:tcPr>
            <w:tcW w:w="8492" w:type="dxa"/>
            <w:vAlign w:val="center"/>
          </w:tcPr>
          <w:p w14:paraId="56499AFC" w14:textId="77777777" w:rsidR="002E4FD0" w:rsidRPr="008D7D7C" w:rsidRDefault="002E4FD0" w:rsidP="00A11380">
            <w:pPr>
              <w:rPr>
                <w:rFonts w:ascii="Arial" w:hAnsi="Arial" w:cs="Arial"/>
                <w:b/>
                <w:snapToGrid w:val="0"/>
                <w:sz w:val="22"/>
                <w:szCs w:val="22"/>
              </w:rPr>
            </w:pPr>
            <w:r w:rsidRPr="008D7D7C">
              <w:rPr>
                <w:rFonts w:ascii="Arial" w:hAnsi="Arial" w:cs="Arial"/>
                <w:b/>
                <w:snapToGrid w:val="0"/>
                <w:sz w:val="22"/>
                <w:szCs w:val="22"/>
              </w:rPr>
              <w:t>État</w:t>
            </w:r>
          </w:p>
        </w:tc>
      </w:tr>
      <w:tr w:rsidR="00933FA6" w:rsidRPr="002D3E8F" w14:paraId="4FCE26DF" w14:textId="77777777" w:rsidTr="006575A1">
        <w:trPr>
          <w:trHeight w:val="340"/>
        </w:trPr>
        <w:tc>
          <w:tcPr>
            <w:tcW w:w="14560" w:type="dxa"/>
            <w:gridSpan w:val="2"/>
            <w:shd w:val="clear" w:color="auto" w:fill="D9D9D9" w:themeFill="background1" w:themeFillShade="D9"/>
            <w:vAlign w:val="center"/>
          </w:tcPr>
          <w:p w14:paraId="7CC5EAD0" w14:textId="08621F98" w:rsidR="00933FA6" w:rsidRPr="008D7D7C" w:rsidRDefault="00933FA6" w:rsidP="00A11380">
            <w:pPr>
              <w:tabs>
                <w:tab w:val="left" w:pos="555"/>
              </w:tabs>
              <w:rPr>
                <w:rFonts w:ascii="Arial" w:hAnsi="Arial" w:cs="Arial"/>
                <w:bCs/>
                <w:smallCaps/>
                <w:snapToGrid w:val="0"/>
                <w:sz w:val="22"/>
                <w:szCs w:val="22"/>
              </w:rPr>
            </w:pPr>
            <w:r w:rsidRPr="008D7D7C">
              <w:rPr>
                <w:rFonts w:ascii="Arial" w:hAnsi="Arial" w:cs="Arial"/>
                <w:b/>
                <w:smallCaps/>
                <w:snapToGrid w:val="0"/>
                <w:sz w:val="22"/>
                <w:szCs w:val="22"/>
              </w:rPr>
              <w:t>B.</w:t>
            </w:r>
            <w:r w:rsidRPr="008D7D7C">
              <w:rPr>
                <w:rFonts w:ascii="Arial" w:hAnsi="Arial" w:cs="Arial"/>
                <w:b/>
                <w:smallCaps/>
                <w:snapToGrid w:val="0"/>
                <w:sz w:val="22"/>
                <w:szCs w:val="22"/>
              </w:rPr>
              <w:tab/>
              <w:t>Recommandations générales à tous les organes internationaux et intergouvernementaux (OII)</w:t>
            </w:r>
          </w:p>
        </w:tc>
      </w:tr>
      <w:tr w:rsidR="00933FA6" w:rsidRPr="002D3E8F" w14:paraId="6A25C4F1" w14:textId="77777777" w:rsidTr="006575A1">
        <w:trPr>
          <w:trHeight w:val="340"/>
        </w:trPr>
        <w:tc>
          <w:tcPr>
            <w:tcW w:w="14560" w:type="dxa"/>
            <w:gridSpan w:val="2"/>
            <w:shd w:val="clear" w:color="auto" w:fill="F2F2F2" w:themeFill="background1" w:themeFillShade="F2"/>
            <w:vAlign w:val="center"/>
          </w:tcPr>
          <w:p w14:paraId="53AB353A" w14:textId="2A8B722F" w:rsidR="00933FA6" w:rsidRPr="008D7D7C" w:rsidRDefault="00933FA6" w:rsidP="00A11380">
            <w:pPr>
              <w:tabs>
                <w:tab w:val="left" w:pos="555"/>
              </w:tabs>
              <w:rPr>
                <w:rFonts w:ascii="Arial" w:hAnsi="Arial" w:cs="Arial"/>
                <w:bCs/>
                <w:smallCaps/>
                <w:snapToGrid w:val="0"/>
                <w:sz w:val="22"/>
                <w:szCs w:val="22"/>
              </w:rPr>
            </w:pPr>
            <w:r w:rsidRPr="008D7D7C">
              <w:rPr>
                <w:rFonts w:ascii="Arial" w:hAnsi="Arial" w:cs="Arial"/>
                <w:b/>
                <w:snapToGrid w:val="0"/>
                <w:sz w:val="22"/>
                <w:szCs w:val="22"/>
              </w:rPr>
              <w:t>Efficacité (mandat, composition, structure, règlement intérieur, méthodes de travail)</w:t>
            </w:r>
          </w:p>
        </w:tc>
      </w:tr>
      <w:tr w:rsidR="000731D8" w:rsidRPr="002D3E8F" w14:paraId="2D6BADB1" w14:textId="77777777" w:rsidTr="006575A1">
        <w:tc>
          <w:tcPr>
            <w:tcW w:w="6068" w:type="dxa"/>
          </w:tcPr>
          <w:p w14:paraId="75C08532" w14:textId="0F8C1847" w:rsidR="000731D8" w:rsidRPr="008D7D7C" w:rsidRDefault="000731D8" w:rsidP="000731D8">
            <w:pPr>
              <w:pStyle w:val="ListParagraph"/>
              <w:numPr>
                <w:ilvl w:val="0"/>
                <w:numId w:val="27"/>
              </w:numPr>
              <w:tabs>
                <w:tab w:val="left" w:pos="567"/>
              </w:tabs>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Les OII sont invités à actualiser leurs mandats, le cas échéant, y compris leurs objectifs et leurs programmes pour plus de cohérence par rapport aux priorités approuvées du C/5 et une meilleure prise en compte des évolutions planétaires actuelles, telles que le Programme de développement durable à l</w:t>
            </w:r>
            <w:r w:rsidR="006575A1" w:rsidRPr="008D7D7C">
              <w:rPr>
                <w:rFonts w:ascii="Arial" w:hAnsi="Arial" w:cs="Arial"/>
                <w:snapToGrid w:val="0"/>
                <w:sz w:val="22"/>
                <w:szCs w:val="22"/>
              </w:rPr>
              <w:t>’</w:t>
            </w:r>
            <w:r w:rsidRPr="008D7D7C">
              <w:rPr>
                <w:rFonts w:ascii="Arial" w:hAnsi="Arial" w:cs="Arial"/>
                <w:snapToGrid w:val="0"/>
                <w:sz w:val="22"/>
                <w:szCs w:val="22"/>
              </w:rPr>
              <w:t>horizon 2030 et l</w:t>
            </w:r>
            <w:r w:rsidR="006575A1" w:rsidRPr="008D7D7C">
              <w:rPr>
                <w:rFonts w:ascii="Arial" w:hAnsi="Arial" w:cs="Arial"/>
                <w:snapToGrid w:val="0"/>
                <w:sz w:val="22"/>
                <w:szCs w:val="22"/>
              </w:rPr>
              <w:t>’</w:t>
            </w:r>
            <w:r w:rsidRPr="008D7D7C">
              <w:rPr>
                <w:rFonts w:ascii="Arial" w:hAnsi="Arial" w:cs="Arial"/>
                <w:snapToGrid w:val="0"/>
                <w:sz w:val="22"/>
                <w:szCs w:val="22"/>
              </w:rPr>
              <w:t>Accord de Paris sur les changements climatiques.</w:t>
            </w:r>
          </w:p>
          <w:p w14:paraId="34732E87" w14:textId="6CE6F5F1" w:rsidR="00CE116C" w:rsidRPr="008D7D7C" w:rsidRDefault="005D63EB" w:rsidP="00E863FC">
            <w:pPr>
              <w:tabs>
                <w:tab w:val="left" w:pos="567"/>
              </w:tabs>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p>
        </w:tc>
        <w:tc>
          <w:tcPr>
            <w:tcW w:w="8492" w:type="dxa"/>
          </w:tcPr>
          <w:p w14:paraId="70FF335D" w14:textId="776E767D" w:rsidR="000731D8" w:rsidRPr="008D7D7C" w:rsidRDefault="00200127"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Les mandats de l</w:t>
            </w:r>
            <w:r w:rsidR="006575A1" w:rsidRPr="008D7D7C">
              <w:rPr>
                <w:rFonts w:ascii="Arial" w:hAnsi="Arial" w:cs="Arial"/>
                <w:snapToGrid w:val="0"/>
                <w:sz w:val="22"/>
                <w:szCs w:val="22"/>
              </w:rPr>
              <w:t>’</w:t>
            </w:r>
            <w:r w:rsidRPr="008D7D7C">
              <w:rPr>
                <w:rFonts w:ascii="Arial" w:hAnsi="Arial" w:cs="Arial"/>
                <w:snapToGrid w:val="0"/>
                <w:sz w:val="22"/>
                <w:szCs w:val="22"/>
              </w:rPr>
              <w:t xml:space="preserve">Assemblée générale et du Comité sont définis dans le texte de la Convention, aux articles </w:t>
            </w:r>
            <w:hyperlink r:id="rId19" w:anchor="art4" w:history="1">
              <w:r w:rsidRPr="008D7D7C">
                <w:rPr>
                  <w:rStyle w:val="Hyperlink"/>
                  <w:rFonts w:ascii="Arial" w:hAnsi="Arial" w:cs="Arial"/>
                  <w:snapToGrid w:val="0"/>
                  <w:sz w:val="22"/>
                  <w:szCs w:val="22"/>
                </w:rPr>
                <w:t>4</w:t>
              </w:r>
            </w:hyperlink>
            <w:r w:rsidRPr="008D7D7C">
              <w:rPr>
                <w:rFonts w:ascii="Arial" w:hAnsi="Arial" w:cs="Arial"/>
                <w:snapToGrid w:val="0"/>
                <w:sz w:val="22"/>
                <w:szCs w:val="22"/>
              </w:rPr>
              <w:t xml:space="preserve"> et </w:t>
            </w:r>
            <w:hyperlink r:id="rId20" w:anchor="art7" w:history="1">
              <w:r w:rsidRPr="008D7D7C">
                <w:rPr>
                  <w:rStyle w:val="Hyperlink"/>
                  <w:rFonts w:ascii="Arial" w:hAnsi="Arial" w:cs="Arial"/>
                  <w:snapToGrid w:val="0"/>
                  <w:sz w:val="22"/>
                  <w:szCs w:val="22"/>
                </w:rPr>
                <w:t>7</w:t>
              </w:r>
            </w:hyperlink>
            <w:r w:rsidRPr="008D7D7C">
              <w:rPr>
                <w:rFonts w:ascii="Arial" w:hAnsi="Arial" w:cs="Arial"/>
                <w:snapToGrid w:val="0"/>
                <w:sz w:val="22"/>
                <w:szCs w:val="22"/>
              </w:rPr>
              <w:t xml:space="preserve"> respectivement.</w:t>
            </w:r>
          </w:p>
          <w:p w14:paraId="41CCC317" w14:textId="0890AA6C" w:rsidR="000731D8" w:rsidRPr="008D7D7C" w:rsidRDefault="00C34359"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r w:rsidRPr="008D7D7C">
              <w:rPr>
                <w:rFonts w:ascii="Arial" w:hAnsi="Arial" w:cs="Arial"/>
                <w:snapToGrid w:val="0"/>
                <w:sz w:val="22"/>
                <w:szCs w:val="22"/>
              </w:rPr>
              <w:t>ordre du jour de chaque session des organes directeurs contient des points qui répondent aux priorités approuvées du C/5 et aux évolutions planétaires. Par exemple :</w:t>
            </w:r>
          </w:p>
          <w:p w14:paraId="51D852B5" w14:textId="2181387F" w:rsidR="000731D8" w:rsidRPr="008D7D7C" w:rsidRDefault="005E7C9F" w:rsidP="00A11380">
            <w:pPr>
              <w:pStyle w:val="ListParagraph"/>
              <w:numPr>
                <w:ilvl w:val="0"/>
                <w:numId w:val="31"/>
              </w:numPr>
              <w:spacing w:after="120"/>
              <w:ind w:left="811" w:hanging="454"/>
              <w:contextualSpacing w:val="0"/>
              <w:jc w:val="both"/>
              <w:rPr>
                <w:rFonts w:ascii="Arial" w:hAnsi="Arial" w:cs="Arial"/>
                <w:snapToGrid w:val="0"/>
                <w:sz w:val="22"/>
                <w:szCs w:val="22"/>
              </w:rPr>
            </w:pPr>
            <w:r w:rsidRPr="008D7D7C">
              <w:rPr>
                <w:rFonts w:ascii="Arial" w:hAnsi="Arial" w:cs="Arial"/>
                <w:snapToGrid w:val="0"/>
                <w:sz w:val="22"/>
                <w:szCs w:val="22"/>
              </w:rPr>
              <w:t>Lors de sa sixième session en juin 2016,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a adopté un nouveau chapitre des Directives opérationnelles sur la sauvegarde du patrimoine culturel immatériel et le développement durable au niveau national (</w:t>
            </w:r>
            <w:hyperlink r:id="rId21" w:history="1">
              <w:r w:rsidRPr="008D7D7C">
                <w:rPr>
                  <w:rStyle w:val="Hyperlink"/>
                  <w:rFonts w:ascii="Arial" w:hAnsi="Arial" w:cs="Arial"/>
                  <w:snapToGrid w:val="0"/>
                  <w:sz w:val="22"/>
                  <w:szCs w:val="22"/>
                </w:rPr>
                <w:t>résolution 6.GA 7</w:t>
              </w:r>
            </w:hyperlink>
            <w:r w:rsidRPr="008D7D7C">
              <w:rPr>
                <w:rFonts w:ascii="Arial" w:hAnsi="Arial" w:cs="Arial"/>
                <w:snapToGrid w:val="0"/>
                <w:sz w:val="22"/>
                <w:szCs w:val="22"/>
              </w:rPr>
              <w:t>). Dans ce nouveau chapitre figure également le paragraphe 181 consacré à l</w:t>
            </w:r>
            <w:r w:rsidR="006575A1" w:rsidRPr="008D7D7C">
              <w:rPr>
                <w:rFonts w:ascii="Arial" w:hAnsi="Arial" w:cs="Arial"/>
                <w:snapToGrid w:val="0"/>
                <w:sz w:val="22"/>
                <w:szCs w:val="22"/>
              </w:rPr>
              <w:t>’</w:t>
            </w:r>
            <w:r w:rsidRPr="008D7D7C">
              <w:rPr>
                <w:rFonts w:ascii="Arial" w:hAnsi="Arial" w:cs="Arial"/>
                <w:snapToGrid w:val="0"/>
                <w:sz w:val="22"/>
                <w:szCs w:val="22"/>
              </w:rPr>
              <w:t>égalité des genres, l</w:t>
            </w:r>
            <w:r w:rsidR="006575A1" w:rsidRPr="008D7D7C">
              <w:rPr>
                <w:rFonts w:ascii="Arial" w:hAnsi="Arial" w:cs="Arial"/>
                <w:snapToGrid w:val="0"/>
                <w:sz w:val="22"/>
                <w:szCs w:val="22"/>
              </w:rPr>
              <w:t>’</w:t>
            </w:r>
            <w:r w:rsidRPr="008D7D7C">
              <w:rPr>
                <w:rFonts w:ascii="Arial" w:hAnsi="Arial" w:cs="Arial"/>
                <w:snapToGrid w:val="0"/>
                <w:sz w:val="22"/>
                <w:szCs w:val="22"/>
              </w:rPr>
              <w:t>une des priorités globales de l</w:t>
            </w:r>
            <w:r w:rsidR="006575A1" w:rsidRPr="008D7D7C">
              <w:rPr>
                <w:rFonts w:ascii="Arial" w:hAnsi="Arial" w:cs="Arial"/>
                <w:snapToGrid w:val="0"/>
                <w:sz w:val="22"/>
                <w:szCs w:val="22"/>
              </w:rPr>
              <w:t>’</w:t>
            </w:r>
            <w:r w:rsidRPr="008D7D7C">
              <w:rPr>
                <w:rFonts w:ascii="Arial" w:hAnsi="Arial" w:cs="Arial"/>
                <w:snapToGrid w:val="0"/>
                <w:sz w:val="22"/>
                <w:szCs w:val="22"/>
              </w:rPr>
              <w:t>UNESCO.</w:t>
            </w:r>
          </w:p>
          <w:p w14:paraId="282E9FAE" w14:textId="410A1D5A" w:rsidR="000731D8" w:rsidRPr="008D7D7C" w:rsidRDefault="000731D8" w:rsidP="003B52E4">
            <w:pPr>
              <w:pStyle w:val="ListParagraph"/>
              <w:numPr>
                <w:ilvl w:val="0"/>
                <w:numId w:val="31"/>
              </w:numPr>
              <w:spacing w:after="120"/>
              <w:ind w:left="811" w:hanging="454"/>
              <w:contextualSpacing w:val="0"/>
              <w:jc w:val="both"/>
              <w:rPr>
                <w:rFonts w:ascii="Arial" w:hAnsi="Arial" w:cs="Arial"/>
                <w:snapToGrid w:val="0"/>
                <w:sz w:val="22"/>
                <w:szCs w:val="22"/>
              </w:rPr>
            </w:pPr>
            <w:r w:rsidRPr="008D7D7C">
              <w:rPr>
                <w:rFonts w:ascii="Arial" w:hAnsi="Arial" w:cs="Arial"/>
                <w:snapToGrid w:val="0"/>
                <w:sz w:val="22"/>
                <w:szCs w:val="22"/>
              </w:rPr>
              <w:t xml:space="preserve">Afin </w:t>
            </w:r>
            <w:r w:rsidRPr="008D7D7C">
              <w:rPr>
                <w:rFonts w:ascii="Arial" w:hAnsi="Arial" w:cs="Arial"/>
                <w:bCs/>
                <w:snapToGrid w:val="0"/>
                <w:sz w:val="22"/>
                <w:szCs w:val="22"/>
              </w:rPr>
              <w:t>d</w:t>
            </w:r>
            <w:r w:rsidR="006575A1" w:rsidRPr="008D7D7C">
              <w:rPr>
                <w:rFonts w:ascii="Arial" w:hAnsi="Arial" w:cs="Arial"/>
                <w:bCs/>
                <w:snapToGrid w:val="0"/>
                <w:sz w:val="22"/>
                <w:szCs w:val="22"/>
              </w:rPr>
              <w:t>’</w:t>
            </w:r>
            <w:r w:rsidRPr="008D7D7C">
              <w:rPr>
                <w:rFonts w:ascii="Arial" w:hAnsi="Arial" w:cs="Arial"/>
                <w:bCs/>
                <w:snapToGrid w:val="0"/>
                <w:sz w:val="22"/>
                <w:szCs w:val="22"/>
              </w:rPr>
              <w:t xml:space="preserve">aborder le rôle de la Convention de 2003 dans les situations </w:t>
            </w:r>
            <w:proofErr w:type="gramStart"/>
            <w:r w:rsidRPr="008D7D7C">
              <w:rPr>
                <w:rFonts w:ascii="Arial" w:hAnsi="Arial" w:cs="Arial"/>
                <w:bCs/>
                <w:snapToGrid w:val="0"/>
                <w:sz w:val="22"/>
                <w:szCs w:val="22"/>
              </w:rPr>
              <w:t>d</w:t>
            </w:r>
            <w:r w:rsidR="006575A1" w:rsidRPr="008D7D7C">
              <w:rPr>
                <w:rFonts w:ascii="Arial" w:hAnsi="Arial" w:cs="Arial"/>
                <w:bCs/>
                <w:snapToGrid w:val="0"/>
                <w:sz w:val="22"/>
                <w:szCs w:val="22"/>
              </w:rPr>
              <w:t>’</w:t>
            </w:r>
            <w:r w:rsidRPr="008D7D7C">
              <w:rPr>
                <w:rFonts w:ascii="Arial" w:hAnsi="Arial" w:cs="Arial"/>
                <w:bCs/>
                <w:snapToGrid w:val="0"/>
                <w:sz w:val="22"/>
                <w:szCs w:val="22"/>
              </w:rPr>
              <w:t xml:space="preserve">urgence, </w:t>
            </w:r>
            <w:r w:rsidRPr="008D7D7C">
              <w:rPr>
                <w:rFonts w:ascii="Arial" w:hAnsi="Arial" w:cs="Arial"/>
                <w:snapToGrid w:val="0"/>
                <w:sz w:val="22"/>
                <w:szCs w:val="22"/>
              </w:rPr>
              <w:t xml:space="preserve"> un</w:t>
            </w:r>
            <w:proofErr w:type="gramEnd"/>
            <w:r w:rsidRPr="008D7D7C">
              <w:rPr>
                <w:rFonts w:ascii="Arial" w:hAnsi="Arial" w:cs="Arial"/>
                <w:snapToGrid w:val="0"/>
                <w:sz w:val="22"/>
                <w:szCs w:val="22"/>
              </w:rPr>
              <w:t xml:space="preserve"> point intitulé « Le patrimoine culturel immatériel dans les situations d</w:t>
            </w:r>
            <w:r w:rsidR="006575A1" w:rsidRPr="008D7D7C">
              <w:rPr>
                <w:rFonts w:ascii="Arial" w:hAnsi="Arial" w:cs="Arial"/>
                <w:snapToGrid w:val="0"/>
                <w:sz w:val="22"/>
                <w:szCs w:val="22"/>
              </w:rPr>
              <w:t>’</w:t>
            </w:r>
            <w:r w:rsidRPr="008D7D7C">
              <w:rPr>
                <w:rFonts w:ascii="Arial" w:hAnsi="Arial" w:cs="Arial"/>
                <w:snapToGrid w:val="0"/>
                <w:sz w:val="22"/>
                <w:szCs w:val="22"/>
              </w:rPr>
              <w:t>urgence » figurait à l</w:t>
            </w:r>
            <w:r w:rsidR="006575A1" w:rsidRPr="008D7D7C">
              <w:rPr>
                <w:rFonts w:ascii="Arial" w:hAnsi="Arial" w:cs="Arial"/>
                <w:snapToGrid w:val="0"/>
                <w:sz w:val="22"/>
                <w:szCs w:val="22"/>
              </w:rPr>
              <w:t>’</w:t>
            </w:r>
            <w:r w:rsidRPr="008D7D7C">
              <w:rPr>
                <w:rFonts w:ascii="Arial" w:hAnsi="Arial" w:cs="Arial"/>
                <w:snapToGrid w:val="0"/>
                <w:sz w:val="22"/>
                <w:szCs w:val="22"/>
              </w:rPr>
              <w:t>ordre du jour des onzième et douzième sessions du Comité.</w:t>
            </w:r>
          </w:p>
          <w:p w14:paraId="67651F39" w14:textId="1B823D2A" w:rsidR="00CE116C" w:rsidRPr="008D7D7C" w:rsidRDefault="00200127" w:rsidP="00B27AC9">
            <w:pPr>
              <w:pStyle w:val="ListParagraph"/>
              <w:numPr>
                <w:ilvl w:val="0"/>
                <w:numId w:val="31"/>
              </w:numPr>
              <w:spacing w:after="120"/>
              <w:ind w:left="811" w:hanging="454"/>
              <w:contextualSpacing w:val="0"/>
              <w:jc w:val="both"/>
              <w:rPr>
                <w:rFonts w:ascii="Arial" w:hAnsi="Arial" w:cs="Arial"/>
                <w:snapToGrid w:val="0"/>
                <w:sz w:val="22"/>
                <w:szCs w:val="22"/>
              </w:rPr>
            </w:pPr>
            <w:r w:rsidRPr="008D7D7C">
              <w:rPr>
                <w:rFonts w:ascii="Arial" w:hAnsi="Arial" w:cs="Arial"/>
                <w:bCs/>
                <w:snapToGrid w:val="0"/>
                <w:sz w:val="22"/>
                <w:szCs w:val="22"/>
              </w:rPr>
              <w:t>Lors de sa douzième session</w:t>
            </w:r>
            <w:r w:rsidRPr="008D7D7C">
              <w:rPr>
                <w:rFonts w:ascii="Arial" w:hAnsi="Arial" w:cs="Arial"/>
                <w:snapToGrid w:val="0"/>
                <w:sz w:val="22"/>
                <w:szCs w:val="22"/>
              </w:rPr>
              <w:t xml:space="preserve"> le Comité a en outre approuvé deux priorités de financement ; dont l</w:t>
            </w:r>
            <w:r w:rsidR="006575A1" w:rsidRPr="008D7D7C">
              <w:rPr>
                <w:rFonts w:ascii="Arial" w:hAnsi="Arial" w:cs="Arial"/>
                <w:snapToGrid w:val="0"/>
                <w:sz w:val="22"/>
                <w:szCs w:val="22"/>
              </w:rPr>
              <w:t>’</w:t>
            </w:r>
            <w:r w:rsidRPr="008D7D7C">
              <w:rPr>
                <w:rFonts w:ascii="Arial" w:hAnsi="Arial" w:cs="Arial"/>
                <w:snapToGrid w:val="0"/>
                <w:sz w:val="22"/>
                <w:szCs w:val="22"/>
              </w:rPr>
              <w:t>une vise à déployer des efforts pour inclure le patrimoine culturel immatériel dans l</w:t>
            </w:r>
            <w:r w:rsidR="006575A1" w:rsidRPr="008D7D7C">
              <w:rPr>
                <w:rFonts w:ascii="Arial" w:hAnsi="Arial" w:cs="Arial"/>
                <w:snapToGrid w:val="0"/>
                <w:sz w:val="22"/>
                <w:szCs w:val="22"/>
              </w:rPr>
              <w:t>’</w:t>
            </w:r>
            <w:r w:rsidRPr="008D7D7C">
              <w:rPr>
                <w:rFonts w:ascii="Arial" w:hAnsi="Arial" w:cs="Arial"/>
                <w:snapToGrid w:val="0"/>
                <w:sz w:val="22"/>
                <w:szCs w:val="22"/>
              </w:rPr>
              <w:t>éducation formelle et non formelle avec la coopération du secteur de l</w:t>
            </w:r>
            <w:r w:rsidR="006575A1" w:rsidRPr="008D7D7C">
              <w:rPr>
                <w:rFonts w:ascii="Arial" w:hAnsi="Arial" w:cs="Arial"/>
                <w:snapToGrid w:val="0"/>
                <w:sz w:val="22"/>
                <w:szCs w:val="22"/>
              </w:rPr>
              <w:t>’</w:t>
            </w:r>
            <w:r w:rsidRPr="008D7D7C">
              <w:rPr>
                <w:rFonts w:ascii="Arial" w:hAnsi="Arial" w:cs="Arial"/>
                <w:snapToGrid w:val="0"/>
                <w:sz w:val="22"/>
                <w:szCs w:val="22"/>
              </w:rPr>
              <w:t>éducation. Cette priorité devrait aider à atteindre l</w:t>
            </w:r>
            <w:r w:rsidR="006575A1" w:rsidRPr="008D7D7C">
              <w:rPr>
                <w:rFonts w:ascii="Arial" w:hAnsi="Arial" w:cs="Arial"/>
                <w:snapToGrid w:val="0"/>
                <w:sz w:val="22"/>
                <w:szCs w:val="22"/>
              </w:rPr>
              <w:t>’</w:t>
            </w:r>
            <w:r w:rsidRPr="008D7D7C">
              <w:rPr>
                <w:rFonts w:ascii="Arial" w:hAnsi="Arial" w:cs="Arial"/>
                <w:snapToGrid w:val="0"/>
                <w:sz w:val="22"/>
                <w:szCs w:val="22"/>
              </w:rPr>
              <w:t>Objectif de développement durable 4 en renforçant la pertinence et la qualité de plusieurs domaines d</w:t>
            </w:r>
            <w:r w:rsidR="006575A1" w:rsidRPr="008D7D7C">
              <w:rPr>
                <w:rFonts w:ascii="Arial" w:hAnsi="Arial" w:cs="Arial"/>
                <w:snapToGrid w:val="0"/>
                <w:sz w:val="22"/>
                <w:szCs w:val="22"/>
              </w:rPr>
              <w:t>’</w:t>
            </w:r>
            <w:r w:rsidRPr="008D7D7C">
              <w:rPr>
                <w:rFonts w:ascii="Arial" w:hAnsi="Arial" w:cs="Arial"/>
                <w:snapToGrid w:val="0"/>
                <w:sz w:val="22"/>
                <w:szCs w:val="22"/>
              </w:rPr>
              <w:t>études et en favorisant l</w:t>
            </w:r>
            <w:r w:rsidR="006575A1" w:rsidRPr="008D7D7C">
              <w:rPr>
                <w:rFonts w:ascii="Arial" w:hAnsi="Arial" w:cs="Arial"/>
                <w:snapToGrid w:val="0"/>
                <w:sz w:val="22"/>
                <w:szCs w:val="22"/>
              </w:rPr>
              <w:t>’</w:t>
            </w:r>
            <w:r w:rsidRPr="008D7D7C">
              <w:rPr>
                <w:rFonts w:ascii="Arial" w:hAnsi="Arial" w:cs="Arial"/>
                <w:snapToGrid w:val="0"/>
                <w:sz w:val="22"/>
                <w:szCs w:val="22"/>
              </w:rPr>
              <w:t>éducation à la paix et au développement durable (décision 12.COM 6).</w:t>
            </w:r>
          </w:p>
        </w:tc>
      </w:tr>
      <w:tr w:rsidR="000731D8" w:rsidRPr="002D3E8F" w14:paraId="0B0291F7" w14:textId="77777777" w:rsidTr="006575A1">
        <w:tc>
          <w:tcPr>
            <w:tcW w:w="6068" w:type="dxa"/>
          </w:tcPr>
          <w:p w14:paraId="4913D392" w14:textId="08C8C08D" w:rsidR="000731D8" w:rsidRPr="008D7D7C" w:rsidRDefault="000731D8" w:rsidP="000731D8">
            <w:pPr>
              <w:pStyle w:val="ListParagraph"/>
              <w:numPr>
                <w:ilvl w:val="0"/>
                <w:numId w:val="27"/>
              </w:numPr>
              <w:tabs>
                <w:tab w:val="left" w:pos="567"/>
              </w:tabs>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lastRenderedPageBreak/>
              <w:t>Afin de promouvoir la diversité et l</w:t>
            </w:r>
            <w:r w:rsidR="006575A1" w:rsidRPr="008D7D7C">
              <w:rPr>
                <w:rFonts w:ascii="Arial" w:hAnsi="Arial" w:cs="Arial"/>
                <w:snapToGrid w:val="0"/>
                <w:sz w:val="22"/>
                <w:szCs w:val="22"/>
              </w:rPr>
              <w:t>’</w:t>
            </w:r>
            <w:r w:rsidRPr="008D7D7C">
              <w:rPr>
                <w:rFonts w:ascii="Arial" w:hAnsi="Arial" w:cs="Arial"/>
                <w:snapToGrid w:val="0"/>
                <w:sz w:val="22"/>
                <w:szCs w:val="22"/>
              </w:rPr>
              <w:t>ouverture, il est recommandé de limiter à deux, sur une base volontaire, le nombre de mandats consécutifs pour les OII qui ne fixent actuellement aucune limite en la matière.</w:t>
            </w:r>
          </w:p>
          <w:p w14:paraId="16F32CEE" w14:textId="60FF1EE3" w:rsidR="00CE116C" w:rsidRPr="008D7D7C" w:rsidRDefault="005D63EB" w:rsidP="00E863FC">
            <w:pPr>
              <w:tabs>
                <w:tab w:val="left" w:pos="567"/>
              </w:tabs>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p>
        </w:tc>
        <w:tc>
          <w:tcPr>
            <w:tcW w:w="8492" w:type="dxa"/>
          </w:tcPr>
          <w:p w14:paraId="0A0F60D5" w14:textId="1F07969A" w:rsidR="000731D8" w:rsidRPr="008D7D7C" w:rsidRDefault="006C4D90"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hyperlink r:id="rId22" w:anchor="art6" w:history="1">
              <w:r w:rsidRPr="008D7D7C">
                <w:rPr>
                  <w:rStyle w:val="Hyperlink"/>
                  <w:rFonts w:ascii="Arial" w:hAnsi="Arial" w:cs="Arial"/>
                  <w:snapToGrid w:val="0"/>
                  <w:sz w:val="22"/>
                  <w:szCs w:val="22"/>
                </w:rPr>
                <w:t>article 6.6</w:t>
              </w:r>
            </w:hyperlink>
            <w:r w:rsidRPr="008D7D7C">
              <w:rPr>
                <w:rFonts w:ascii="Arial" w:hAnsi="Arial" w:cs="Arial"/>
                <w:snapToGrid w:val="0"/>
                <w:sz w:val="22"/>
                <w:szCs w:val="22"/>
              </w:rPr>
              <w:t xml:space="preserve"> de la Convention stipule « [qu</w:t>
            </w:r>
            <w:r w:rsidR="006575A1" w:rsidRPr="008D7D7C">
              <w:rPr>
                <w:rFonts w:ascii="Arial" w:hAnsi="Arial" w:cs="Arial"/>
                <w:snapToGrid w:val="0"/>
                <w:sz w:val="22"/>
                <w:szCs w:val="22"/>
              </w:rPr>
              <w:t>’</w:t>
            </w:r>
            <w:r w:rsidRPr="008D7D7C">
              <w:rPr>
                <w:rFonts w:ascii="Arial" w:hAnsi="Arial" w:cs="Arial"/>
                <w:snapToGrid w:val="0"/>
                <w:sz w:val="22"/>
                <w:szCs w:val="22"/>
              </w:rPr>
              <w:t>un] État membre du Comité ne peut être élu pour deux mandats consécutifs. »</w:t>
            </w:r>
          </w:p>
        </w:tc>
      </w:tr>
      <w:tr w:rsidR="000731D8" w:rsidRPr="002D3E8F" w14:paraId="097E8397" w14:textId="77777777" w:rsidTr="006575A1">
        <w:tc>
          <w:tcPr>
            <w:tcW w:w="6068" w:type="dxa"/>
          </w:tcPr>
          <w:p w14:paraId="70441307" w14:textId="283F0790" w:rsidR="00CE116C" w:rsidRPr="008D7D7C" w:rsidRDefault="000731D8" w:rsidP="000731D8">
            <w:pPr>
              <w:pStyle w:val="ListParagraph"/>
              <w:numPr>
                <w:ilvl w:val="0"/>
                <w:numId w:val="27"/>
              </w:numPr>
              <w:tabs>
                <w:tab w:val="left" w:pos="567"/>
              </w:tabs>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D</w:t>
            </w:r>
            <w:r w:rsidR="006575A1" w:rsidRPr="008D7D7C">
              <w:rPr>
                <w:rFonts w:ascii="Arial" w:hAnsi="Arial" w:cs="Arial"/>
                <w:snapToGrid w:val="0"/>
                <w:sz w:val="22"/>
                <w:szCs w:val="22"/>
              </w:rPr>
              <w:t>’</w:t>
            </w:r>
            <w:r w:rsidRPr="008D7D7C">
              <w:rPr>
                <w:rFonts w:ascii="Arial" w:hAnsi="Arial" w:cs="Arial"/>
                <w:snapToGrid w:val="0"/>
                <w:sz w:val="22"/>
                <w:szCs w:val="22"/>
              </w:rPr>
              <w:t>une manière générale, il est recommandé de limiter à deux le nombre de mandats consécutifs des membres dans tous les bureaux.</w:t>
            </w:r>
          </w:p>
          <w:p w14:paraId="7CA66840" w14:textId="2B17243D" w:rsidR="000731D8" w:rsidRPr="008D7D7C" w:rsidRDefault="00D05226" w:rsidP="00E863FC">
            <w:pPr>
              <w:tabs>
                <w:tab w:val="left" w:pos="567"/>
              </w:tabs>
              <w:spacing w:after="120"/>
              <w:jc w:val="both"/>
              <w:rPr>
                <w:rFonts w:ascii="Arial" w:hAnsi="Arial" w:cs="Arial"/>
                <w:snapToGrid w:val="0"/>
                <w:sz w:val="22"/>
                <w:szCs w:val="22"/>
              </w:rPr>
            </w:pPr>
            <w:r w:rsidRPr="008D7D7C">
              <w:rPr>
                <w:rFonts w:ascii="Arial" w:hAnsi="Arial" w:cs="Arial"/>
                <w:b/>
                <w:bCs/>
                <w:sz w:val="22"/>
                <w:szCs w:val="22"/>
              </w:rPr>
              <w:t xml:space="preserve">Action proposée </w:t>
            </w:r>
          </w:p>
        </w:tc>
        <w:tc>
          <w:tcPr>
            <w:tcW w:w="8492" w:type="dxa"/>
          </w:tcPr>
          <w:p w14:paraId="6CA8167A" w14:textId="5E12E3D6" w:rsidR="00CE116C" w:rsidRPr="008D7D7C" w:rsidRDefault="00CE116C" w:rsidP="00694B0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Conformément à l</w:t>
            </w:r>
            <w:r w:rsidR="006575A1" w:rsidRPr="008D7D7C">
              <w:rPr>
                <w:rFonts w:ascii="Arial" w:hAnsi="Arial" w:cs="Arial"/>
                <w:snapToGrid w:val="0"/>
                <w:sz w:val="22"/>
                <w:szCs w:val="22"/>
              </w:rPr>
              <w:t>’</w:t>
            </w:r>
            <w:hyperlink r:id="rId23" w:anchor="Rule13" w:history="1">
              <w:r w:rsidRPr="008D7D7C">
                <w:rPr>
                  <w:rStyle w:val="Hyperlink"/>
                  <w:rFonts w:ascii="Arial" w:hAnsi="Arial" w:cs="Arial"/>
                  <w:snapToGrid w:val="0"/>
                  <w:sz w:val="22"/>
                  <w:szCs w:val="22"/>
                </w:rPr>
                <w:t>article 13</w:t>
              </w:r>
            </w:hyperlink>
            <w:r w:rsidRPr="008D7D7C">
              <w:rPr>
                <w:rFonts w:ascii="Arial" w:hAnsi="Arial" w:cs="Arial"/>
                <w:snapToGrid w:val="0"/>
                <w:sz w:val="22"/>
                <w:szCs w:val="22"/>
              </w:rPr>
              <w:t xml:space="preserve"> du Règlement intérieur du Comité, les membres du Bureau « sont immédiatement rééligibles pour un deuxième mandat sous condition que le pays qu</w:t>
            </w:r>
            <w:r w:rsidR="006575A1" w:rsidRPr="008D7D7C">
              <w:rPr>
                <w:rFonts w:ascii="Arial" w:hAnsi="Arial" w:cs="Arial"/>
                <w:snapToGrid w:val="0"/>
                <w:sz w:val="22"/>
                <w:szCs w:val="22"/>
              </w:rPr>
              <w:t>’</w:t>
            </w:r>
            <w:r w:rsidRPr="008D7D7C">
              <w:rPr>
                <w:rFonts w:ascii="Arial" w:hAnsi="Arial" w:cs="Arial"/>
                <w:snapToGrid w:val="0"/>
                <w:sz w:val="22"/>
                <w:szCs w:val="22"/>
              </w:rPr>
              <w:t>ils représentent continue d</w:t>
            </w:r>
            <w:r w:rsidR="006575A1" w:rsidRPr="008D7D7C">
              <w:rPr>
                <w:rFonts w:ascii="Arial" w:hAnsi="Arial" w:cs="Arial"/>
                <w:snapToGrid w:val="0"/>
                <w:sz w:val="22"/>
                <w:szCs w:val="22"/>
              </w:rPr>
              <w:t>’</w:t>
            </w:r>
            <w:r w:rsidRPr="008D7D7C">
              <w:rPr>
                <w:rFonts w:ascii="Arial" w:hAnsi="Arial" w:cs="Arial"/>
                <w:snapToGrid w:val="0"/>
                <w:sz w:val="22"/>
                <w:szCs w:val="22"/>
              </w:rPr>
              <w:t>être État membre du Comité au moins jusqu</w:t>
            </w:r>
            <w:r w:rsidR="006575A1" w:rsidRPr="008D7D7C">
              <w:rPr>
                <w:rFonts w:ascii="Arial" w:hAnsi="Arial" w:cs="Arial"/>
                <w:snapToGrid w:val="0"/>
                <w:sz w:val="22"/>
                <w:szCs w:val="22"/>
              </w:rPr>
              <w:t>’</w:t>
            </w:r>
            <w:r w:rsidRPr="008D7D7C">
              <w:rPr>
                <w:rFonts w:ascii="Arial" w:hAnsi="Arial" w:cs="Arial"/>
                <w:snapToGrid w:val="0"/>
                <w:sz w:val="22"/>
                <w:szCs w:val="22"/>
              </w:rPr>
              <w:t>à la fin du mandat renouvelé. »</w:t>
            </w:r>
          </w:p>
          <w:p w14:paraId="0F37A9E5" w14:textId="51D5B362" w:rsidR="00CE116C" w:rsidRPr="008D7D7C" w:rsidRDefault="00694B07" w:rsidP="00694B0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Bien que le Règlement intérieur de l</w:t>
            </w:r>
            <w:r w:rsidR="006575A1" w:rsidRPr="008D7D7C">
              <w:rPr>
                <w:rFonts w:ascii="Arial" w:hAnsi="Arial" w:cs="Arial"/>
                <w:snapToGrid w:val="0"/>
                <w:sz w:val="22"/>
                <w:szCs w:val="22"/>
              </w:rPr>
              <w:t>’</w:t>
            </w:r>
            <w:r w:rsidRPr="008D7D7C">
              <w:rPr>
                <w:rFonts w:ascii="Arial" w:hAnsi="Arial" w:cs="Arial"/>
                <w:snapToGrid w:val="0"/>
                <w:sz w:val="22"/>
                <w:szCs w:val="22"/>
              </w:rPr>
              <w:t xml:space="preserve">Assemblée générale ne précise pas la durée du mandat des membres de son Bureau, en pratique les membres effectuent seulement un mandat (voir le document </w:t>
            </w:r>
            <w:hyperlink r:id="rId24" w:history="1">
              <w:r w:rsidRPr="008D7D7C">
                <w:rPr>
                  <w:rStyle w:val="Hyperlink"/>
                  <w:rFonts w:ascii="Arial" w:hAnsi="Arial" w:cs="Arial"/>
                  <w:sz w:val="22"/>
                  <w:szCs w:val="22"/>
                </w:rPr>
                <w:t>ITH/18/7.GA/2</w:t>
              </w:r>
            </w:hyperlink>
            <w:r w:rsidRPr="008D7D7C">
              <w:rPr>
                <w:rFonts w:ascii="Arial" w:hAnsi="Arial" w:cs="Arial"/>
                <w:snapToGrid w:val="0"/>
                <w:sz w:val="22"/>
                <w:szCs w:val="22"/>
              </w:rPr>
              <w:t xml:space="preserve">, dans lequel figure la liste des membres du Bureau pour les sessions précédentes). </w:t>
            </w:r>
          </w:p>
          <w:p w14:paraId="1BD9B196" w14:textId="2147A3FA" w:rsidR="000731D8" w:rsidRPr="008D7D7C" w:rsidRDefault="00CE116C" w:rsidP="003B52E4">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pourrait choisir de modifier son Règlement intérieur pour tenir compte de cette recommandation ou bien poursuivre la pratique actuelle.</w:t>
            </w:r>
          </w:p>
        </w:tc>
      </w:tr>
      <w:tr w:rsidR="000731D8" w:rsidRPr="002D3E8F" w14:paraId="4B6769C3" w14:textId="77777777" w:rsidTr="006575A1">
        <w:tc>
          <w:tcPr>
            <w:tcW w:w="6068" w:type="dxa"/>
          </w:tcPr>
          <w:p w14:paraId="3B4A0CFB" w14:textId="14DABBF8" w:rsidR="000731D8" w:rsidRPr="008D7D7C"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Par souci d</w:t>
            </w:r>
            <w:r w:rsidR="006575A1" w:rsidRPr="008D7D7C">
              <w:rPr>
                <w:rFonts w:ascii="Arial" w:hAnsi="Arial" w:cs="Arial"/>
                <w:snapToGrid w:val="0"/>
                <w:sz w:val="22"/>
                <w:szCs w:val="22"/>
              </w:rPr>
              <w:t>’</w:t>
            </w:r>
            <w:r w:rsidRPr="008D7D7C">
              <w:rPr>
                <w:rFonts w:ascii="Arial" w:hAnsi="Arial" w:cs="Arial"/>
                <w:snapToGrid w:val="0"/>
                <w:sz w:val="22"/>
                <w:szCs w:val="22"/>
              </w:rPr>
              <w:t>économie, de cohérence et harmonisation, il est recommandé que les OII et la Conférence générale envisagent de rajuster en taille la composition des organes.</w:t>
            </w:r>
          </w:p>
          <w:p w14:paraId="558ADEE4" w14:textId="544154A4" w:rsidR="00A35371" w:rsidRPr="008D7D7C" w:rsidRDefault="007523AD" w:rsidP="00E863FC">
            <w:pPr>
              <w:spacing w:after="120"/>
              <w:jc w:val="both"/>
              <w:rPr>
                <w:rFonts w:ascii="Arial" w:hAnsi="Arial" w:cs="Arial"/>
                <w:snapToGrid w:val="0"/>
                <w:sz w:val="22"/>
                <w:szCs w:val="22"/>
              </w:rPr>
            </w:pPr>
            <w:r w:rsidRPr="008D7D7C">
              <w:rPr>
                <w:rFonts w:ascii="Arial" w:hAnsi="Arial" w:cs="Arial"/>
                <w:b/>
                <w:bCs/>
                <w:sz w:val="22"/>
                <w:szCs w:val="22"/>
              </w:rPr>
              <w:t>Mise en œuvre achevée</w:t>
            </w:r>
          </w:p>
        </w:tc>
        <w:tc>
          <w:tcPr>
            <w:tcW w:w="8492" w:type="dxa"/>
          </w:tcPr>
          <w:p w14:paraId="4B95C305" w14:textId="58B99D11" w:rsidR="00BE171C" w:rsidRPr="008D7D7C" w:rsidRDefault="000731D8" w:rsidP="00B27AC9">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 nombre des États membres du Comité est fixé par l</w:t>
            </w:r>
            <w:r w:rsidR="006575A1" w:rsidRPr="008D7D7C">
              <w:rPr>
                <w:rFonts w:ascii="Arial" w:hAnsi="Arial" w:cs="Arial"/>
                <w:snapToGrid w:val="0"/>
                <w:sz w:val="22"/>
                <w:szCs w:val="22"/>
              </w:rPr>
              <w:t>’</w:t>
            </w:r>
            <w:hyperlink r:id="rId25" w:anchor="art5" w:history="1">
              <w:r w:rsidRPr="008D7D7C">
                <w:rPr>
                  <w:rStyle w:val="Hyperlink"/>
                  <w:rFonts w:ascii="Arial" w:hAnsi="Arial" w:cs="Arial"/>
                  <w:snapToGrid w:val="0"/>
                  <w:sz w:val="22"/>
                  <w:szCs w:val="22"/>
                </w:rPr>
                <w:t>article 5</w:t>
              </w:r>
            </w:hyperlink>
            <w:r w:rsidRPr="008D7D7C">
              <w:rPr>
                <w:rFonts w:ascii="Arial" w:hAnsi="Arial" w:cs="Arial"/>
                <w:snapToGrid w:val="0"/>
                <w:sz w:val="22"/>
                <w:szCs w:val="22"/>
              </w:rPr>
              <w:t xml:space="preserve"> de la Convention (vingt-quatre membres).</w:t>
            </w:r>
            <w:r w:rsidRPr="008D7D7C">
              <w:rPr>
                <w:rFonts w:ascii="Arial" w:hAnsi="Arial" w:cs="Arial"/>
                <w:sz w:val="22"/>
                <w:szCs w:val="22"/>
              </w:rPr>
              <w:t xml:space="preserve"> Par conséquent, la mise en œuvre de cette recommandation supposerait d</w:t>
            </w:r>
            <w:r w:rsidR="006575A1" w:rsidRPr="008D7D7C">
              <w:rPr>
                <w:rFonts w:ascii="Arial" w:hAnsi="Arial" w:cs="Arial"/>
                <w:sz w:val="22"/>
                <w:szCs w:val="22"/>
              </w:rPr>
              <w:t>’</w:t>
            </w:r>
            <w:r w:rsidRPr="008D7D7C">
              <w:rPr>
                <w:rFonts w:ascii="Arial" w:hAnsi="Arial" w:cs="Arial"/>
                <w:sz w:val="22"/>
                <w:szCs w:val="22"/>
              </w:rPr>
              <w:t>amender le texte de la Convention.</w:t>
            </w:r>
          </w:p>
        </w:tc>
      </w:tr>
      <w:tr w:rsidR="000731D8" w:rsidRPr="002D3E8F" w14:paraId="2A40DC3B" w14:textId="77777777" w:rsidTr="006575A1">
        <w:tc>
          <w:tcPr>
            <w:tcW w:w="6068" w:type="dxa"/>
          </w:tcPr>
          <w:p w14:paraId="365DB0F3" w14:textId="55581476" w:rsidR="000731D8" w:rsidRPr="008D7D7C"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Les nominations et les décisions doivent être moins politisées et leur politisation doit être maîtrisée.</w:t>
            </w:r>
          </w:p>
          <w:p w14:paraId="59513A9A" w14:textId="57149D8A" w:rsidR="00564237" w:rsidRPr="008D7D7C" w:rsidRDefault="002E5D2C" w:rsidP="00942976">
            <w:pPr>
              <w:spacing w:after="120"/>
              <w:jc w:val="both"/>
              <w:rPr>
                <w:rFonts w:ascii="Arial" w:hAnsi="Arial" w:cs="Arial"/>
                <w:snapToGrid w:val="0"/>
                <w:sz w:val="22"/>
                <w:szCs w:val="22"/>
              </w:rPr>
            </w:pPr>
            <w:r w:rsidRPr="008D7D7C">
              <w:rPr>
                <w:rFonts w:ascii="Arial" w:hAnsi="Arial" w:cs="Arial"/>
                <w:b/>
                <w:bCs/>
                <w:sz w:val="22"/>
                <w:szCs w:val="22"/>
              </w:rPr>
              <w:t>Action nécessaire des États parties</w:t>
            </w:r>
          </w:p>
        </w:tc>
        <w:tc>
          <w:tcPr>
            <w:tcW w:w="8492" w:type="dxa"/>
          </w:tcPr>
          <w:p w14:paraId="712DE23F" w14:textId="12685059" w:rsidR="00BD2F05" w:rsidRPr="008D7D7C" w:rsidRDefault="000731D8" w:rsidP="00E863FC">
            <w:pPr>
              <w:pStyle w:val="ListParagraph"/>
              <w:numPr>
                <w:ilvl w:val="0"/>
                <w:numId w:val="25"/>
              </w:numPr>
              <w:spacing w:after="120"/>
              <w:ind w:left="351" w:hanging="284"/>
              <w:contextualSpacing w:val="0"/>
              <w:jc w:val="both"/>
              <w:rPr>
                <w:rFonts w:ascii="Arial" w:hAnsi="Arial" w:cs="Arial"/>
                <w:snapToGrid w:val="0"/>
                <w:sz w:val="22"/>
                <w:szCs w:val="22"/>
              </w:rPr>
            </w:pPr>
            <w:r w:rsidRPr="008D7D7C">
              <w:rPr>
                <w:rFonts w:ascii="Arial" w:hAnsi="Arial" w:cs="Arial"/>
                <w:snapToGrid w:val="0"/>
                <w:sz w:val="22"/>
                <w:szCs w:val="22"/>
              </w:rPr>
              <w:t>C</w:t>
            </w:r>
            <w:r w:rsidR="006575A1" w:rsidRPr="008D7D7C">
              <w:rPr>
                <w:rFonts w:ascii="Arial" w:hAnsi="Arial" w:cs="Arial"/>
                <w:snapToGrid w:val="0"/>
                <w:sz w:val="22"/>
                <w:szCs w:val="22"/>
              </w:rPr>
              <w:t>’</w:t>
            </w:r>
            <w:r w:rsidRPr="008D7D7C">
              <w:rPr>
                <w:rFonts w:ascii="Arial" w:hAnsi="Arial" w:cs="Arial"/>
                <w:snapToGrid w:val="0"/>
                <w:sz w:val="22"/>
                <w:szCs w:val="22"/>
              </w:rPr>
              <w:t>est principalement aux États parties que revient la responsabilité de la mise en œuvre de cette recommandation.</w:t>
            </w:r>
          </w:p>
          <w:p w14:paraId="4EFF8460" w14:textId="30D60D68" w:rsidR="00B22132" w:rsidRPr="008D7D7C" w:rsidRDefault="00A35371" w:rsidP="007761A8">
            <w:pPr>
              <w:pStyle w:val="ListParagraph"/>
              <w:numPr>
                <w:ilvl w:val="0"/>
                <w:numId w:val="25"/>
              </w:numPr>
              <w:spacing w:after="120"/>
              <w:ind w:left="351" w:hanging="284"/>
              <w:contextualSpacing w:val="0"/>
              <w:jc w:val="both"/>
              <w:rPr>
                <w:rFonts w:ascii="Arial" w:hAnsi="Arial" w:cs="Arial"/>
                <w:sz w:val="22"/>
                <w:szCs w:val="22"/>
              </w:rPr>
            </w:pPr>
            <w:r w:rsidRPr="008D7D7C">
              <w:rPr>
                <w:rFonts w:ascii="Arial" w:hAnsi="Arial" w:cs="Arial"/>
                <w:snapToGrid w:val="0"/>
                <w:sz w:val="22"/>
                <w:szCs w:val="22"/>
              </w:rPr>
              <w:t>Dans le même temps, il convient de noter que lors de sa onzième session le Comité a créé un groupe de travail informel ad hoc pour traiter la question de la politisation. Ce groupe a été formé en particulier pour examiner les enjeux liés au processus de dialogue et de consultation entre l</w:t>
            </w:r>
            <w:r w:rsidR="006575A1" w:rsidRPr="008D7D7C">
              <w:rPr>
                <w:rFonts w:ascii="Arial" w:hAnsi="Arial" w:cs="Arial"/>
                <w:snapToGrid w:val="0"/>
                <w:sz w:val="22"/>
                <w:szCs w:val="22"/>
              </w:rPr>
              <w:t>’</w:t>
            </w:r>
            <w:r w:rsidRPr="008D7D7C">
              <w:rPr>
                <w:rFonts w:ascii="Arial" w:hAnsi="Arial" w:cs="Arial"/>
                <w:snapToGrid w:val="0"/>
                <w:sz w:val="22"/>
                <w:szCs w:val="22"/>
              </w:rPr>
              <w:t>Organe d</w:t>
            </w:r>
            <w:r w:rsidR="006575A1" w:rsidRPr="008D7D7C">
              <w:rPr>
                <w:rFonts w:ascii="Arial" w:hAnsi="Arial" w:cs="Arial"/>
                <w:snapToGrid w:val="0"/>
                <w:sz w:val="22"/>
                <w:szCs w:val="22"/>
              </w:rPr>
              <w:t>’</w:t>
            </w:r>
            <w:r w:rsidRPr="008D7D7C">
              <w:rPr>
                <w:rFonts w:ascii="Arial" w:hAnsi="Arial" w:cs="Arial"/>
                <w:snapToGrid w:val="0"/>
                <w:sz w:val="22"/>
                <w:szCs w:val="22"/>
              </w:rPr>
              <w:t xml:space="preserve">évaluation et les États soumissionnaires et au processus de prise de décisions par le Comité concernant les candidatures, les propositions et les demandes ; ainsi que toute autre question permettant de renforcer la mise en œuvre de la Convention. Lors de sa douzième </w:t>
            </w:r>
            <w:r w:rsidRPr="008D7D7C">
              <w:rPr>
                <w:rFonts w:ascii="Arial" w:hAnsi="Arial" w:cs="Arial"/>
                <w:snapToGrid w:val="0"/>
                <w:sz w:val="22"/>
                <w:szCs w:val="22"/>
              </w:rPr>
              <w:lastRenderedPageBreak/>
              <w:t>session, le Comité a examiné le rapport de ce groupe et a décidé de le soumettre à la présente session de l</w:t>
            </w:r>
            <w:r w:rsidR="006575A1" w:rsidRPr="008D7D7C">
              <w:rPr>
                <w:rFonts w:ascii="Arial" w:hAnsi="Arial" w:cs="Arial"/>
                <w:snapToGrid w:val="0"/>
                <w:sz w:val="22"/>
                <w:szCs w:val="22"/>
              </w:rPr>
              <w:t>’</w:t>
            </w:r>
            <w:r w:rsidRPr="008D7D7C">
              <w:rPr>
                <w:rFonts w:ascii="Arial" w:hAnsi="Arial" w:cs="Arial"/>
                <w:snapToGrid w:val="0"/>
                <w:sz w:val="22"/>
                <w:szCs w:val="22"/>
              </w:rPr>
              <w:t xml:space="preserve">Assemblée générale (document </w:t>
            </w:r>
            <w:hyperlink r:id="rId26" w:history="1">
              <w:r w:rsidRPr="008D7D7C">
                <w:rPr>
                  <w:rStyle w:val="Hyperlink"/>
                  <w:rFonts w:ascii="Arial" w:hAnsi="Arial" w:cs="Arial"/>
                  <w:sz w:val="22"/>
                  <w:szCs w:val="22"/>
                </w:rPr>
                <w:t>ITH/18/7.GA/6</w:t>
              </w:r>
            </w:hyperlink>
            <w:r w:rsidRPr="008D7D7C">
              <w:rPr>
                <w:rFonts w:ascii="Arial" w:hAnsi="Arial" w:cs="Arial"/>
                <w:snapToGrid w:val="0"/>
                <w:sz w:val="22"/>
                <w:szCs w:val="22"/>
              </w:rPr>
              <w:t>).</w:t>
            </w:r>
          </w:p>
          <w:p w14:paraId="1C41FAD7" w14:textId="2F004FEB" w:rsidR="00B22132" w:rsidRPr="008D7D7C" w:rsidRDefault="00590927" w:rsidP="00B27AC9">
            <w:pPr>
              <w:pStyle w:val="GAPara"/>
              <w:numPr>
                <w:ilvl w:val="0"/>
                <w:numId w:val="25"/>
              </w:numPr>
              <w:ind w:left="351" w:hanging="284"/>
              <w:jc w:val="both"/>
            </w:pPr>
            <w:r w:rsidRPr="008D7D7C">
              <w:t>En outre, par sa décision </w:t>
            </w:r>
            <w:hyperlink r:id="rId27" w:history="1">
              <w:r w:rsidRPr="008D7D7C">
                <w:rPr>
                  <w:rStyle w:val="Hyperlink"/>
                </w:rPr>
                <w:t>12.COM 13</w:t>
              </w:r>
            </w:hyperlink>
            <w:r w:rsidRPr="008D7D7C">
              <w:t>, le Comité a décidé de poursuivre en 2018 le groupe de travail informel ad hoc, qui est désormais à composition non limitée et dont le mandat a été élargi.</w:t>
            </w:r>
          </w:p>
        </w:tc>
      </w:tr>
      <w:tr w:rsidR="000731D8" w:rsidRPr="002D3E8F" w14:paraId="378E1E43" w14:textId="77777777" w:rsidTr="006575A1">
        <w:tc>
          <w:tcPr>
            <w:tcW w:w="6068" w:type="dxa"/>
          </w:tcPr>
          <w:p w14:paraId="06D43C8A" w14:textId="3FCC8911" w:rsidR="000731D8" w:rsidRPr="008D7D7C"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lastRenderedPageBreak/>
              <w:t>Afin d</w:t>
            </w:r>
            <w:r w:rsidR="006575A1" w:rsidRPr="008D7D7C">
              <w:rPr>
                <w:rFonts w:ascii="Arial" w:hAnsi="Arial" w:cs="Arial"/>
                <w:snapToGrid w:val="0"/>
                <w:sz w:val="22"/>
                <w:szCs w:val="22"/>
              </w:rPr>
              <w:t>’</w:t>
            </w:r>
            <w:r w:rsidRPr="008D7D7C">
              <w:rPr>
                <w:rFonts w:ascii="Arial" w:hAnsi="Arial" w:cs="Arial"/>
                <w:snapToGrid w:val="0"/>
                <w:sz w:val="22"/>
                <w:szCs w:val="22"/>
              </w:rPr>
              <w:t>accroître la visibilité et l</w:t>
            </w:r>
            <w:r w:rsidR="006575A1" w:rsidRPr="008D7D7C">
              <w:rPr>
                <w:rFonts w:ascii="Arial" w:hAnsi="Arial" w:cs="Arial"/>
                <w:snapToGrid w:val="0"/>
                <w:sz w:val="22"/>
                <w:szCs w:val="22"/>
              </w:rPr>
              <w:t>’</w:t>
            </w:r>
            <w:r w:rsidRPr="008D7D7C">
              <w:rPr>
                <w:rFonts w:ascii="Arial" w:hAnsi="Arial" w:cs="Arial"/>
                <w:snapToGrid w:val="0"/>
                <w:sz w:val="22"/>
                <w:szCs w:val="22"/>
              </w:rPr>
              <w:t>efficacité de l</w:t>
            </w:r>
            <w:r w:rsidR="006575A1" w:rsidRPr="008D7D7C">
              <w:rPr>
                <w:rFonts w:ascii="Arial" w:hAnsi="Arial" w:cs="Arial"/>
                <w:snapToGrid w:val="0"/>
                <w:sz w:val="22"/>
                <w:szCs w:val="22"/>
              </w:rPr>
              <w:t>’</w:t>
            </w:r>
            <w:r w:rsidRPr="008D7D7C">
              <w:rPr>
                <w:rFonts w:ascii="Arial" w:hAnsi="Arial" w:cs="Arial"/>
                <w:snapToGrid w:val="0"/>
                <w:sz w:val="22"/>
                <w:szCs w:val="22"/>
              </w:rPr>
              <w:t>action des OII, il est recommandé de diffuser les informations plus efficacement grâce à une mise à jour et l</w:t>
            </w:r>
            <w:r w:rsidR="006575A1" w:rsidRPr="008D7D7C">
              <w:rPr>
                <w:rFonts w:ascii="Arial" w:hAnsi="Arial" w:cs="Arial"/>
                <w:snapToGrid w:val="0"/>
                <w:sz w:val="22"/>
                <w:szCs w:val="22"/>
              </w:rPr>
              <w:t>’</w:t>
            </w:r>
            <w:r w:rsidRPr="008D7D7C">
              <w:rPr>
                <w:rFonts w:ascii="Arial" w:hAnsi="Arial" w:cs="Arial"/>
                <w:snapToGrid w:val="0"/>
                <w:sz w:val="22"/>
                <w:szCs w:val="22"/>
              </w:rPr>
              <w:t>amélioration des sites Web et de la communication en direction de tous les acteurs concernés, notamment les États membres et leurs commissions nationales.</w:t>
            </w:r>
          </w:p>
          <w:p w14:paraId="154D79E9" w14:textId="61098912" w:rsidR="00564237" w:rsidRPr="008D7D7C" w:rsidRDefault="00A35371" w:rsidP="008D7D7C">
            <w:pPr>
              <w:spacing w:after="120"/>
              <w:rPr>
                <w:rFonts w:ascii="Arial" w:hAnsi="Arial" w:cs="Arial"/>
                <w:snapToGrid w:val="0"/>
                <w:sz w:val="22"/>
                <w:szCs w:val="22"/>
              </w:rPr>
            </w:pPr>
            <w:r w:rsidRPr="008D7D7C">
              <w:rPr>
                <w:rFonts w:ascii="Arial" w:hAnsi="Arial" w:cs="Arial"/>
                <w:b/>
                <w:bCs/>
                <w:snapToGrid w:val="0"/>
                <w:sz w:val="22"/>
                <w:szCs w:val="22"/>
              </w:rPr>
              <w:t>Mise en œuvre achevée</w:t>
            </w:r>
            <w:r w:rsidRPr="008D7D7C">
              <w:rPr>
                <w:rFonts w:ascii="Arial" w:hAnsi="Arial" w:cs="Arial"/>
                <w:b/>
                <w:bCs/>
                <w:sz w:val="22"/>
                <w:szCs w:val="22"/>
              </w:rPr>
              <w:br/>
            </w:r>
            <w:r w:rsidRPr="008D7D7C">
              <w:rPr>
                <w:rFonts w:ascii="Arial" w:hAnsi="Arial" w:cs="Arial"/>
                <w:b/>
                <w:bCs/>
                <w:snapToGrid w:val="0"/>
                <w:sz w:val="22"/>
                <w:szCs w:val="22"/>
              </w:rPr>
              <w:t>(Bonne pratique)</w:t>
            </w:r>
          </w:p>
        </w:tc>
        <w:tc>
          <w:tcPr>
            <w:tcW w:w="8492" w:type="dxa"/>
          </w:tcPr>
          <w:p w14:paraId="6DC46457" w14:textId="3A06B513" w:rsidR="00564237" w:rsidRPr="008D7D7C" w:rsidRDefault="00564237"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 Secrétariat publie toutes les informations relatives aux réunions, événements et projets concernant la Convention de 2003 sur le site Web de la Convention.</w:t>
            </w:r>
          </w:p>
          <w:p w14:paraId="40487A71" w14:textId="52BAEB5C" w:rsidR="000731D8" w:rsidRPr="008D7D7C" w:rsidRDefault="00564237" w:rsidP="00B27AC9">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Par ailleurs, lorsque cela est nécessaire, le Secrétariat communique également par écrit avec les États parties, les organisations non gouvernementales accréditées et les centres de catégorie 2 dans le domaine du patrimoine culturel immatériel.</w:t>
            </w:r>
          </w:p>
        </w:tc>
      </w:tr>
      <w:tr w:rsidR="000731D8" w:rsidRPr="002D3E8F" w14:paraId="0C9C0CE0" w14:textId="77777777" w:rsidTr="006575A1">
        <w:tc>
          <w:tcPr>
            <w:tcW w:w="6068" w:type="dxa"/>
          </w:tcPr>
          <w:p w14:paraId="71C6482E" w14:textId="72426F6A" w:rsidR="000731D8" w:rsidRPr="008D7D7C"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Il est recommandé d</w:t>
            </w:r>
            <w:r w:rsidR="006575A1" w:rsidRPr="008D7D7C">
              <w:rPr>
                <w:rFonts w:ascii="Arial" w:hAnsi="Arial" w:cs="Arial"/>
                <w:snapToGrid w:val="0"/>
                <w:sz w:val="22"/>
                <w:szCs w:val="22"/>
              </w:rPr>
              <w:t>’</w:t>
            </w:r>
            <w:r w:rsidRPr="008D7D7C">
              <w:rPr>
                <w:rFonts w:ascii="Arial" w:hAnsi="Arial" w:cs="Arial"/>
                <w:snapToGrid w:val="0"/>
                <w:sz w:val="22"/>
                <w:szCs w:val="22"/>
              </w:rPr>
              <w:t>élaborer et de diffuser à un stade plus avancé les projets d</w:t>
            </w:r>
            <w:r w:rsidR="006575A1" w:rsidRPr="008D7D7C">
              <w:rPr>
                <w:rFonts w:ascii="Arial" w:hAnsi="Arial" w:cs="Arial"/>
                <w:snapToGrid w:val="0"/>
                <w:sz w:val="22"/>
                <w:szCs w:val="22"/>
              </w:rPr>
              <w:t>’</w:t>
            </w:r>
            <w:r w:rsidRPr="008D7D7C">
              <w:rPr>
                <w:rFonts w:ascii="Arial" w:hAnsi="Arial" w:cs="Arial"/>
                <w:snapToGrid w:val="0"/>
                <w:sz w:val="22"/>
                <w:szCs w:val="22"/>
              </w:rPr>
              <w:t>ordre du jour et les calendriers préliminaires, et ce principalement en utilisant le même modèle, avec des hyperliens renvoyant vers les documents à adopter/discuter en séance.</w:t>
            </w:r>
          </w:p>
          <w:p w14:paraId="622BC8AE" w14:textId="1FC1405F" w:rsidR="00B077E8" w:rsidRPr="008D7D7C" w:rsidRDefault="00A35371" w:rsidP="00E863FC">
            <w:pPr>
              <w:pStyle w:val="ListParagraph"/>
              <w:spacing w:after="120"/>
              <w:ind w:left="0"/>
              <w:contextualSpacing w:val="0"/>
              <w:rPr>
                <w:rFonts w:ascii="Arial" w:hAnsi="Arial" w:cs="Arial"/>
                <w:snapToGrid w:val="0"/>
                <w:sz w:val="22"/>
                <w:szCs w:val="22"/>
              </w:rPr>
            </w:pPr>
            <w:r w:rsidRPr="008D7D7C">
              <w:rPr>
                <w:rFonts w:ascii="Arial" w:hAnsi="Arial" w:cs="Arial"/>
                <w:b/>
                <w:bCs/>
                <w:snapToGrid w:val="0"/>
                <w:sz w:val="22"/>
                <w:szCs w:val="22"/>
              </w:rPr>
              <w:t>Mise en œuvre achevée</w:t>
            </w:r>
            <w:r w:rsidRPr="008D7D7C">
              <w:rPr>
                <w:rFonts w:ascii="Arial" w:hAnsi="Arial" w:cs="Arial"/>
                <w:b/>
                <w:bCs/>
                <w:sz w:val="22"/>
                <w:szCs w:val="22"/>
              </w:rPr>
              <w:br/>
            </w:r>
            <w:r w:rsidRPr="008D7D7C">
              <w:rPr>
                <w:rFonts w:ascii="Arial" w:hAnsi="Arial" w:cs="Arial"/>
                <w:b/>
                <w:bCs/>
                <w:snapToGrid w:val="0"/>
                <w:sz w:val="22"/>
                <w:szCs w:val="22"/>
              </w:rPr>
              <w:t>(Bonne pratique)</w:t>
            </w:r>
          </w:p>
        </w:tc>
        <w:tc>
          <w:tcPr>
            <w:tcW w:w="8492" w:type="dxa"/>
          </w:tcPr>
          <w:p w14:paraId="56A9A46A" w14:textId="5E69CA27" w:rsidR="00786127" w:rsidRPr="008D7D7C" w:rsidRDefault="0056423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Les délais statutaires pour la distribution de l</w:t>
            </w:r>
            <w:r w:rsidR="006575A1" w:rsidRPr="008D7D7C">
              <w:rPr>
                <w:rFonts w:ascii="Arial" w:hAnsi="Arial" w:cs="Arial"/>
                <w:snapToGrid w:val="0"/>
                <w:sz w:val="22"/>
                <w:szCs w:val="22"/>
              </w:rPr>
              <w:t>’</w:t>
            </w:r>
            <w:r w:rsidRPr="008D7D7C">
              <w:rPr>
                <w:rFonts w:ascii="Arial" w:hAnsi="Arial" w:cs="Arial"/>
                <w:snapToGrid w:val="0"/>
                <w:sz w:val="22"/>
                <w:szCs w:val="22"/>
              </w:rPr>
              <w:t>ordre du jour provisoire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et du Comité sont fixés respectivement à trente jours (</w:t>
            </w:r>
            <w:hyperlink r:id="rId28" w:anchor="Rule16" w:history="1">
              <w:r w:rsidRPr="008D7D7C">
                <w:rPr>
                  <w:rStyle w:val="Hyperlink"/>
                  <w:rFonts w:ascii="Arial" w:hAnsi="Arial" w:cs="Arial"/>
                  <w:snapToGrid w:val="0"/>
                  <w:sz w:val="22"/>
                  <w:szCs w:val="22"/>
                </w:rPr>
                <w:t>article 16.3</w:t>
              </w:r>
            </w:hyperlink>
            <w:r w:rsidRPr="008D7D7C">
              <w:rPr>
                <w:rFonts w:ascii="Arial" w:hAnsi="Arial" w:cs="Arial"/>
                <w:snapToGrid w:val="0"/>
                <w:sz w:val="22"/>
                <w:szCs w:val="22"/>
              </w:rPr>
              <w:t>) et soixante jours (</w:t>
            </w:r>
            <w:hyperlink r:id="rId29" w:anchor="Rule3" w:history="1">
              <w:r w:rsidRPr="008D7D7C">
                <w:rPr>
                  <w:rStyle w:val="Hyperlink"/>
                  <w:rFonts w:ascii="Arial" w:hAnsi="Arial" w:cs="Arial"/>
                  <w:snapToGrid w:val="0"/>
                  <w:sz w:val="22"/>
                  <w:szCs w:val="22"/>
                </w:rPr>
                <w:t>article 3.2</w:t>
              </w:r>
            </w:hyperlink>
            <w:r w:rsidRPr="008D7D7C">
              <w:rPr>
                <w:rFonts w:ascii="Arial" w:hAnsi="Arial" w:cs="Arial"/>
                <w:snapToGrid w:val="0"/>
                <w:sz w:val="22"/>
                <w:szCs w:val="22"/>
              </w:rPr>
              <w:t>) avant l</w:t>
            </w:r>
            <w:r w:rsidR="006575A1" w:rsidRPr="008D7D7C">
              <w:rPr>
                <w:rFonts w:ascii="Arial" w:hAnsi="Arial" w:cs="Arial"/>
                <w:snapToGrid w:val="0"/>
                <w:sz w:val="22"/>
                <w:szCs w:val="22"/>
              </w:rPr>
              <w:t>’</w:t>
            </w:r>
            <w:r w:rsidRPr="008D7D7C">
              <w:rPr>
                <w:rFonts w:ascii="Arial" w:hAnsi="Arial" w:cs="Arial"/>
                <w:snapToGrid w:val="0"/>
                <w:sz w:val="22"/>
                <w:szCs w:val="22"/>
              </w:rPr>
              <w:t>ouverture des sessions. En pratique, l</w:t>
            </w:r>
            <w:r w:rsidR="006575A1" w:rsidRPr="008D7D7C">
              <w:rPr>
                <w:rFonts w:ascii="Arial" w:hAnsi="Arial" w:cs="Arial"/>
                <w:snapToGrid w:val="0"/>
                <w:sz w:val="22"/>
                <w:szCs w:val="22"/>
              </w:rPr>
              <w:t>’</w:t>
            </w:r>
            <w:r w:rsidRPr="008D7D7C">
              <w:rPr>
                <w:rFonts w:ascii="Arial" w:hAnsi="Arial" w:cs="Arial"/>
                <w:snapToGrid w:val="0"/>
                <w:sz w:val="22"/>
                <w:szCs w:val="22"/>
              </w:rPr>
              <w:t>ordre du jour provisoire est publié en ligne et joint aux courriers d</w:t>
            </w:r>
            <w:r w:rsidR="006575A1" w:rsidRPr="008D7D7C">
              <w:rPr>
                <w:rFonts w:ascii="Arial" w:hAnsi="Arial" w:cs="Arial"/>
                <w:snapToGrid w:val="0"/>
                <w:sz w:val="22"/>
                <w:szCs w:val="22"/>
              </w:rPr>
              <w:t>’</w:t>
            </w:r>
            <w:r w:rsidRPr="008D7D7C">
              <w:rPr>
                <w:rFonts w:ascii="Arial" w:hAnsi="Arial" w:cs="Arial"/>
                <w:snapToGrid w:val="0"/>
                <w:sz w:val="22"/>
                <w:szCs w:val="22"/>
              </w:rPr>
              <w:t>invitation aux sessions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et du Comité bien avant l</w:t>
            </w:r>
            <w:r w:rsidR="006575A1" w:rsidRPr="008D7D7C">
              <w:rPr>
                <w:rFonts w:ascii="Arial" w:hAnsi="Arial" w:cs="Arial"/>
                <w:snapToGrid w:val="0"/>
                <w:sz w:val="22"/>
                <w:szCs w:val="22"/>
              </w:rPr>
              <w:t>’</w:t>
            </w:r>
            <w:r w:rsidRPr="008D7D7C">
              <w:rPr>
                <w:rFonts w:ascii="Arial" w:hAnsi="Arial" w:cs="Arial"/>
                <w:snapToGrid w:val="0"/>
                <w:sz w:val="22"/>
                <w:szCs w:val="22"/>
              </w:rPr>
              <w:t>expiration de ces délais statutaires. Par exemple, le Secrétariat a envoyé les courriers d</w:t>
            </w:r>
            <w:r w:rsidR="006575A1" w:rsidRPr="008D7D7C">
              <w:rPr>
                <w:rFonts w:ascii="Arial" w:hAnsi="Arial" w:cs="Arial"/>
                <w:snapToGrid w:val="0"/>
                <w:sz w:val="22"/>
                <w:szCs w:val="22"/>
              </w:rPr>
              <w:t>’</w:t>
            </w:r>
            <w:r w:rsidRPr="008D7D7C">
              <w:rPr>
                <w:rFonts w:ascii="Arial" w:hAnsi="Arial" w:cs="Arial"/>
                <w:snapToGrid w:val="0"/>
                <w:sz w:val="22"/>
                <w:szCs w:val="22"/>
              </w:rPr>
              <w:t>invitation et les ordres du jour provisoires des onzième et douzième sessions du Comité le 2 septembre 2016 et le 21 septembre 2017, alors que les délais statutaires couraient jusqu</w:t>
            </w:r>
            <w:r w:rsidR="006575A1" w:rsidRPr="008D7D7C">
              <w:rPr>
                <w:rFonts w:ascii="Arial" w:hAnsi="Arial" w:cs="Arial"/>
                <w:snapToGrid w:val="0"/>
                <w:sz w:val="22"/>
                <w:szCs w:val="22"/>
              </w:rPr>
              <w:t>’</w:t>
            </w:r>
            <w:r w:rsidRPr="008D7D7C">
              <w:rPr>
                <w:rFonts w:ascii="Arial" w:hAnsi="Arial" w:cs="Arial"/>
                <w:snapToGrid w:val="0"/>
                <w:sz w:val="22"/>
                <w:szCs w:val="22"/>
              </w:rPr>
              <w:t>au 29 septembre 2016 et au 5 octobre 2017.</w:t>
            </w:r>
          </w:p>
          <w:p w14:paraId="5F4BFB2D" w14:textId="4D7A0CBE" w:rsidR="000731D8" w:rsidRPr="008D7D7C" w:rsidRDefault="00CA506D" w:rsidP="009C7AA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Conformément à l</w:t>
            </w:r>
            <w:r w:rsidR="006575A1" w:rsidRPr="008D7D7C">
              <w:rPr>
                <w:rFonts w:ascii="Arial" w:hAnsi="Arial" w:cs="Arial"/>
                <w:snapToGrid w:val="0"/>
                <w:sz w:val="22"/>
                <w:szCs w:val="22"/>
              </w:rPr>
              <w:t>’</w:t>
            </w:r>
            <w:hyperlink r:id="rId30" w:anchor="Rule12" w:history="1">
              <w:r w:rsidRPr="008D7D7C">
                <w:rPr>
                  <w:rStyle w:val="Hyperlink"/>
                  <w:rFonts w:ascii="Arial" w:hAnsi="Arial" w:cs="Arial"/>
                  <w:snapToGrid w:val="0"/>
                  <w:sz w:val="22"/>
                  <w:szCs w:val="22"/>
                </w:rPr>
                <w:t>article 12.2</w:t>
              </w:r>
            </w:hyperlink>
            <w:r w:rsidRPr="008D7D7C">
              <w:rPr>
                <w:rFonts w:ascii="Arial" w:hAnsi="Arial" w:cs="Arial"/>
                <w:snapToGrid w:val="0"/>
                <w:sz w:val="22"/>
                <w:szCs w:val="22"/>
              </w:rPr>
              <w:t xml:space="preserve"> du Règlement intérieur du Comité, le calendrier provisoire du Comité est adopté par le Bureau du Comité puis présenté le jour même lors d</w:t>
            </w:r>
            <w:r w:rsidR="006575A1" w:rsidRPr="008D7D7C">
              <w:rPr>
                <w:rFonts w:ascii="Arial" w:hAnsi="Arial" w:cs="Arial"/>
                <w:snapToGrid w:val="0"/>
                <w:sz w:val="22"/>
                <w:szCs w:val="22"/>
              </w:rPr>
              <w:t>’</w:t>
            </w:r>
            <w:r w:rsidRPr="008D7D7C">
              <w:rPr>
                <w:rFonts w:ascii="Arial" w:hAnsi="Arial" w:cs="Arial"/>
                <w:snapToGrid w:val="0"/>
                <w:sz w:val="22"/>
                <w:szCs w:val="22"/>
              </w:rPr>
              <w:t>une session d</w:t>
            </w:r>
            <w:r w:rsidR="006575A1" w:rsidRPr="008D7D7C">
              <w:rPr>
                <w:rFonts w:ascii="Arial" w:hAnsi="Arial" w:cs="Arial"/>
                <w:snapToGrid w:val="0"/>
                <w:sz w:val="22"/>
                <w:szCs w:val="22"/>
              </w:rPr>
              <w:t>’</w:t>
            </w:r>
            <w:r w:rsidRPr="008D7D7C">
              <w:rPr>
                <w:rFonts w:ascii="Arial" w:hAnsi="Arial" w:cs="Arial"/>
                <w:snapToGrid w:val="0"/>
                <w:sz w:val="22"/>
                <w:szCs w:val="22"/>
              </w:rPr>
              <w:t>information et d</w:t>
            </w:r>
            <w:r w:rsidR="006575A1" w:rsidRPr="008D7D7C">
              <w:rPr>
                <w:rFonts w:ascii="Arial" w:hAnsi="Arial" w:cs="Arial"/>
                <w:snapToGrid w:val="0"/>
                <w:sz w:val="22"/>
                <w:szCs w:val="22"/>
              </w:rPr>
              <w:t>’</w:t>
            </w:r>
            <w:r w:rsidRPr="008D7D7C">
              <w:rPr>
                <w:rFonts w:ascii="Arial" w:hAnsi="Arial" w:cs="Arial"/>
                <w:snapToGrid w:val="0"/>
                <w:sz w:val="22"/>
                <w:szCs w:val="22"/>
              </w:rPr>
              <w:t>échange (chaque année en octobre).</w:t>
            </w:r>
          </w:p>
          <w:p w14:paraId="00EFDA73" w14:textId="4EC6440B" w:rsidR="000731D8" w:rsidRPr="008D7D7C" w:rsidRDefault="000731D8" w:rsidP="007761A8">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Les hyperliens sont fréquemment utilisés dans les documents de travail et d</w:t>
            </w:r>
            <w:r w:rsidR="006575A1" w:rsidRPr="008D7D7C">
              <w:rPr>
                <w:rFonts w:ascii="Arial" w:hAnsi="Arial" w:cs="Arial"/>
                <w:snapToGrid w:val="0"/>
                <w:sz w:val="22"/>
                <w:szCs w:val="22"/>
              </w:rPr>
              <w:t>’</w:t>
            </w:r>
            <w:r w:rsidRPr="008D7D7C">
              <w:rPr>
                <w:rFonts w:ascii="Arial" w:hAnsi="Arial" w:cs="Arial"/>
                <w:snapToGrid w:val="0"/>
                <w:sz w:val="22"/>
                <w:szCs w:val="22"/>
              </w:rPr>
              <w:t>information des organes directeurs de la Convention de 2003 ainsi que sur les pages Web consacrées aux réunions. En revanche, leur utilisation dans l</w:t>
            </w:r>
            <w:r w:rsidR="006575A1" w:rsidRPr="008D7D7C">
              <w:rPr>
                <w:rFonts w:ascii="Arial" w:hAnsi="Arial" w:cs="Arial"/>
                <w:snapToGrid w:val="0"/>
                <w:sz w:val="22"/>
                <w:szCs w:val="22"/>
              </w:rPr>
              <w:t>’</w:t>
            </w:r>
            <w:r w:rsidRPr="008D7D7C">
              <w:rPr>
                <w:rFonts w:ascii="Arial" w:hAnsi="Arial" w:cs="Arial"/>
                <w:snapToGrid w:val="0"/>
                <w:sz w:val="22"/>
                <w:szCs w:val="22"/>
              </w:rPr>
              <w:t>ordre du jour provisoire n</w:t>
            </w:r>
            <w:r w:rsidR="006575A1" w:rsidRPr="008D7D7C">
              <w:rPr>
                <w:rFonts w:ascii="Arial" w:hAnsi="Arial" w:cs="Arial"/>
                <w:snapToGrid w:val="0"/>
                <w:sz w:val="22"/>
                <w:szCs w:val="22"/>
              </w:rPr>
              <w:t>’</w:t>
            </w:r>
            <w:r w:rsidRPr="008D7D7C">
              <w:rPr>
                <w:rFonts w:ascii="Arial" w:hAnsi="Arial" w:cs="Arial"/>
                <w:snapToGrid w:val="0"/>
                <w:sz w:val="22"/>
                <w:szCs w:val="22"/>
              </w:rPr>
              <w:t>est pas conseillée car toute révision ou ajout entraînerait une modification de l</w:t>
            </w:r>
            <w:r w:rsidR="006575A1" w:rsidRPr="008D7D7C">
              <w:rPr>
                <w:rFonts w:ascii="Arial" w:hAnsi="Arial" w:cs="Arial"/>
                <w:snapToGrid w:val="0"/>
                <w:sz w:val="22"/>
                <w:szCs w:val="22"/>
              </w:rPr>
              <w:t>’</w:t>
            </w:r>
            <w:r w:rsidRPr="008D7D7C">
              <w:rPr>
                <w:rFonts w:ascii="Arial" w:hAnsi="Arial" w:cs="Arial"/>
                <w:snapToGrid w:val="0"/>
                <w:sz w:val="22"/>
                <w:szCs w:val="22"/>
              </w:rPr>
              <w:t>URL du document. Un hyperlien renvoyant à une version précédente du document pourrait être source de confusion.</w:t>
            </w:r>
          </w:p>
        </w:tc>
      </w:tr>
      <w:tr w:rsidR="000731D8" w:rsidRPr="002D3E8F" w14:paraId="49E738D3" w14:textId="77777777" w:rsidTr="006575A1">
        <w:tc>
          <w:tcPr>
            <w:tcW w:w="6068" w:type="dxa"/>
          </w:tcPr>
          <w:p w14:paraId="3A6D4E96" w14:textId="77777777"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lastRenderedPageBreak/>
              <w:t>Il conviendrait de mener des consultations informelles ouvertes sur les projets de décision afin de promouvoir un processus décisionnel plus inclusif et efficace.</w:t>
            </w:r>
          </w:p>
          <w:p w14:paraId="3221B58D" w14:textId="06DDF2A6" w:rsidR="00C94D3E" w:rsidRPr="008D7D7C" w:rsidRDefault="002E5D2C" w:rsidP="00942976">
            <w:pPr>
              <w:spacing w:after="120"/>
              <w:jc w:val="both"/>
              <w:rPr>
                <w:rFonts w:ascii="Arial" w:hAnsi="Arial" w:cs="Arial"/>
                <w:snapToGrid w:val="0"/>
                <w:sz w:val="22"/>
                <w:szCs w:val="22"/>
              </w:rPr>
            </w:pPr>
            <w:r w:rsidRPr="008D7D7C">
              <w:rPr>
                <w:rFonts w:ascii="Arial" w:hAnsi="Arial" w:cs="Arial"/>
                <w:b/>
                <w:bCs/>
                <w:sz w:val="22"/>
                <w:szCs w:val="22"/>
              </w:rPr>
              <w:t>Action nécessaire des États parties</w:t>
            </w:r>
          </w:p>
        </w:tc>
        <w:tc>
          <w:tcPr>
            <w:tcW w:w="8492" w:type="dxa"/>
          </w:tcPr>
          <w:p w14:paraId="523EAFB3" w14:textId="0C022C3A" w:rsidR="000731D8" w:rsidRPr="008D7D7C" w:rsidRDefault="00FD584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C</w:t>
            </w:r>
            <w:r w:rsidR="006575A1" w:rsidRPr="008D7D7C">
              <w:rPr>
                <w:rFonts w:ascii="Arial" w:hAnsi="Arial" w:cs="Arial"/>
                <w:snapToGrid w:val="0"/>
                <w:sz w:val="22"/>
                <w:szCs w:val="22"/>
              </w:rPr>
              <w:t>’</w:t>
            </w:r>
            <w:r w:rsidRPr="008D7D7C">
              <w:rPr>
                <w:rFonts w:ascii="Arial" w:hAnsi="Arial" w:cs="Arial"/>
                <w:snapToGrid w:val="0"/>
                <w:sz w:val="22"/>
                <w:szCs w:val="22"/>
              </w:rPr>
              <w:t xml:space="preserve">est aux États parties que revient la responsabilité de la mise en œuvre de cette recommandation. </w:t>
            </w:r>
          </w:p>
        </w:tc>
      </w:tr>
      <w:tr w:rsidR="000731D8" w:rsidRPr="002D3E8F" w14:paraId="478B77E0" w14:textId="77777777" w:rsidTr="006575A1">
        <w:tc>
          <w:tcPr>
            <w:tcW w:w="6068" w:type="dxa"/>
          </w:tcPr>
          <w:p w14:paraId="4713E33C" w14:textId="7DC40BF0"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Il est recommandé d</w:t>
            </w:r>
            <w:r w:rsidR="006575A1" w:rsidRPr="008D7D7C">
              <w:rPr>
                <w:rFonts w:ascii="Arial" w:hAnsi="Arial" w:cs="Arial"/>
                <w:snapToGrid w:val="0"/>
                <w:sz w:val="22"/>
                <w:szCs w:val="22"/>
              </w:rPr>
              <w:t>’</w:t>
            </w:r>
            <w:r w:rsidRPr="008D7D7C">
              <w:rPr>
                <w:rFonts w:ascii="Arial" w:hAnsi="Arial" w:cs="Arial"/>
                <w:snapToGrid w:val="0"/>
                <w:sz w:val="22"/>
                <w:szCs w:val="22"/>
              </w:rPr>
              <w:t>amender le Règlement intérieur des OII, le cas échéant, de manière à avancer la date limite fixée pour la présentation des candidatures à leurs organes subsidiaires, de 48 heures à sept jours avant la date des scrutins.</w:t>
            </w:r>
          </w:p>
          <w:p w14:paraId="467BC57A" w14:textId="2984B1E0" w:rsidR="00C94D3E" w:rsidRPr="008D7D7C" w:rsidRDefault="00D05226" w:rsidP="00E863FC">
            <w:pPr>
              <w:spacing w:after="120"/>
              <w:jc w:val="both"/>
              <w:rPr>
                <w:rFonts w:ascii="Arial" w:hAnsi="Arial" w:cs="Arial"/>
                <w:snapToGrid w:val="0"/>
                <w:sz w:val="22"/>
                <w:szCs w:val="22"/>
              </w:rPr>
            </w:pPr>
            <w:r w:rsidRPr="008D7D7C">
              <w:rPr>
                <w:rFonts w:ascii="Arial" w:hAnsi="Arial" w:cs="Arial"/>
                <w:b/>
                <w:bCs/>
                <w:sz w:val="22"/>
                <w:szCs w:val="22"/>
              </w:rPr>
              <w:t>Action proposée</w:t>
            </w:r>
          </w:p>
        </w:tc>
        <w:tc>
          <w:tcPr>
            <w:tcW w:w="8492" w:type="dxa"/>
          </w:tcPr>
          <w:p w14:paraId="1B3D2F4D" w14:textId="2105A1C7" w:rsidR="000731D8" w:rsidRPr="008D7D7C" w:rsidRDefault="006C4D90"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hyperlink r:id="rId31" w:anchor="Rule14" w:history="1">
              <w:r w:rsidRPr="008D7D7C">
                <w:rPr>
                  <w:rStyle w:val="Hyperlink"/>
                  <w:rFonts w:ascii="Arial" w:hAnsi="Arial" w:cs="Arial"/>
                  <w:snapToGrid w:val="0"/>
                  <w:sz w:val="22"/>
                  <w:szCs w:val="22"/>
                </w:rPr>
                <w:t>article 14.4</w:t>
              </w:r>
            </w:hyperlink>
            <w:r w:rsidRPr="008D7D7C">
              <w:rPr>
                <w:rFonts w:ascii="Arial" w:hAnsi="Arial" w:cs="Arial"/>
                <w:snapToGrid w:val="0"/>
                <w:sz w:val="22"/>
                <w:szCs w:val="22"/>
              </w:rPr>
              <w:t xml:space="preserve"> du Règlement intérieur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stipule que « [l]a liste des candidatures est finalisée trois jours ouvrables avant l</w:t>
            </w:r>
            <w:r w:rsidR="006575A1" w:rsidRPr="008D7D7C">
              <w:rPr>
                <w:rFonts w:ascii="Arial" w:hAnsi="Arial" w:cs="Arial"/>
                <w:snapToGrid w:val="0"/>
                <w:sz w:val="22"/>
                <w:szCs w:val="22"/>
              </w:rPr>
              <w:t>’</w:t>
            </w:r>
            <w:r w:rsidRPr="008D7D7C">
              <w:rPr>
                <w:rFonts w:ascii="Arial" w:hAnsi="Arial" w:cs="Arial"/>
                <w:snapToGrid w:val="0"/>
                <w:sz w:val="22"/>
                <w:szCs w:val="22"/>
              </w:rPr>
              <w:t>ouverture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Aucune candidature ne sera acceptée pendant les trois jours ouvrables précédant l</w:t>
            </w:r>
            <w:r w:rsidR="006575A1" w:rsidRPr="008D7D7C">
              <w:rPr>
                <w:rFonts w:ascii="Arial" w:hAnsi="Arial" w:cs="Arial"/>
                <w:snapToGrid w:val="0"/>
                <w:sz w:val="22"/>
                <w:szCs w:val="22"/>
              </w:rPr>
              <w:t>’</w:t>
            </w:r>
            <w:r w:rsidRPr="008D7D7C">
              <w:rPr>
                <w:rFonts w:ascii="Arial" w:hAnsi="Arial" w:cs="Arial"/>
                <w:snapToGrid w:val="0"/>
                <w:sz w:val="22"/>
                <w:szCs w:val="22"/>
              </w:rPr>
              <w:t>ouverture de l</w:t>
            </w:r>
            <w:r w:rsidR="006575A1" w:rsidRPr="008D7D7C">
              <w:rPr>
                <w:rFonts w:ascii="Arial" w:hAnsi="Arial" w:cs="Arial"/>
                <w:snapToGrid w:val="0"/>
                <w:sz w:val="22"/>
                <w:szCs w:val="22"/>
              </w:rPr>
              <w:t>’</w:t>
            </w:r>
            <w:r w:rsidRPr="008D7D7C">
              <w:rPr>
                <w:rFonts w:ascii="Arial" w:hAnsi="Arial" w:cs="Arial"/>
                <w:snapToGrid w:val="0"/>
                <w:sz w:val="22"/>
                <w:szCs w:val="22"/>
              </w:rPr>
              <w:t>Assemblée. »</w:t>
            </w:r>
          </w:p>
          <w:p w14:paraId="072DB9EA" w14:textId="3D883000" w:rsidR="001E2ED8" w:rsidRPr="008D7D7C" w:rsidRDefault="001E2ED8"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En outre, titre de l</w:t>
            </w:r>
            <w:r w:rsidR="006575A1" w:rsidRPr="008D7D7C">
              <w:rPr>
                <w:rFonts w:ascii="Arial" w:hAnsi="Arial" w:cs="Arial"/>
                <w:snapToGrid w:val="0"/>
                <w:sz w:val="22"/>
                <w:szCs w:val="22"/>
              </w:rPr>
              <w:t>’</w:t>
            </w:r>
            <w:hyperlink r:id="rId32" w:anchor="Rule14" w:history="1">
              <w:r w:rsidRPr="008D7D7C">
                <w:rPr>
                  <w:rStyle w:val="Hyperlink"/>
                  <w:rFonts w:ascii="Arial" w:hAnsi="Arial" w:cs="Arial"/>
                  <w:snapToGrid w:val="0"/>
                  <w:sz w:val="22"/>
                  <w:szCs w:val="22"/>
                </w:rPr>
                <w:t>article 14.3</w:t>
              </w:r>
            </w:hyperlink>
            <w:r w:rsidRPr="008D7D7C">
              <w:rPr>
                <w:rFonts w:ascii="Arial" w:hAnsi="Arial" w:cs="Arial"/>
                <w:snapToGrid w:val="0"/>
                <w:sz w:val="22"/>
                <w:szCs w:val="22"/>
              </w:rPr>
              <w:t>, « [a]</w:t>
            </w:r>
            <w:proofErr w:type="spellStart"/>
            <w:r w:rsidRPr="008D7D7C">
              <w:rPr>
                <w:rFonts w:ascii="Arial" w:hAnsi="Arial" w:cs="Arial"/>
                <w:snapToGrid w:val="0"/>
                <w:sz w:val="22"/>
                <w:szCs w:val="22"/>
              </w:rPr>
              <w:t>ucun</w:t>
            </w:r>
            <w:proofErr w:type="spellEnd"/>
            <w:r w:rsidRPr="008D7D7C">
              <w:rPr>
                <w:rFonts w:ascii="Arial" w:hAnsi="Arial" w:cs="Arial"/>
                <w:snapToGrid w:val="0"/>
                <w:sz w:val="22"/>
                <w:szCs w:val="22"/>
              </w:rPr>
              <w:t xml:space="preserve"> paiement de contributions obligatoires et volontaires au Fonds (ayant pour but de présenter une candidature au Comité) ne peut être accepté pendant la semaine précédant l</w:t>
            </w:r>
            <w:r w:rsidR="006575A1" w:rsidRPr="008D7D7C">
              <w:rPr>
                <w:rFonts w:ascii="Arial" w:hAnsi="Arial" w:cs="Arial"/>
                <w:snapToGrid w:val="0"/>
                <w:sz w:val="22"/>
                <w:szCs w:val="22"/>
              </w:rPr>
              <w:t>’</w:t>
            </w:r>
            <w:r w:rsidRPr="008D7D7C">
              <w:rPr>
                <w:rFonts w:ascii="Arial" w:hAnsi="Arial" w:cs="Arial"/>
                <w:snapToGrid w:val="0"/>
                <w:sz w:val="22"/>
                <w:szCs w:val="22"/>
              </w:rPr>
              <w:t>ouverture de l</w:t>
            </w:r>
            <w:r w:rsidR="006575A1" w:rsidRPr="008D7D7C">
              <w:rPr>
                <w:rFonts w:ascii="Arial" w:hAnsi="Arial" w:cs="Arial"/>
                <w:snapToGrid w:val="0"/>
                <w:sz w:val="22"/>
                <w:szCs w:val="22"/>
              </w:rPr>
              <w:t>’</w:t>
            </w:r>
            <w:r w:rsidRPr="008D7D7C">
              <w:rPr>
                <w:rFonts w:ascii="Arial" w:hAnsi="Arial" w:cs="Arial"/>
                <w:snapToGrid w:val="0"/>
                <w:sz w:val="22"/>
                <w:szCs w:val="22"/>
              </w:rPr>
              <w:t>Assemblée. »</w:t>
            </w:r>
          </w:p>
          <w:p w14:paraId="1553B676" w14:textId="7F43D31D" w:rsidR="006076CA" w:rsidRPr="008D7D7C" w:rsidRDefault="00BF7498" w:rsidP="003F4A6B">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pourrait choisir de modifier son Règlement intérieur ou bien poursuivre la pratique actuelle.</w:t>
            </w:r>
          </w:p>
        </w:tc>
      </w:tr>
      <w:tr w:rsidR="00933FA6" w:rsidRPr="002D3E8F" w14:paraId="1E1D0C20" w14:textId="77777777" w:rsidTr="006575A1">
        <w:trPr>
          <w:trHeight w:val="340"/>
        </w:trPr>
        <w:tc>
          <w:tcPr>
            <w:tcW w:w="14560" w:type="dxa"/>
            <w:gridSpan w:val="2"/>
            <w:shd w:val="clear" w:color="auto" w:fill="F2F2F2" w:themeFill="background1" w:themeFillShade="F2"/>
            <w:vAlign w:val="center"/>
          </w:tcPr>
          <w:p w14:paraId="690FCC49" w14:textId="63DD1614" w:rsidR="00933FA6" w:rsidRPr="008D7D7C" w:rsidRDefault="00933FA6" w:rsidP="00A11380">
            <w:pPr>
              <w:keepNext/>
              <w:rPr>
                <w:rFonts w:ascii="Arial" w:hAnsi="Arial" w:cs="Arial"/>
                <w:b/>
                <w:snapToGrid w:val="0"/>
                <w:sz w:val="22"/>
                <w:szCs w:val="22"/>
              </w:rPr>
            </w:pPr>
            <w:r w:rsidRPr="008D7D7C">
              <w:rPr>
                <w:rFonts w:ascii="Arial" w:hAnsi="Arial" w:cs="Arial"/>
                <w:b/>
                <w:snapToGrid w:val="0"/>
                <w:sz w:val="22"/>
                <w:szCs w:val="22"/>
              </w:rPr>
              <w:t>Harmonisation (rôle des bureaux, transparence)</w:t>
            </w:r>
          </w:p>
        </w:tc>
      </w:tr>
      <w:tr w:rsidR="000731D8" w:rsidRPr="002D3E8F" w14:paraId="2A6EDE0C" w14:textId="77777777" w:rsidTr="006575A1">
        <w:tc>
          <w:tcPr>
            <w:tcW w:w="6068" w:type="dxa"/>
          </w:tcPr>
          <w:p w14:paraId="75E267B1" w14:textId="74ACF588"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Le rôle, la composition et les procédures des bureaux, ainsi que leurs membres, doivent être clarifiés et harmonisés par une codification dans les statuts et règlements intérieurs ou par la définition de directives générales pour tous les OII, en collaboration étroite avec le Secrétariat.</w:t>
            </w:r>
          </w:p>
          <w:p w14:paraId="2C041668" w14:textId="5973FA15" w:rsidR="00394AF0" w:rsidRPr="008D7D7C" w:rsidRDefault="00D05226" w:rsidP="00E863FC">
            <w:pPr>
              <w:spacing w:after="120"/>
              <w:jc w:val="both"/>
              <w:rPr>
                <w:rFonts w:ascii="Arial" w:hAnsi="Arial" w:cs="Arial"/>
                <w:snapToGrid w:val="0"/>
                <w:sz w:val="22"/>
                <w:szCs w:val="22"/>
              </w:rPr>
            </w:pPr>
            <w:r w:rsidRPr="008D7D7C">
              <w:rPr>
                <w:rFonts w:ascii="Arial" w:hAnsi="Arial" w:cs="Arial"/>
                <w:b/>
                <w:bCs/>
                <w:sz w:val="22"/>
                <w:szCs w:val="22"/>
              </w:rPr>
              <w:t>Action proposée</w:t>
            </w:r>
          </w:p>
        </w:tc>
        <w:tc>
          <w:tcPr>
            <w:tcW w:w="8492" w:type="dxa"/>
          </w:tcPr>
          <w:p w14:paraId="2ECAE2CD" w14:textId="6ED40294" w:rsidR="000731D8" w:rsidRPr="008D7D7C" w:rsidRDefault="00994D65"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Alors que l</w:t>
            </w:r>
            <w:r w:rsidR="006575A1" w:rsidRPr="008D7D7C">
              <w:rPr>
                <w:rFonts w:ascii="Arial" w:hAnsi="Arial" w:cs="Arial"/>
                <w:snapToGrid w:val="0"/>
                <w:sz w:val="22"/>
                <w:szCs w:val="22"/>
              </w:rPr>
              <w:t>’</w:t>
            </w:r>
            <w:hyperlink r:id="rId33" w:anchor="Rule12" w:history="1">
              <w:r w:rsidRPr="008D7D7C">
                <w:rPr>
                  <w:rStyle w:val="Hyperlink"/>
                  <w:rFonts w:ascii="Arial" w:hAnsi="Arial" w:cs="Arial"/>
                  <w:snapToGrid w:val="0"/>
                  <w:sz w:val="22"/>
                  <w:szCs w:val="22"/>
                </w:rPr>
                <w:t>article 12</w:t>
              </w:r>
            </w:hyperlink>
            <w:r w:rsidRPr="008D7D7C">
              <w:rPr>
                <w:rFonts w:ascii="Arial" w:hAnsi="Arial" w:cs="Arial"/>
                <w:snapToGrid w:val="0"/>
                <w:sz w:val="22"/>
                <w:szCs w:val="22"/>
              </w:rPr>
              <w:t xml:space="preserve"> du Règlement intérieur du Comité définit le rôle du Bureau du Comité, le rôle du Bureau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n</w:t>
            </w:r>
            <w:r w:rsidR="006575A1" w:rsidRPr="008D7D7C">
              <w:rPr>
                <w:rFonts w:ascii="Arial" w:hAnsi="Arial" w:cs="Arial"/>
                <w:snapToGrid w:val="0"/>
                <w:sz w:val="22"/>
                <w:szCs w:val="22"/>
              </w:rPr>
              <w:t>’</w:t>
            </w:r>
            <w:r w:rsidRPr="008D7D7C">
              <w:rPr>
                <w:rFonts w:ascii="Arial" w:hAnsi="Arial" w:cs="Arial"/>
                <w:snapToGrid w:val="0"/>
                <w:sz w:val="22"/>
                <w:szCs w:val="22"/>
              </w:rPr>
              <w:t>est pas décrit dans le Règlement intérieur de l</w:t>
            </w:r>
            <w:r w:rsidR="006575A1" w:rsidRPr="008D7D7C">
              <w:rPr>
                <w:rFonts w:ascii="Arial" w:hAnsi="Arial" w:cs="Arial"/>
                <w:snapToGrid w:val="0"/>
                <w:sz w:val="22"/>
                <w:szCs w:val="22"/>
              </w:rPr>
              <w:t>’</w:t>
            </w:r>
            <w:r w:rsidRPr="008D7D7C">
              <w:rPr>
                <w:rFonts w:ascii="Arial" w:hAnsi="Arial" w:cs="Arial"/>
                <w:snapToGrid w:val="0"/>
                <w:sz w:val="22"/>
                <w:szCs w:val="22"/>
              </w:rPr>
              <w:t>Assemblée. Ni le Règlement intérieur du Comité ni celui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ne précisent la composition de leurs bureaux respectifs.</w:t>
            </w:r>
          </w:p>
          <w:p w14:paraId="61F793BC" w14:textId="36A85180" w:rsidR="006076CA" w:rsidRPr="008D7D7C" w:rsidRDefault="003B52E4" w:rsidP="00E863FC">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pourrait choisir de modifier son Règlement intérieur pour préciser le rôle et la composition de son Bureau ou bien poursuivre la pratique actuelle.</w:t>
            </w:r>
          </w:p>
          <w:p w14:paraId="33DC6DD9" w14:textId="1CB5CCFA" w:rsidR="003F4A6B" w:rsidRPr="008D7D7C" w:rsidRDefault="003F4A6B">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 Comité pourrait choisir de modifier son Règlement intérieur pour préciser la composition de son Bureau ou bien poursuivre la pratique actuelle.</w:t>
            </w:r>
          </w:p>
        </w:tc>
      </w:tr>
      <w:tr w:rsidR="000731D8" w:rsidRPr="007523AD" w14:paraId="26A74CB1" w14:textId="77777777" w:rsidTr="006575A1">
        <w:tc>
          <w:tcPr>
            <w:tcW w:w="6068" w:type="dxa"/>
          </w:tcPr>
          <w:p w14:paraId="5EC409EF" w14:textId="022DA6EF"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Il est suggéré que la composition des bureaux soit fixée, dans une mesure aussi compatible que possible avec les mandats de chaque OII, à six membres au maximum (un(e) président(e), un rapporteur et quatre vice-président(e)s issus des six groupes électoraux).</w:t>
            </w:r>
          </w:p>
          <w:p w14:paraId="7A493F62" w14:textId="75C5ACC0" w:rsidR="00394AF0" w:rsidRPr="008D7D7C" w:rsidRDefault="00D05226" w:rsidP="00E863FC">
            <w:pPr>
              <w:spacing w:after="120"/>
              <w:jc w:val="both"/>
              <w:rPr>
                <w:rFonts w:ascii="Arial" w:hAnsi="Arial" w:cs="Arial"/>
                <w:snapToGrid w:val="0"/>
                <w:sz w:val="22"/>
                <w:szCs w:val="22"/>
              </w:rPr>
            </w:pPr>
            <w:r w:rsidRPr="008D7D7C">
              <w:rPr>
                <w:rFonts w:ascii="Arial" w:hAnsi="Arial" w:cs="Arial"/>
                <w:b/>
                <w:bCs/>
                <w:sz w:val="22"/>
                <w:szCs w:val="22"/>
              </w:rPr>
              <w:t>Action proposée</w:t>
            </w:r>
          </w:p>
        </w:tc>
        <w:tc>
          <w:tcPr>
            <w:tcW w:w="8492" w:type="dxa"/>
          </w:tcPr>
          <w:p w14:paraId="1028DE8E" w14:textId="2E6F043C" w:rsidR="00B077E8" w:rsidRPr="008D7D7C" w:rsidRDefault="00FD5847" w:rsidP="00B077E8">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En pratique, aussi bien pour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que pour le Comité, la composition du Bureau est fixée à sept membres au maximum (un(e) président(e), un rapporteur et quatre ou cinq vice-président(e)s). En revanche, ni le Règlement intérieur du Comité ni celui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ne précisent la composition de leurs bureaux respectifs.</w:t>
            </w:r>
          </w:p>
          <w:p w14:paraId="67118850" w14:textId="6C441848" w:rsidR="00487CEB" w:rsidRPr="008D7D7C" w:rsidRDefault="005F74CB" w:rsidP="003B52E4">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Voir la recommandation 66</w:t>
            </w:r>
          </w:p>
        </w:tc>
      </w:tr>
      <w:tr w:rsidR="000731D8" w:rsidRPr="002D3E8F" w14:paraId="4BD4937F" w14:textId="77777777" w:rsidTr="006575A1">
        <w:tc>
          <w:tcPr>
            <w:tcW w:w="6068" w:type="dxa"/>
          </w:tcPr>
          <w:p w14:paraId="711FC1DD" w14:textId="2038E28C"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lastRenderedPageBreak/>
              <w:t>Le caractère intergouvernemental des bureaux devrait être réaffirmé tout en conservant la participation des experts. À cet effet, il est recommandé de diffuser auprès de tous les organes directeurs et OII les directives ci-jointes (</w:t>
            </w:r>
            <w:hyperlink r:id="rId34" w:anchor="page=25" w:history="1">
              <w:r w:rsidRPr="008D7D7C">
                <w:rPr>
                  <w:rStyle w:val="Hyperlink"/>
                  <w:rFonts w:ascii="Arial" w:hAnsi="Arial" w:cs="Arial"/>
                  <w:sz w:val="22"/>
                  <w:szCs w:val="22"/>
                </w:rPr>
                <w:t>appendice 2</w:t>
              </w:r>
            </w:hyperlink>
            <w:r w:rsidRPr="008D7D7C">
              <w:rPr>
                <w:rFonts w:ascii="Arial" w:hAnsi="Arial" w:cs="Arial"/>
                <w:snapToGrid w:val="0"/>
                <w:sz w:val="22"/>
                <w:szCs w:val="22"/>
              </w:rPr>
              <w:t>).</w:t>
            </w:r>
          </w:p>
          <w:p w14:paraId="7B35DDCA" w14:textId="268B7BF8" w:rsidR="00A35371" w:rsidRPr="008D7D7C" w:rsidRDefault="002E5D2C" w:rsidP="00E863FC">
            <w:pPr>
              <w:spacing w:after="120"/>
              <w:jc w:val="both"/>
              <w:rPr>
                <w:rFonts w:ascii="Arial" w:hAnsi="Arial" w:cs="Arial"/>
                <w:snapToGrid w:val="0"/>
                <w:sz w:val="22"/>
                <w:szCs w:val="22"/>
              </w:rPr>
            </w:pPr>
            <w:r w:rsidRPr="008D7D7C">
              <w:rPr>
                <w:rFonts w:ascii="Arial" w:hAnsi="Arial" w:cs="Arial"/>
                <w:b/>
                <w:bCs/>
                <w:sz w:val="22"/>
                <w:szCs w:val="22"/>
              </w:rPr>
              <w:t>Action nécessaire des États parties</w:t>
            </w:r>
          </w:p>
        </w:tc>
        <w:tc>
          <w:tcPr>
            <w:tcW w:w="8492" w:type="dxa"/>
          </w:tcPr>
          <w:p w14:paraId="5C8A9720" w14:textId="729DA784" w:rsidR="000731D8" w:rsidRPr="008D7D7C" w:rsidRDefault="00FD5847"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 xml:space="preserve">Par sa </w:t>
            </w:r>
            <w:hyperlink r:id="rId35" w:history="1">
              <w:r w:rsidRPr="008D7D7C">
                <w:rPr>
                  <w:rStyle w:val="Hyperlink"/>
                  <w:rFonts w:ascii="Arial" w:hAnsi="Arial" w:cs="Arial"/>
                  <w:snapToGrid w:val="0"/>
                  <w:sz w:val="22"/>
                  <w:szCs w:val="22"/>
                </w:rPr>
                <w:t>décision 12.COM 16</w:t>
              </w:r>
            </w:hyperlink>
            <w:r w:rsidRPr="008D7D7C">
              <w:rPr>
                <w:rFonts w:ascii="Arial" w:hAnsi="Arial" w:cs="Arial"/>
                <w:snapToGrid w:val="0"/>
                <w:sz w:val="22"/>
                <w:szCs w:val="22"/>
              </w:rPr>
              <w:t>, le Comité a invité le Bureau à mener ses travaux en conformité avec les principe</w:t>
            </w:r>
            <w:bookmarkStart w:id="0" w:name="_GoBack"/>
            <w:bookmarkEnd w:id="0"/>
            <w:r w:rsidRPr="008D7D7C">
              <w:rPr>
                <w:rFonts w:ascii="Arial" w:hAnsi="Arial" w:cs="Arial"/>
                <w:snapToGrid w:val="0"/>
                <w:sz w:val="22"/>
                <w:szCs w:val="22"/>
              </w:rPr>
              <w:t>s directeurs concernant les responsabilités des représentants des groupes électoraux au sein des bureaux.</w:t>
            </w:r>
          </w:p>
        </w:tc>
      </w:tr>
      <w:tr w:rsidR="000731D8" w:rsidRPr="002D3E8F" w14:paraId="117D496E" w14:textId="77777777" w:rsidTr="006575A1">
        <w:tc>
          <w:tcPr>
            <w:tcW w:w="6068" w:type="dxa"/>
          </w:tcPr>
          <w:p w14:paraId="181ECDEE" w14:textId="64E91D51"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Les documents concernant les réunions de bureaux devraient être publiés en ligne avant la tenue desdites réunions ; les conclusions, notamment les rapports des réunions des bureaux, devraient être communiquées à tous les membres et, le cas échéant, à toutes les délégations permanentes dans les meilleurs délais.</w:t>
            </w:r>
          </w:p>
          <w:p w14:paraId="352B460E" w14:textId="763D577F" w:rsidR="00B077E8" w:rsidRPr="008D7D7C" w:rsidRDefault="00A35371" w:rsidP="00E863FC">
            <w:pPr>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r w:rsidRPr="008D7D7C">
              <w:rPr>
                <w:rFonts w:ascii="Arial" w:hAnsi="Arial" w:cs="Arial"/>
                <w:b/>
                <w:bCs/>
                <w:sz w:val="22"/>
                <w:szCs w:val="22"/>
              </w:rPr>
              <w:br/>
            </w:r>
            <w:r w:rsidRPr="008D7D7C">
              <w:rPr>
                <w:rFonts w:ascii="Arial" w:hAnsi="Arial" w:cs="Arial"/>
                <w:b/>
                <w:bCs/>
                <w:snapToGrid w:val="0"/>
                <w:sz w:val="22"/>
                <w:szCs w:val="22"/>
              </w:rPr>
              <w:t>(Bonne pratique)</w:t>
            </w:r>
          </w:p>
        </w:tc>
        <w:tc>
          <w:tcPr>
            <w:tcW w:w="8492" w:type="dxa"/>
          </w:tcPr>
          <w:p w14:paraId="52E904CE" w14:textId="173EFC56" w:rsidR="000731D8" w:rsidRPr="008D7D7C" w:rsidRDefault="00B27AC9" w:rsidP="00487CEB">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En pratique, les documents de travail et d</w:t>
            </w:r>
            <w:r w:rsidR="006575A1" w:rsidRPr="008D7D7C">
              <w:rPr>
                <w:rFonts w:ascii="Arial" w:hAnsi="Arial" w:cs="Arial"/>
                <w:snapToGrid w:val="0"/>
                <w:sz w:val="22"/>
                <w:szCs w:val="22"/>
              </w:rPr>
              <w:t>’</w:t>
            </w:r>
            <w:r w:rsidRPr="008D7D7C">
              <w:rPr>
                <w:rFonts w:ascii="Arial" w:hAnsi="Arial" w:cs="Arial"/>
                <w:snapToGrid w:val="0"/>
                <w:sz w:val="22"/>
                <w:szCs w:val="22"/>
              </w:rPr>
              <w:t>information relatifs aux réunions du Bureau du Comité sont publiés en ligne au moins deux semaines avant la date de chaque réunion. Le Secrétariat en informe les membres du Bureau par courrier électronique le jour de la mise en ligne.</w:t>
            </w:r>
          </w:p>
          <w:p w14:paraId="582B5589" w14:textId="08428FF6" w:rsidR="005A7163" w:rsidRPr="008D7D7C" w:rsidRDefault="00B077E8">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Immédiatement après chaque réunion du Bureau, le Secrétariat publie systématiquement en ligne les décisions prises par le Bureau. Tenant compte de cette recommandation, le Secrétariat a commencé en 2018 à transmettre les décisions du Bureau à l</w:t>
            </w:r>
            <w:r w:rsidR="006575A1" w:rsidRPr="008D7D7C">
              <w:rPr>
                <w:rFonts w:ascii="Arial" w:hAnsi="Arial" w:cs="Arial"/>
                <w:snapToGrid w:val="0"/>
                <w:sz w:val="22"/>
                <w:szCs w:val="22"/>
              </w:rPr>
              <w:t>’</w:t>
            </w:r>
            <w:r w:rsidRPr="008D7D7C">
              <w:rPr>
                <w:rFonts w:ascii="Arial" w:hAnsi="Arial" w:cs="Arial"/>
                <w:snapToGrid w:val="0"/>
                <w:sz w:val="22"/>
                <w:szCs w:val="22"/>
              </w:rPr>
              <w:t>ensemble des États parties par courrier électronique.</w:t>
            </w:r>
          </w:p>
        </w:tc>
      </w:tr>
      <w:tr w:rsidR="000731D8" w:rsidRPr="002D3E8F" w14:paraId="6C5DEB19" w14:textId="77777777" w:rsidTr="006575A1">
        <w:tc>
          <w:tcPr>
            <w:tcW w:w="6068" w:type="dxa"/>
          </w:tcPr>
          <w:p w14:paraId="4928792B" w14:textId="2A357231"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Dans la mesure du possible, les élections des bureaux devraient se tenir peu de temps après les élections destinées à pourvoir les sièges au sein des différents organes pendant la Conférence générale, afin d</w:t>
            </w:r>
            <w:r w:rsidR="006575A1" w:rsidRPr="008D7D7C">
              <w:rPr>
                <w:rFonts w:ascii="Arial" w:hAnsi="Arial" w:cs="Arial"/>
                <w:snapToGrid w:val="0"/>
                <w:sz w:val="22"/>
                <w:szCs w:val="22"/>
              </w:rPr>
              <w:t>’</w:t>
            </w:r>
            <w:r w:rsidRPr="008D7D7C">
              <w:rPr>
                <w:rFonts w:ascii="Arial" w:hAnsi="Arial" w:cs="Arial"/>
                <w:snapToGrid w:val="0"/>
                <w:sz w:val="22"/>
                <w:szCs w:val="22"/>
              </w:rPr>
              <w:t>éviter que siègent dans les bureaux des États membres qui ne feraient plus partie des OII concernés.</w:t>
            </w:r>
          </w:p>
          <w:p w14:paraId="0E76C094" w14:textId="63475813" w:rsidR="00C60062" w:rsidRPr="008D7D7C" w:rsidRDefault="004E3926" w:rsidP="00E863FC">
            <w:pPr>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p>
        </w:tc>
        <w:tc>
          <w:tcPr>
            <w:tcW w:w="8492" w:type="dxa"/>
          </w:tcPr>
          <w:p w14:paraId="3BBD330F" w14:textId="15804FAC" w:rsidR="000731D8" w:rsidRPr="008D7D7C" w:rsidRDefault="000731D8"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élit les membres de son Bureau au début de chaque session.</w:t>
            </w:r>
          </w:p>
          <w:p w14:paraId="7CC6A968" w14:textId="39D3FAD1" w:rsidR="000731D8" w:rsidRPr="008D7D7C" w:rsidRDefault="000731D8" w:rsidP="00B27AC9">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 Comité élit les membres de son Bureau à la fin de chaque session ordinaire ; ils restent en fonction jusqu</w:t>
            </w:r>
            <w:r w:rsidR="006575A1" w:rsidRPr="008D7D7C">
              <w:rPr>
                <w:rFonts w:ascii="Arial" w:hAnsi="Arial" w:cs="Arial"/>
                <w:snapToGrid w:val="0"/>
                <w:sz w:val="22"/>
                <w:szCs w:val="22"/>
              </w:rPr>
              <w:t>’</w:t>
            </w:r>
            <w:r w:rsidRPr="008D7D7C">
              <w:rPr>
                <w:rFonts w:ascii="Arial" w:hAnsi="Arial" w:cs="Arial"/>
                <w:snapToGrid w:val="0"/>
                <w:sz w:val="22"/>
                <w:szCs w:val="22"/>
              </w:rPr>
              <w:t>à la fin de la session suivante (</w:t>
            </w:r>
            <w:hyperlink r:id="rId36" w:anchor="Rule13" w:history="1">
              <w:r w:rsidRPr="008D7D7C">
                <w:rPr>
                  <w:rStyle w:val="Hyperlink"/>
                  <w:rFonts w:ascii="Arial" w:hAnsi="Arial" w:cs="Arial"/>
                  <w:snapToGrid w:val="0"/>
                  <w:sz w:val="22"/>
                  <w:szCs w:val="22"/>
                </w:rPr>
                <w:t>article 13</w:t>
              </w:r>
            </w:hyperlink>
            <w:r w:rsidRPr="008D7D7C">
              <w:rPr>
                <w:rFonts w:ascii="Arial" w:hAnsi="Arial" w:cs="Arial"/>
                <w:snapToGrid w:val="0"/>
                <w:sz w:val="22"/>
                <w:szCs w:val="22"/>
              </w:rPr>
              <w:t>).</w:t>
            </w:r>
          </w:p>
        </w:tc>
      </w:tr>
      <w:tr w:rsidR="000731D8" w:rsidRPr="002D3E8F" w14:paraId="40E2E14C" w14:textId="77777777" w:rsidTr="006575A1">
        <w:tc>
          <w:tcPr>
            <w:tcW w:w="6068" w:type="dxa"/>
          </w:tcPr>
          <w:p w14:paraId="6D000397" w14:textId="1CCF3F21" w:rsidR="000731D8" w:rsidRPr="008D7D7C"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Dans la mesure du possible, les réunions des bureaux devraient être ouvertes aux observateurs et leurs méthodes de travail rendues plus transparentes.</w:t>
            </w:r>
          </w:p>
          <w:p w14:paraId="6A1102B5" w14:textId="0526D68D" w:rsidR="00394AF0" w:rsidRPr="008D7D7C" w:rsidRDefault="00D05226" w:rsidP="00E863FC">
            <w:pPr>
              <w:spacing w:after="120"/>
              <w:jc w:val="both"/>
              <w:rPr>
                <w:rFonts w:ascii="Arial" w:hAnsi="Arial" w:cs="Arial"/>
                <w:snapToGrid w:val="0"/>
                <w:sz w:val="22"/>
                <w:szCs w:val="22"/>
              </w:rPr>
            </w:pPr>
            <w:r w:rsidRPr="008D7D7C">
              <w:rPr>
                <w:rFonts w:ascii="Arial" w:hAnsi="Arial" w:cs="Arial"/>
                <w:b/>
                <w:bCs/>
                <w:sz w:val="22"/>
                <w:szCs w:val="22"/>
              </w:rPr>
              <w:t>Action proposée</w:t>
            </w:r>
          </w:p>
        </w:tc>
        <w:tc>
          <w:tcPr>
            <w:tcW w:w="8492" w:type="dxa"/>
          </w:tcPr>
          <w:p w14:paraId="0371B12D" w14:textId="3A9BFA46" w:rsidR="000731D8" w:rsidRPr="008D7D7C" w:rsidRDefault="008A38C0"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Il n</w:t>
            </w:r>
            <w:r w:rsidR="006575A1" w:rsidRPr="008D7D7C">
              <w:rPr>
                <w:rFonts w:ascii="Arial" w:hAnsi="Arial" w:cs="Arial"/>
                <w:snapToGrid w:val="0"/>
                <w:sz w:val="22"/>
                <w:szCs w:val="22"/>
              </w:rPr>
              <w:t>’</w:t>
            </w:r>
            <w:r w:rsidRPr="008D7D7C">
              <w:rPr>
                <w:rFonts w:ascii="Arial" w:hAnsi="Arial" w:cs="Arial"/>
                <w:snapToGrid w:val="0"/>
                <w:sz w:val="22"/>
                <w:szCs w:val="22"/>
              </w:rPr>
              <w:t>y a aucune disposition à cet effet dans le Règlement intérieur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Toutefois, en pratique, les réunions du Bureau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sont ouvertes aux observateurs.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pourrait choisir de modifier son Règlement intérieur pour tenir compte de cette recommandation ou bien poursuivre la pratique actuelle.</w:t>
            </w:r>
          </w:p>
          <w:p w14:paraId="29A1D7DC" w14:textId="3E56A429" w:rsidR="000731D8" w:rsidRPr="008D7D7C" w:rsidRDefault="008A38C0" w:rsidP="00A1138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Conformément à l</w:t>
            </w:r>
            <w:r w:rsidR="006575A1" w:rsidRPr="008D7D7C">
              <w:rPr>
                <w:rFonts w:ascii="Arial" w:hAnsi="Arial" w:cs="Arial"/>
                <w:snapToGrid w:val="0"/>
                <w:sz w:val="22"/>
                <w:szCs w:val="22"/>
              </w:rPr>
              <w:t>’</w:t>
            </w:r>
            <w:hyperlink r:id="rId37" w:anchor="Rule12" w:history="1">
              <w:r w:rsidRPr="008D7D7C">
                <w:rPr>
                  <w:rStyle w:val="Hyperlink"/>
                  <w:rFonts w:ascii="Arial" w:hAnsi="Arial" w:cs="Arial"/>
                  <w:snapToGrid w:val="0"/>
                  <w:sz w:val="22"/>
                  <w:szCs w:val="22"/>
                </w:rPr>
                <w:t>article 12.4</w:t>
              </w:r>
            </w:hyperlink>
            <w:r w:rsidRPr="008D7D7C">
              <w:rPr>
                <w:rFonts w:ascii="Arial" w:hAnsi="Arial" w:cs="Arial"/>
                <w:snapToGrid w:val="0"/>
                <w:sz w:val="22"/>
                <w:szCs w:val="22"/>
              </w:rPr>
              <w:t xml:space="preserve"> du Règlement intérieur du Comité, « [les réunions du Bureau du Comité] sont ouvertes aux États membres du Comité et aux États parties à la Convention en tant qu</w:t>
            </w:r>
            <w:r w:rsidR="006575A1" w:rsidRPr="008D7D7C">
              <w:rPr>
                <w:rFonts w:ascii="Arial" w:hAnsi="Arial" w:cs="Arial"/>
                <w:snapToGrid w:val="0"/>
                <w:sz w:val="22"/>
                <w:szCs w:val="22"/>
              </w:rPr>
              <w:t>’</w:t>
            </w:r>
            <w:r w:rsidRPr="008D7D7C">
              <w:rPr>
                <w:rFonts w:ascii="Arial" w:hAnsi="Arial" w:cs="Arial"/>
                <w:snapToGrid w:val="0"/>
                <w:sz w:val="22"/>
                <w:szCs w:val="22"/>
              </w:rPr>
              <w:t>observateurs, sauf si le Bureau en décide autrement. Les observateurs ne peuvent intervenir devant le Bureau qu</w:t>
            </w:r>
            <w:r w:rsidR="006575A1" w:rsidRPr="008D7D7C">
              <w:rPr>
                <w:rFonts w:ascii="Arial" w:hAnsi="Arial" w:cs="Arial"/>
                <w:snapToGrid w:val="0"/>
                <w:sz w:val="22"/>
                <w:szCs w:val="22"/>
              </w:rPr>
              <w:t>’</w:t>
            </w:r>
            <w:r w:rsidRPr="008D7D7C">
              <w:rPr>
                <w:rFonts w:ascii="Arial" w:hAnsi="Arial" w:cs="Arial"/>
                <w:snapToGrid w:val="0"/>
                <w:sz w:val="22"/>
                <w:szCs w:val="22"/>
              </w:rPr>
              <w:t>avec l</w:t>
            </w:r>
            <w:r w:rsidR="006575A1" w:rsidRPr="008D7D7C">
              <w:rPr>
                <w:rFonts w:ascii="Arial" w:hAnsi="Arial" w:cs="Arial"/>
                <w:snapToGrid w:val="0"/>
                <w:sz w:val="22"/>
                <w:szCs w:val="22"/>
              </w:rPr>
              <w:t>’</w:t>
            </w:r>
            <w:r w:rsidRPr="008D7D7C">
              <w:rPr>
                <w:rFonts w:ascii="Arial" w:hAnsi="Arial" w:cs="Arial"/>
                <w:snapToGrid w:val="0"/>
                <w:sz w:val="22"/>
                <w:szCs w:val="22"/>
              </w:rPr>
              <w:t>accord préalable du Président. »</w:t>
            </w:r>
          </w:p>
        </w:tc>
      </w:tr>
      <w:tr w:rsidR="000731D8" w:rsidRPr="002D3E8F" w14:paraId="3842BFA8" w14:textId="77777777" w:rsidTr="006575A1">
        <w:tc>
          <w:tcPr>
            <w:tcW w:w="6068" w:type="dxa"/>
          </w:tcPr>
          <w:p w14:paraId="35F58C95" w14:textId="78311F44" w:rsidR="000731D8" w:rsidRPr="008D7D7C" w:rsidRDefault="00F32C72" w:rsidP="00942976">
            <w:pPr>
              <w:pStyle w:val="ListParagraph"/>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lastRenderedPageBreak/>
              <w:t>73.</w:t>
            </w:r>
            <w:r w:rsidRPr="008D7D7C">
              <w:rPr>
                <w:rFonts w:ascii="Arial" w:hAnsi="Arial" w:cs="Arial"/>
                <w:snapToGrid w:val="0"/>
                <w:sz w:val="22"/>
                <w:szCs w:val="22"/>
              </w:rPr>
              <w:tab/>
              <w:t>Il conviendrait d</w:t>
            </w:r>
            <w:r w:rsidR="006575A1" w:rsidRPr="008D7D7C">
              <w:rPr>
                <w:rFonts w:ascii="Arial" w:hAnsi="Arial" w:cs="Arial"/>
                <w:snapToGrid w:val="0"/>
                <w:sz w:val="22"/>
                <w:szCs w:val="22"/>
              </w:rPr>
              <w:t>’</w:t>
            </w:r>
            <w:r w:rsidRPr="008D7D7C">
              <w:rPr>
                <w:rFonts w:ascii="Arial" w:hAnsi="Arial" w:cs="Arial"/>
                <w:snapToGrid w:val="0"/>
                <w:sz w:val="22"/>
                <w:szCs w:val="22"/>
              </w:rPr>
              <w:t>adopter, dans tous les documents de l</w:t>
            </w:r>
            <w:r w:rsidR="006575A1" w:rsidRPr="008D7D7C">
              <w:rPr>
                <w:rFonts w:ascii="Arial" w:hAnsi="Arial" w:cs="Arial"/>
                <w:snapToGrid w:val="0"/>
                <w:sz w:val="22"/>
                <w:szCs w:val="22"/>
              </w:rPr>
              <w:t>’</w:t>
            </w:r>
            <w:r w:rsidRPr="008D7D7C">
              <w:rPr>
                <w:rFonts w:ascii="Arial" w:hAnsi="Arial" w:cs="Arial"/>
                <w:snapToGrid w:val="0"/>
                <w:sz w:val="22"/>
                <w:szCs w:val="22"/>
              </w:rPr>
              <w:t>UNESCO, un langage neutre du point de vue du genre.</w:t>
            </w:r>
          </w:p>
          <w:p w14:paraId="32995771" w14:textId="0421D6A9" w:rsidR="00394AF0" w:rsidRPr="008D7D7C" w:rsidRDefault="00D05226" w:rsidP="00E863FC">
            <w:pPr>
              <w:spacing w:after="120"/>
              <w:jc w:val="both"/>
              <w:rPr>
                <w:rFonts w:ascii="Arial" w:hAnsi="Arial" w:cs="Arial"/>
                <w:snapToGrid w:val="0"/>
                <w:sz w:val="22"/>
                <w:szCs w:val="22"/>
              </w:rPr>
            </w:pPr>
            <w:r w:rsidRPr="008D7D7C">
              <w:rPr>
                <w:rFonts w:ascii="Arial" w:hAnsi="Arial" w:cs="Arial"/>
                <w:b/>
                <w:bCs/>
                <w:sz w:val="22"/>
                <w:szCs w:val="22"/>
              </w:rPr>
              <w:t>Action proposée</w:t>
            </w:r>
          </w:p>
        </w:tc>
        <w:tc>
          <w:tcPr>
            <w:tcW w:w="8492" w:type="dxa"/>
          </w:tcPr>
          <w:p w14:paraId="3FBC5CD9" w14:textId="24F736A3" w:rsidR="000731D8" w:rsidRPr="008D7D7C" w:rsidRDefault="0059092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Dans certaines sections des Textes fondamentaux de la Convention, le langage adopté n</w:t>
            </w:r>
            <w:r w:rsidR="006575A1" w:rsidRPr="008D7D7C">
              <w:rPr>
                <w:rFonts w:ascii="Arial" w:hAnsi="Arial" w:cs="Arial"/>
                <w:snapToGrid w:val="0"/>
                <w:sz w:val="22"/>
                <w:szCs w:val="22"/>
              </w:rPr>
              <w:t>’</w:t>
            </w:r>
            <w:r w:rsidRPr="008D7D7C">
              <w:rPr>
                <w:rFonts w:ascii="Arial" w:hAnsi="Arial" w:cs="Arial"/>
                <w:snapToGrid w:val="0"/>
                <w:sz w:val="22"/>
                <w:szCs w:val="22"/>
              </w:rPr>
              <w:t>est pas neutre du point de vue du genre. Par conséquent, ces textes pourraient être révisés dans ce sens en vue de leur réédition en 2018.</w:t>
            </w:r>
          </w:p>
        </w:tc>
      </w:tr>
      <w:tr w:rsidR="006575A1" w:rsidRPr="00FD37F9" w14:paraId="685E39BB" w14:textId="77777777" w:rsidTr="006575A1">
        <w:trPr>
          <w:trHeight w:val="340"/>
        </w:trPr>
        <w:tc>
          <w:tcPr>
            <w:tcW w:w="14560" w:type="dxa"/>
            <w:gridSpan w:val="2"/>
            <w:tcBorders>
              <w:right w:val="single" w:sz="4" w:space="0" w:color="auto"/>
            </w:tcBorders>
            <w:shd w:val="clear" w:color="auto" w:fill="F2F2F2" w:themeFill="background1" w:themeFillShade="F2"/>
            <w:vAlign w:val="center"/>
          </w:tcPr>
          <w:p w14:paraId="39756987" w14:textId="1E0ED626" w:rsidR="006575A1" w:rsidRPr="008D7D7C" w:rsidRDefault="00FD37F9" w:rsidP="00A11380">
            <w:pPr>
              <w:keepNext/>
              <w:rPr>
                <w:rFonts w:ascii="Arial" w:hAnsi="Arial" w:cs="Arial"/>
                <w:b/>
                <w:snapToGrid w:val="0"/>
                <w:sz w:val="22"/>
                <w:szCs w:val="22"/>
              </w:rPr>
            </w:pPr>
            <w:r w:rsidRPr="008D7D7C">
              <w:rPr>
                <w:rFonts w:ascii="Arial" w:hAnsi="Arial" w:cs="Arial"/>
                <w:b/>
                <w:snapToGrid w:val="0"/>
                <w:sz w:val="22"/>
                <w:szCs w:val="22"/>
              </w:rPr>
              <w:t>Adéquation avec les grandes priorités de l’UNESCO</w:t>
            </w:r>
          </w:p>
        </w:tc>
      </w:tr>
      <w:tr w:rsidR="006575A1" w:rsidRPr="00056F9B" w14:paraId="0B748BE8" w14:textId="77777777" w:rsidTr="008D7D7C">
        <w:trPr>
          <w:trHeight w:val="340"/>
        </w:trPr>
        <w:tc>
          <w:tcPr>
            <w:tcW w:w="6068" w:type="dxa"/>
            <w:tcBorders>
              <w:right w:val="single" w:sz="4" w:space="0" w:color="auto"/>
            </w:tcBorders>
            <w:shd w:val="clear" w:color="auto" w:fill="auto"/>
          </w:tcPr>
          <w:p w14:paraId="304C4260" w14:textId="1F952C7E" w:rsidR="00FD37F9" w:rsidRPr="008D7D7C" w:rsidRDefault="00FD37F9" w:rsidP="008D7D7C">
            <w:pPr>
              <w:pStyle w:val="ListParagraph"/>
              <w:numPr>
                <w:ilvl w:val="0"/>
                <w:numId w:val="47"/>
              </w:numPr>
              <w:spacing w:after="120"/>
              <w:ind w:left="567" w:hanging="567"/>
              <w:contextualSpacing w:val="0"/>
              <w:rPr>
                <w:rFonts w:ascii="Arial" w:hAnsi="Arial" w:cs="Arial"/>
                <w:snapToGrid w:val="0"/>
                <w:sz w:val="22"/>
                <w:szCs w:val="22"/>
                <w:lang w:eastAsia="en-US"/>
              </w:rPr>
            </w:pPr>
            <w:r w:rsidRPr="008D7D7C">
              <w:rPr>
                <w:rFonts w:ascii="Arial" w:hAnsi="Arial" w:cs="Arial"/>
                <w:sz w:val="22"/>
                <w:szCs w:val="22"/>
              </w:rPr>
              <w:t>Les séances d’orientation destinées aux nouveaux membres des OII, en particulier les présidents et les membres de bureaux, devraient être institutionnalisées et prévoir une présentation des cadres du C/4 et du C/5. À cette fin, un petit guide pratique recensant les bonnes pratiques et les acronymes pourrait être produit afin d’aider les membres à se familiariser avec les méthodes de travail et les mécanismes du C/4 et du C/5.</w:t>
            </w:r>
          </w:p>
          <w:p w14:paraId="3F576EE6" w14:textId="38D8A5DB" w:rsidR="006575A1" w:rsidRPr="008D7D7C" w:rsidRDefault="005D74DF" w:rsidP="008D7D7C">
            <w:pPr>
              <w:spacing w:after="120"/>
              <w:rPr>
                <w:rFonts w:ascii="Arial" w:hAnsi="Arial" w:cs="Arial"/>
                <w:bCs/>
                <w:snapToGrid w:val="0"/>
                <w:sz w:val="22"/>
                <w:szCs w:val="22"/>
                <w:lang w:val="en-US"/>
              </w:rPr>
            </w:pPr>
            <w:r>
              <w:rPr>
                <w:rFonts w:ascii="Arial" w:hAnsi="Arial" w:cs="Arial"/>
                <w:b/>
                <w:snapToGrid w:val="0"/>
                <w:sz w:val="22"/>
                <w:szCs w:val="22"/>
                <w:lang w:val="en-US" w:eastAsia="en-US"/>
              </w:rPr>
              <w:t xml:space="preserve">Action </w:t>
            </w:r>
            <w:proofErr w:type="spellStart"/>
            <w:r>
              <w:rPr>
                <w:rFonts w:ascii="Arial" w:hAnsi="Arial" w:cs="Arial"/>
                <w:b/>
                <w:snapToGrid w:val="0"/>
                <w:sz w:val="22"/>
                <w:szCs w:val="22"/>
                <w:lang w:val="en-US" w:eastAsia="en-US"/>
              </w:rPr>
              <w:t>e</w:t>
            </w:r>
            <w:r w:rsidR="00FD37F9" w:rsidRPr="008D7D7C">
              <w:rPr>
                <w:rFonts w:ascii="Arial" w:hAnsi="Arial" w:cs="Arial"/>
                <w:b/>
                <w:snapToGrid w:val="0"/>
                <w:sz w:val="22"/>
                <w:szCs w:val="22"/>
                <w:lang w:val="en-US" w:eastAsia="en-US"/>
              </w:rPr>
              <w:t>n</w:t>
            </w:r>
            <w:proofErr w:type="spellEnd"/>
            <w:r w:rsidR="00FD37F9" w:rsidRPr="008D7D7C">
              <w:rPr>
                <w:rFonts w:ascii="Arial" w:hAnsi="Arial" w:cs="Arial"/>
                <w:b/>
                <w:snapToGrid w:val="0"/>
                <w:sz w:val="22"/>
                <w:szCs w:val="22"/>
                <w:lang w:val="en-US" w:eastAsia="en-US"/>
              </w:rPr>
              <w:t xml:space="preserve"> </w:t>
            </w:r>
            <w:proofErr w:type="spellStart"/>
            <w:r w:rsidR="00FD37F9" w:rsidRPr="008D7D7C">
              <w:rPr>
                <w:rFonts w:ascii="Arial" w:hAnsi="Arial" w:cs="Arial"/>
                <w:b/>
                <w:snapToGrid w:val="0"/>
                <w:sz w:val="22"/>
                <w:szCs w:val="22"/>
                <w:lang w:val="en-US" w:eastAsia="en-US"/>
              </w:rPr>
              <w:t>cours</w:t>
            </w:r>
            <w:proofErr w:type="spellEnd"/>
          </w:p>
        </w:tc>
        <w:tc>
          <w:tcPr>
            <w:tcW w:w="8492" w:type="dxa"/>
            <w:tcBorders>
              <w:right w:val="single" w:sz="4" w:space="0" w:color="auto"/>
            </w:tcBorders>
            <w:shd w:val="clear" w:color="auto" w:fill="auto"/>
            <w:vAlign w:val="center"/>
          </w:tcPr>
          <w:p w14:paraId="2B68F090" w14:textId="67F4E39F" w:rsidR="00FD37F9" w:rsidRPr="008D7D7C" w:rsidRDefault="00FD37F9" w:rsidP="00FD37F9">
            <w:pPr>
              <w:pStyle w:val="ListParagraph"/>
              <w:numPr>
                <w:ilvl w:val="0"/>
                <w:numId w:val="25"/>
              </w:numPr>
              <w:spacing w:after="120"/>
              <w:ind w:left="357" w:hanging="357"/>
              <w:contextualSpacing w:val="0"/>
              <w:jc w:val="both"/>
              <w:rPr>
                <w:rFonts w:ascii="Arial" w:hAnsi="Arial" w:cs="Arial"/>
                <w:snapToGrid w:val="0"/>
                <w:sz w:val="22"/>
                <w:szCs w:val="22"/>
                <w:lang w:eastAsia="en-US"/>
              </w:rPr>
            </w:pPr>
            <w:r w:rsidRPr="008D7D7C">
              <w:rPr>
                <w:rFonts w:ascii="Arial" w:hAnsi="Arial" w:cs="Arial"/>
                <w:snapToGrid w:val="0"/>
                <w:sz w:val="22"/>
                <w:szCs w:val="22"/>
                <w:lang w:eastAsia="en-US"/>
              </w:rPr>
              <w:t>En ce qui concerne l’Assemblée générale, le Secrétariat envoie une lettre de bienvenue à chaque nouvel État partie à la Convention, qui attire leur attention sur les Textes fondamentaux de la Convention et leur donne les coordonnées des responsables désignés pour les soutenir. Le Président est élu à l’ouverture de chaque session et, par conséquent, ne reçoit aucune orientation préalable.</w:t>
            </w:r>
          </w:p>
          <w:p w14:paraId="7F849DA1" w14:textId="3230DB95" w:rsidR="00FD37F9" w:rsidRPr="008D7D7C" w:rsidRDefault="00FD37F9" w:rsidP="00FD37F9">
            <w:pPr>
              <w:pStyle w:val="ListParagraph"/>
              <w:numPr>
                <w:ilvl w:val="0"/>
                <w:numId w:val="25"/>
              </w:numPr>
              <w:spacing w:after="120"/>
              <w:ind w:left="357" w:hanging="357"/>
              <w:contextualSpacing w:val="0"/>
              <w:jc w:val="both"/>
              <w:rPr>
                <w:rFonts w:ascii="Arial" w:hAnsi="Arial" w:cs="Arial"/>
                <w:snapToGrid w:val="0"/>
                <w:sz w:val="22"/>
                <w:szCs w:val="22"/>
                <w:lang w:eastAsia="en-US"/>
              </w:rPr>
            </w:pPr>
            <w:r w:rsidRPr="008D7D7C">
              <w:rPr>
                <w:rFonts w:ascii="Arial" w:hAnsi="Arial" w:cs="Arial"/>
                <w:snapToGrid w:val="0"/>
                <w:sz w:val="22"/>
                <w:szCs w:val="22"/>
                <w:lang w:eastAsia="en-US"/>
              </w:rPr>
              <w:t>Concernant le Comité, lors d’une mission préparatoire dans le pays hôte (en mars/avril chaque année), le Secrétaire tient des réunions avec le Président sur les points de l’ordre du jour, le rôle du Président, le Règlement intérieur du Comité et les méthodes de travail.</w:t>
            </w:r>
          </w:p>
          <w:p w14:paraId="6DCDCE69" w14:textId="146E5BD5" w:rsidR="006575A1" w:rsidRPr="008D7D7C" w:rsidRDefault="00FD37F9">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 xml:space="preserve">Pour les </w:t>
            </w:r>
            <w:r w:rsidR="00DC1D6C" w:rsidRPr="008D7D7C">
              <w:rPr>
                <w:rFonts w:ascii="Arial" w:hAnsi="Arial" w:cs="Arial"/>
                <w:snapToGrid w:val="0"/>
                <w:sz w:val="22"/>
                <w:szCs w:val="22"/>
              </w:rPr>
              <w:t>États</w:t>
            </w:r>
            <w:r w:rsidRPr="008D7D7C">
              <w:rPr>
                <w:rFonts w:ascii="Arial" w:hAnsi="Arial" w:cs="Arial"/>
                <w:snapToGrid w:val="0"/>
                <w:sz w:val="22"/>
                <w:szCs w:val="22"/>
              </w:rPr>
              <w:t xml:space="preserve"> membres du Comité, une session d’orientation est organisée à la veille de l’ouverture de la session du Comité chaque année paire lorsque des nouveaux membres du Comité sont élus. En outre, une session d’</w:t>
            </w:r>
            <w:r w:rsidR="00056F9B" w:rsidRPr="008D7D7C">
              <w:rPr>
                <w:rFonts w:ascii="Arial" w:hAnsi="Arial" w:cs="Arial"/>
                <w:snapToGrid w:val="0"/>
                <w:sz w:val="22"/>
                <w:szCs w:val="22"/>
              </w:rPr>
              <w:t>information</w:t>
            </w:r>
            <w:r w:rsidRPr="008D7D7C">
              <w:rPr>
                <w:rFonts w:ascii="Arial" w:hAnsi="Arial" w:cs="Arial"/>
                <w:snapToGrid w:val="0"/>
                <w:sz w:val="22"/>
                <w:szCs w:val="22"/>
              </w:rPr>
              <w:t xml:space="preserve"> et d’échange </w:t>
            </w:r>
            <w:r w:rsidR="00056F9B" w:rsidRPr="008D7D7C">
              <w:rPr>
                <w:rFonts w:ascii="Arial" w:hAnsi="Arial" w:cs="Arial"/>
                <w:snapToGrid w:val="0"/>
                <w:sz w:val="22"/>
                <w:szCs w:val="22"/>
              </w:rPr>
              <w:t>portant sur la session à venir du Comité est organisée chaque année en octobre. Afin de permettre aux membres du Comité de comprendre les tâches et responsabilités qui leur incombent rapidement suite à leur élection, le Secrétariat pourrait partager des notes d’information avec les nouveaux membres du Comité.</w:t>
            </w:r>
          </w:p>
        </w:tc>
      </w:tr>
      <w:tr w:rsidR="00933FA6" w:rsidRPr="00C2060D" w14:paraId="75EE14E5" w14:textId="0D442008" w:rsidTr="008D7D7C">
        <w:trPr>
          <w:trHeight w:val="340"/>
        </w:trPr>
        <w:tc>
          <w:tcPr>
            <w:tcW w:w="14560" w:type="dxa"/>
            <w:gridSpan w:val="2"/>
            <w:tcBorders>
              <w:right w:val="single" w:sz="4" w:space="0" w:color="auto"/>
            </w:tcBorders>
            <w:shd w:val="clear" w:color="auto" w:fill="auto"/>
            <w:vAlign w:val="center"/>
          </w:tcPr>
          <w:p w14:paraId="098D7B85" w14:textId="4F58B421" w:rsidR="00933FA6" w:rsidRPr="008D7D7C" w:rsidRDefault="00933FA6" w:rsidP="00A11380">
            <w:pPr>
              <w:keepNext/>
              <w:rPr>
                <w:rFonts w:ascii="Arial" w:hAnsi="Arial" w:cs="Arial"/>
                <w:b/>
                <w:snapToGrid w:val="0"/>
                <w:sz w:val="22"/>
                <w:szCs w:val="22"/>
              </w:rPr>
            </w:pPr>
            <w:r w:rsidRPr="008D7D7C">
              <w:rPr>
                <w:rFonts w:ascii="Arial" w:hAnsi="Arial" w:cs="Arial"/>
                <w:b/>
                <w:snapToGrid w:val="0"/>
                <w:sz w:val="22"/>
                <w:szCs w:val="22"/>
              </w:rPr>
              <w:t>Cohérence, coordination et synergies</w:t>
            </w:r>
          </w:p>
        </w:tc>
      </w:tr>
      <w:tr w:rsidR="000731D8" w:rsidRPr="002D3E8F" w14:paraId="364A1410" w14:textId="77777777" w:rsidTr="006575A1">
        <w:tc>
          <w:tcPr>
            <w:tcW w:w="6068" w:type="dxa"/>
          </w:tcPr>
          <w:p w14:paraId="69E9E846" w14:textId="67F3BAAD" w:rsidR="000731D8" w:rsidRPr="008D7D7C" w:rsidRDefault="000731D8" w:rsidP="00E863FC">
            <w:pPr>
              <w:pStyle w:val="ListParagraph"/>
              <w:numPr>
                <w:ilvl w:val="0"/>
                <w:numId w:val="49"/>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t>Le recours à différentes langues reste un objectif majeur pour assurer l</w:t>
            </w:r>
            <w:r w:rsidR="006575A1" w:rsidRPr="008D7D7C">
              <w:rPr>
                <w:rFonts w:ascii="Arial" w:hAnsi="Arial" w:cs="Arial"/>
                <w:snapToGrid w:val="0"/>
                <w:sz w:val="22"/>
                <w:szCs w:val="22"/>
              </w:rPr>
              <w:t>’</w:t>
            </w:r>
            <w:r w:rsidRPr="008D7D7C">
              <w:rPr>
                <w:rFonts w:ascii="Arial" w:hAnsi="Arial" w:cs="Arial"/>
                <w:snapToGrid w:val="0"/>
                <w:sz w:val="22"/>
                <w:szCs w:val="22"/>
              </w:rPr>
              <w:t>inclusion et l</w:t>
            </w:r>
            <w:r w:rsidR="006575A1" w:rsidRPr="008D7D7C">
              <w:rPr>
                <w:rFonts w:ascii="Arial" w:hAnsi="Arial" w:cs="Arial"/>
                <w:snapToGrid w:val="0"/>
                <w:sz w:val="22"/>
                <w:szCs w:val="22"/>
              </w:rPr>
              <w:t>’</w:t>
            </w:r>
            <w:r w:rsidRPr="008D7D7C">
              <w:rPr>
                <w:rFonts w:ascii="Arial" w:hAnsi="Arial" w:cs="Arial"/>
                <w:snapToGrid w:val="0"/>
                <w:sz w:val="22"/>
                <w:szCs w:val="22"/>
              </w:rPr>
              <w:t>efficacité.</w:t>
            </w:r>
          </w:p>
          <w:p w14:paraId="30B84269" w14:textId="5D81F3AD" w:rsidR="00FF4E2A" w:rsidRPr="008D7D7C" w:rsidRDefault="0059634B" w:rsidP="00E863FC">
            <w:pPr>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p>
        </w:tc>
        <w:tc>
          <w:tcPr>
            <w:tcW w:w="8492" w:type="dxa"/>
          </w:tcPr>
          <w:p w14:paraId="28D2B381" w14:textId="36B018BE" w:rsidR="009E5BD6" w:rsidRPr="008D7D7C" w:rsidRDefault="009E5BD6" w:rsidP="009E5BD6">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Les langues de travail de l</w:t>
            </w:r>
            <w:r w:rsidR="006575A1" w:rsidRPr="008D7D7C">
              <w:rPr>
                <w:rFonts w:ascii="Arial" w:hAnsi="Arial" w:cs="Arial"/>
                <w:snapToGrid w:val="0"/>
                <w:sz w:val="22"/>
                <w:szCs w:val="22"/>
              </w:rPr>
              <w:t>’</w:t>
            </w:r>
            <w:r w:rsidRPr="008D7D7C">
              <w:rPr>
                <w:rFonts w:ascii="Arial" w:hAnsi="Arial" w:cs="Arial"/>
                <w:snapToGrid w:val="0"/>
                <w:sz w:val="22"/>
                <w:szCs w:val="22"/>
              </w:rPr>
              <w:t>Assemblée sont l</w:t>
            </w:r>
            <w:r w:rsidR="006575A1" w:rsidRPr="008D7D7C">
              <w:rPr>
                <w:rFonts w:ascii="Arial" w:hAnsi="Arial" w:cs="Arial"/>
                <w:snapToGrid w:val="0"/>
                <w:sz w:val="22"/>
                <w:szCs w:val="22"/>
              </w:rPr>
              <w:t>’</w:t>
            </w:r>
            <w:r w:rsidRPr="008D7D7C">
              <w:rPr>
                <w:rFonts w:ascii="Arial" w:hAnsi="Arial" w:cs="Arial"/>
                <w:snapToGrid w:val="0"/>
                <w:sz w:val="22"/>
                <w:szCs w:val="22"/>
              </w:rPr>
              <w:t>anglais, l</w:t>
            </w:r>
            <w:r w:rsidR="006575A1" w:rsidRPr="008D7D7C">
              <w:rPr>
                <w:rFonts w:ascii="Arial" w:hAnsi="Arial" w:cs="Arial"/>
                <w:snapToGrid w:val="0"/>
                <w:sz w:val="22"/>
                <w:szCs w:val="22"/>
              </w:rPr>
              <w:t>’</w:t>
            </w:r>
            <w:r w:rsidRPr="008D7D7C">
              <w:rPr>
                <w:rFonts w:ascii="Arial" w:hAnsi="Arial" w:cs="Arial"/>
                <w:snapToGrid w:val="0"/>
                <w:sz w:val="22"/>
                <w:szCs w:val="22"/>
              </w:rPr>
              <w:t>arabe, le chinois, l</w:t>
            </w:r>
            <w:r w:rsidR="006575A1" w:rsidRPr="008D7D7C">
              <w:rPr>
                <w:rFonts w:ascii="Arial" w:hAnsi="Arial" w:cs="Arial"/>
                <w:snapToGrid w:val="0"/>
                <w:sz w:val="22"/>
                <w:szCs w:val="22"/>
              </w:rPr>
              <w:t>’</w:t>
            </w:r>
            <w:r w:rsidRPr="008D7D7C">
              <w:rPr>
                <w:rFonts w:ascii="Arial" w:hAnsi="Arial" w:cs="Arial"/>
                <w:snapToGrid w:val="0"/>
                <w:sz w:val="22"/>
                <w:szCs w:val="22"/>
              </w:rPr>
              <w:t>espagnol, le français et le russe (</w:t>
            </w:r>
            <w:hyperlink r:id="rId38" w:anchor="Rule10" w:history="1">
              <w:r w:rsidRPr="008D7D7C">
                <w:rPr>
                  <w:rStyle w:val="Hyperlink"/>
                  <w:rFonts w:ascii="Arial" w:hAnsi="Arial" w:cs="Arial"/>
                  <w:snapToGrid w:val="0"/>
                  <w:sz w:val="22"/>
                  <w:szCs w:val="22"/>
                </w:rPr>
                <w:t>article 10.1</w:t>
              </w:r>
            </w:hyperlink>
            <w:r w:rsidRPr="008D7D7C">
              <w:rPr>
                <w:rFonts w:ascii="Arial" w:hAnsi="Arial" w:cs="Arial"/>
                <w:snapToGrid w:val="0"/>
                <w:sz w:val="22"/>
                <w:szCs w:val="22"/>
              </w:rPr>
              <w:t>). « Les orateurs peuvent cependant s</w:t>
            </w:r>
            <w:r w:rsidR="006575A1" w:rsidRPr="008D7D7C">
              <w:rPr>
                <w:rFonts w:ascii="Arial" w:hAnsi="Arial" w:cs="Arial"/>
                <w:snapToGrid w:val="0"/>
                <w:sz w:val="22"/>
                <w:szCs w:val="22"/>
              </w:rPr>
              <w:t>’</w:t>
            </w:r>
            <w:r w:rsidRPr="008D7D7C">
              <w:rPr>
                <w:rFonts w:ascii="Arial" w:hAnsi="Arial" w:cs="Arial"/>
                <w:snapToGrid w:val="0"/>
                <w:sz w:val="22"/>
                <w:szCs w:val="22"/>
              </w:rPr>
              <w:t>exprimer dans toute autre langue à condition de veiller eux-mêmes à ce que leurs interventions soient interprétées dans l</w:t>
            </w:r>
            <w:r w:rsidR="006575A1" w:rsidRPr="008D7D7C">
              <w:rPr>
                <w:rFonts w:ascii="Arial" w:hAnsi="Arial" w:cs="Arial"/>
                <w:snapToGrid w:val="0"/>
                <w:sz w:val="22"/>
                <w:szCs w:val="22"/>
              </w:rPr>
              <w:t>’</w:t>
            </w:r>
            <w:r w:rsidRPr="008D7D7C">
              <w:rPr>
                <w:rFonts w:ascii="Arial" w:hAnsi="Arial" w:cs="Arial"/>
                <w:snapToGrid w:val="0"/>
                <w:sz w:val="22"/>
                <w:szCs w:val="22"/>
              </w:rPr>
              <w:t>une des langues de travail (</w:t>
            </w:r>
            <w:hyperlink r:id="rId39" w:anchor="Rule10" w:history="1">
              <w:r w:rsidRPr="008D7D7C">
                <w:rPr>
                  <w:rStyle w:val="Hyperlink"/>
                  <w:rFonts w:ascii="Arial" w:hAnsi="Arial" w:cs="Arial"/>
                  <w:snapToGrid w:val="0"/>
                  <w:sz w:val="22"/>
                  <w:szCs w:val="22"/>
                </w:rPr>
                <w:t>article 10.3</w:t>
              </w:r>
            </w:hyperlink>
            <w:r w:rsidRPr="008D7D7C">
              <w:rPr>
                <w:rFonts w:ascii="Arial" w:hAnsi="Arial" w:cs="Arial"/>
                <w:snapToGrid w:val="0"/>
                <w:sz w:val="22"/>
                <w:szCs w:val="22"/>
              </w:rPr>
              <w:t>).</w:t>
            </w:r>
          </w:p>
          <w:p w14:paraId="27D87696" w14:textId="47F0EB8D" w:rsidR="009E5BD6" w:rsidRPr="008D7D7C" w:rsidRDefault="009E5BD6" w:rsidP="00333D58">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Les langues de travail du Comité sont l</w:t>
            </w:r>
            <w:r w:rsidR="006575A1" w:rsidRPr="008D7D7C">
              <w:rPr>
                <w:rFonts w:ascii="Arial" w:hAnsi="Arial" w:cs="Arial"/>
                <w:snapToGrid w:val="0"/>
                <w:sz w:val="22"/>
                <w:szCs w:val="22"/>
              </w:rPr>
              <w:t>’</w:t>
            </w:r>
            <w:r w:rsidRPr="008D7D7C">
              <w:rPr>
                <w:rFonts w:ascii="Arial" w:hAnsi="Arial" w:cs="Arial"/>
                <w:snapToGrid w:val="0"/>
                <w:sz w:val="22"/>
                <w:szCs w:val="22"/>
              </w:rPr>
              <w:t>anglais et le français. L</w:t>
            </w:r>
            <w:r w:rsidR="006575A1" w:rsidRPr="008D7D7C">
              <w:rPr>
                <w:rFonts w:ascii="Arial" w:hAnsi="Arial" w:cs="Arial"/>
                <w:snapToGrid w:val="0"/>
                <w:sz w:val="22"/>
                <w:szCs w:val="22"/>
              </w:rPr>
              <w:t>’</w:t>
            </w:r>
            <w:hyperlink r:id="rId40" w:anchor="Rule41" w:history="1">
              <w:r w:rsidRPr="008D7D7C">
                <w:rPr>
                  <w:rStyle w:val="Hyperlink"/>
                  <w:rFonts w:ascii="Arial" w:hAnsi="Arial" w:cs="Arial"/>
                  <w:snapToGrid w:val="0"/>
                  <w:sz w:val="22"/>
                  <w:szCs w:val="22"/>
                </w:rPr>
                <w:t>article 41.1</w:t>
              </w:r>
            </w:hyperlink>
            <w:r w:rsidRPr="008D7D7C">
              <w:rPr>
                <w:rFonts w:ascii="Arial" w:hAnsi="Arial" w:cs="Arial"/>
                <w:snapToGrid w:val="0"/>
                <w:sz w:val="22"/>
                <w:szCs w:val="22"/>
              </w:rPr>
              <w:t xml:space="preserve"> précise que « [t]</w:t>
            </w:r>
            <w:proofErr w:type="spellStart"/>
            <w:r w:rsidRPr="008D7D7C">
              <w:rPr>
                <w:rFonts w:ascii="Arial" w:hAnsi="Arial" w:cs="Arial"/>
                <w:snapToGrid w:val="0"/>
                <w:sz w:val="22"/>
                <w:szCs w:val="22"/>
              </w:rPr>
              <w:t>ous</w:t>
            </w:r>
            <w:proofErr w:type="spellEnd"/>
            <w:r w:rsidRPr="008D7D7C">
              <w:rPr>
                <w:rFonts w:ascii="Arial" w:hAnsi="Arial" w:cs="Arial"/>
                <w:snapToGrid w:val="0"/>
                <w:sz w:val="22"/>
                <w:szCs w:val="22"/>
              </w:rPr>
              <w:t xml:space="preserve"> les efforts seront faits, y compris l</w:t>
            </w:r>
            <w:r w:rsidR="006575A1" w:rsidRPr="008D7D7C">
              <w:rPr>
                <w:rFonts w:ascii="Arial" w:hAnsi="Arial" w:cs="Arial"/>
                <w:snapToGrid w:val="0"/>
                <w:sz w:val="22"/>
                <w:szCs w:val="22"/>
              </w:rPr>
              <w:t>’</w:t>
            </w:r>
            <w:r w:rsidRPr="008D7D7C">
              <w:rPr>
                <w:rFonts w:ascii="Arial" w:hAnsi="Arial" w:cs="Arial"/>
                <w:snapToGrid w:val="0"/>
                <w:sz w:val="22"/>
                <w:szCs w:val="22"/>
              </w:rPr>
              <w:t>usage de fonds extrabudgétaires, afin de faciliter l</w:t>
            </w:r>
            <w:r w:rsidR="006575A1" w:rsidRPr="008D7D7C">
              <w:rPr>
                <w:rFonts w:ascii="Arial" w:hAnsi="Arial" w:cs="Arial"/>
                <w:snapToGrid w:val="0"/>
                <w:sz w:val="22"/>
                <w:szCs w:val="22"/>
              </w:rPr>
              <w:t>’</w:t>
            </w:r>
            <w:r w:rsidRPr="008D7D7C">
              <w:rPr>
                <w:rFonts w:ascii="Arial" w:hAnsi="Arial" w:cs="Arial"/>
                <w:snapToGrid w:val="0"/>
                <w:sz w:val="22"/>
                <w:szCs w:val="22"/>
              </w:rPr>
              <w:t xml:space="preserve">emploi des autres langues officielles des Nations Unies en tant que langues de travail. » Avant chaque session du Comité, il est rappelé aux États </w:t>
            </w:r>
            <w:r w:rsidRPr="008D7D7C">
              <w:rPr>
                <w:rFonts w:ascii="Arial" w:hAnsi="Arial" w:cs="Arial"/>
                <w:snapToGrid w:val="0"/>
                <w:sz w:val="22"/>
                <w:szCs w:val="22"/>
              </w:rPr>
              <w:lastRenderedPageBreak/>
              <w:t>parties que l</w:t>
            </w:r>
            <w:r w:rsidR="006575A1" w:rsidRPr="008D7D7C">
              <w:rPr>
                <w:rFonts w:ascii="Arial" w:hAnsi="Arial" w:cs="Arial"/>
                <w:snapToGrid w:val="0"/>
                <w:sz w:val="22"/>
                <w:szCs w:val="22"/>
              </w:rPr>
              <w:t>’</w:t>
            </w:r>
            <w:r w:rsidRPr="008D7D7C">
              <w:rPr>
                <w:rFonts w:ascii="Arial" w:hAnsi="Arial" w:cs="Arial"/>
                <w:snapToGrid w:val="0"/>
                <w:sz w:val="22"/>
                <w:szCs w:val="22"/>
              </w:rPr>
              <w:t>interprétation dans d</w:t>
            </w:r>
            <w:r w:rsidR="006575A1" w:rsidRPr="008D7D7C">
              <w:rPr>
                <w:rFonts w:ascii="Arial" w:hAnsi="Arial" w:cs="Arial"/>
                <w:snapToGrid w:val="0"/>
                <w:sz w:val="22"/>
                <w:szCs w:val="22"/>
              </w:rPr>
              <w:t>’</w:t>
            </w:r>
            <w:r w:rsidRPr="008D7D7C">
              <w:rPr>
                <w:rFonts w:ascii="Arial" w:hAnsi="Arial" w:cs="Arial"/>
                <w:snapToGrid w:val="0"/>
                <w:sz w:val="22"/>
                <w:szCs w:val="22"/>
              </w:rPr>
              <w:t>autres langues est proposée à condition que des fonds extrabudgétaires puissent y être consacrés.</w:t>
            </w:r>
          </w:p>
        </w:tc>
      </w:tr>
      <w:tr w:rsidR="000731D8" w:rsidRPr="002D3E8F" w14:paraId="20930D58" w14:textId="77777777" w:rsidTr="006575A1">
        <w:tc>
          <w:tcPr>
            <w:tcW w:w="6068" w:type="dxa"/>
          </w:tcPr>
          <w:p w14:paraId="6A4FFFE4" w14:textId="1FBC711F" w:rsidR="000731D8" w:rsidRPr="008D7D7C" w:rsidRDefault="000731D8" w:rsidP="00E863FC">
            <w:pPr>
              <w:pStyle w:val="ListParagraph"/>
              <w:keepNext/>
              <w:numPr>
                <w:ilvl w:val="0"/>
                <w:numId w:val="49"/>
              </w:numPr>
              <w:spacing w:after="120"/>
              <w:ind w:left="561" w:hanging="561"/>
              <w:contextualSpacing w:val="0"/>
              <w:jc w:val="both"/>
              <w:rPr>
                <w:rFonts w:ascii="Arial" w:hAnsi="Arial" w:cs="Arial"/>
                <w:snapToGrid w:val="0"/>
                <w:sz w:val="22"/>
                <w:szCs w:val="22"/>
              </w:rPr>
            </w:pPr>
            <w:r w:rsidRPr="008D7D7C">
              <w:rPr>
                <w:rFonts w:ascii="Arial" w:hAnsi="Arial" w:cs="Arial"/>
                <w:snapToGrid w:val="0"/>
                <w:sz w:val="22"/>
                <w:szCs w:val="22"/>
              </w:rPr>
              <w:lastRenderedPageBreak/>
              <w:t>Il est demandé aux OII et à leurs secrétariats d</w:t>
            </w:r>
            <w:r w:rsidR="006575A1" w:rsidRPr="008D7D7C">
              <w:rPr>
                <w:rFonts w:ascii="Arial" w:hAnsi="Arial" w:cs="Arial"/>
                <w:snapToGrid w:val="0"/>
                <w:sz w:val="22"/>
                <w:szCs w:val="22"/>
              </w:rPr>
              <w:t>’</w:t>
            </w:r>
            <w:r w:rsidRPr="008D7D7C">
              <w:rPr>
                <w:rFonts w:ascii="Arial" w:hAnsi="Arial" w:cs="Arial"/>
                <w:snapToGrid w:val="0"/>
                <w:sz w:val="22"/>
                <w:szCs w:val="22"/>
              </w:rPr>
              <w:t>améliorer la coordination de la planification des réunions afin d</w:t>
            </w:r>
            <w:r w:rsidR="006575A1" w:rsidRPr="008D7D7C">
              <w:rPr>
                <w:rFonts w:ascii="Arial" w:hAnsi="Arial" w:cs="Arial"/>
                <w:snapToGrid w:val="0"/>
                <w:sz w:val="22"/>
                <w:szCs w:val="22"/>
              </w:rPr>
              <w:t>’</w:t>
            </w:r>
            <w:r w:rsidRPr="008D7D7C">
              <w:rPr>
                <w:rFonts w:ascii="Arial" w:hAnsi="Arial" w:cs="Arial"/>
                <w:snapToGrid w:val="0"/>
                <w:sz w:val="22"/>
                <w:szCs w:val="22"/>
              </w:rPr>
              <w:t>éviter les chevauchements.</w:t>
            </w:r>
          </w:p>
          <w:p w14:paraId="52F06CCC" w14:textId="44493557" w:rsidR="00FF4E2A" w:rsidRPr="008D7D7C" w:rsidRDefault="0059634B" w:rsidP="00E863FC">
            <w:pPr>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p>
        </w:tc>
        <w:tc>
          <w:tcPr>
            <w:tcW w:w="8492" w:type="dxa"/>
            <w:tcBorders>
              <w:right w:val="single" w:sz="4" w:space="0" w:color="auto"/>
            </w:tcBorders>
          </w:tcPr>
          <w:p w14:paraId="6C8AB6C8" w14:textId="500D9548" w:rsidR="000731D8" w:rsidRPr="008D7D7C" w:rsidRDefault="000731D8">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w:t>
            </w:r>
            <w:r w:rsidR="006575A1" w:rsidRPr="008D7D7C">
              <w:rPr>
                <w:rFonts w:ascii="Arial" w:hAnsi="Arial" w:cs="Arial"/>
                <w:snapToGrid w:val="0"/>
                <w:sz w:val="22"/>
                <w:szCs w:val="22"/>
              </w:rPr>
              <w:t>’</w:t>
            </w:r>
            <w:r w:rsidRPr="008D7D7C">
              <w:rPr>
                <w:rFonts w:ascii="Arial" w:hAnsi="Arial" w:cs="Arial"/>
                <w:snapToGrid w:val="0"/>
                <w:sz w:val="22"/>
                <w:szCs w:val="22"/>
              </w:rPr>
              <w:t>Unité des partenariats, de la communication et des réunions (anciennement Unité des services communs des conventions) du Secteur de la culture veille à ce qu</w:t>
            </w:r>
            <w:r w:rsidR="006575A1" w:rsidRPr="008D7D7C">
              <w:rPr>
                <w:rFonts w:ascii="Arial" w:hAnsi="Arial" w:cs="Arial"/>
                <w:snapToGrid w:val="0"/>
                <w:sz w:val="22"/>
                <w:szCs w:val="22"/>
              </w:rPr>
              <w:t>’</w:t>
            </w:r>
            <w:r w:rsidRPr="008D7D7C">
              <w:rPr>
                <w:rFonts w:ascii="Arial" w:hAnsi="Arial" w:cs="Arial"/>
                <w:snapToGrid w:val="0"/>
                <w:sz w:val="22"/>
                <w:szCs w:val="22"/>
              </w:rPr>
              <w:t>il n</w:t>
            </w:r>
            <w:r w:rsidR="006575A1" w:rsidRPr="008D7D7C">
              <w:rPr>
                <w:rFonts w:ascii="Arial" w:hAnsi="Arial" w:cs="Arial"/>
                <w:snapToGrid w:val="0"/>
                <w:sz w:val="22"/>
                <w:szCs w:val="22"/>
              </w:rPr>
              <w:t>’</w:t>
            </w:r>
            <w:r w:rsidRPr="008D7D7C">
              <w:rPr>
                <w:rFonts w:ascii="Arial" w:hAnsi="Arial" w:cs="Arial"/>
                <w:snapToGrid w:val="0"/>
                <w:sz w:val="22"/>
                <w:szCs w:val="22"/>
              </w:rPr>
              <w:t>y ait pas de chevauchement entre les réunions des six conventions culturelles.</w:t>
            </w:r>
          </w:p>
        </w:tc>
      </w:tr>
      <w:tr w:rsidR="00032287" w:rsidRPr="002D3E8F" w14:paraId="2667637F" w14:textId="74207667" w:rsidTr="006575A1">
        <w:trPr>
          <w:trHeight w:val="454"/>
        </w:trPr>
        <w:tc>
          <w:tcPr>
            <w:tcW w:w="14560" w:type="dxa"/>
            <w:gridSpan w:val="2"/>
            <w:tcBorders>
              <w:right w:val="single" w:sz="4" w:space="0" w:color="auto"/>
            </w:tcBorders>
            <w:shd w:val="clear" w:color="auto" w:fill="D9D9D9" w:themeFill="background1" w:themeFillShade="D9"/>
            <w:vAlign w:val="center"/>
          </w:tcPr>
          <w:p w14:paraId="1C6B38F1" w14:textId="04B41923" w:rsidR="00032287" w:rsidRPr="008D7D7C" w:rsidRDefault="00032287" w:rsidP="000D3153">
            <w:pPr>
              <w:keepNext/>
              <w:tabs>
                <w:tab w:val="left" w:pos="555"/>
              </w:tabs>
              <w:rPr>
                <w:rFonts w:ascii="Arial" w:hAnsi="Arial" w:cs="Arial"/>
                <w:b/>
                <w:smallCaps/>
                <w:snapToGrid w:val="0"/>
                <w:sz w:val="22"/>
                <w:szCs w:val="22"/>
              </w:rPr>
            </w:pPr>
            <w:r w:rsidRPr="008D7D7C">
              <w:rPr>
                <w:rFonts w:ascii="Arial" w:hAnsi="Arial" w:cs="Arial"/>
                <w:b/>
                <w:smallCaps/>
                <w:snapToGrid w:val="0"/>
                <w:sz w:val="22"/>
                <w:szCs w:val="22"/>
              </w:rPr>
              <w:t>E.</w:t>
            </w:r>
            <w:r w:rsidRPr="008D7D7C">
              <w:rPr>
                <w:rFonts w:ascii="Arial" w:hAnsi="Arial" w:cs="Arial"/>
                <w:b/>
                <w:smallCaps/>
                <w:snapToGrid w:val="0"/>
                <w:sz w:val="22"/>
                <w:szCs w:val="22"/>
              </w:rPr>
              <w:tab/>
              <w:t>Recommandations spécifiques à toutes les conventions de l</w:t>
            </w:r>
            <w:r w:rsidR="006575A1" w:rsidRPr="008D7D7C">
              <w:rPr>
                <w:rFonts w:ascii="Arial" w:hAnsi="Arial" w:cs="Arial"/>
                <w:b/>
                <w:smallCaps/>
                <w:snapToGrid w:val="0"/>
                <w:sz w:val="22"/>
                <w:szCs w:val="22"/>
              </w:rPr>
              <w:t>’</w:t>
            </w:r>
            <w:r w:rsidRPr="008D7D7C">
              <w:rPr>
                <w:rFonts w:ascii="Arial" w:hAnsi="Arial" w:cs="Arial"/>
                <w:b/>
                <w:smallCaps/>
                <w:snapToGrid w:val="0"/>
                <w:sz w:val="22"/>
                <w:szCs w:val="22"/>
              </w:rPr>
              <w:t>UNESCO</w:t>
            </w:r>
          </w:p>
        </w:tc>
      </w:tr>
      <w:tr w:rsidR="00032287" w:rsidRPr="00985ABE" w14:paraId="0651A473" w14:textId="0782AECB" w:rsidTr="006575A1">
        <w:trPr>
          <w:trHeight w:val="340"/>
        </w:trPr>
        <w:tc>
          <w:tcPr>
            <w:tcW w:w="14560" w:type="dxa"/>
            <w:gridSpan w:val="2"/>
            <w:tcBorders>
              <w:right w:val="single" w:sz="4" w:space="0" w:color="auto"/>
            </w:tcBorders>
            <w:shd w:val="clear" w:color="auto" w:fill="F2F2F2" w:themeFill="background1" w:themeFillShade="F2"/>
            <w:vAlign w:val="center"/>
          </w:tcPr>
          <w:p w14:paraId="3B785AD8" w14:textId="64784A96" w:rsidR="00032287" w:rsidRPr="008D7D7C" w:rsidRDefault="00032287" w:rsidP="00A11380">
            <w:pPr>
              <w:keepNext/>
              <w:rPr>
                <w:rFonts w:ascii="Arial" w:hAnsi="Arial" w:cs="Arial"/>
                <w:b/>
                <w:snapToGrid w:val="0"/>
                <w:sz w:val="22"/>
                <w:szCs w:val="22"/>
              </w:rPr>
            </w:pPr>
            <w:r w:rsidRPr="008D7D7C">
              <w:rPr>
                <w:rFonts w:ascii="Arial" w:hAnsi="Arial" w:cs="Arial"/>
                <w:b/>
                <w:snapToGrid w:val="0"/>
                <w:sz w:val="22"/>
                <w:szCs w:val="22"/>
              </w:rPr>
              <w:t>Conventions relatives à la culture</w:t>
            </w:r>
          </w:p>
        </w:tc>
      </w:tr>
      <w:tr w:rsidR="000731D8" w:rsidRPr="002D3E8F" w14:paraId="57482838" w14:textId="77777777" w:rsidTr="006575A1">
        <w:tc>
          <w:tcPr>
            <w:tcW w:w="6068" w:type="dxa"/>
          </w:tcPr>
          <w:p w14:paraId="58E8EE5C" w14:textId="350AAFA2" w:rsidR="000731D8" w:rsidRPr="008D7D7C" w:rsidRDefault="00927AE1" w:rsidP="00942976">
            <w:pPr>
              <w:spacing w:after="120"/>
              <w:ind w:left="567" w:hanging="567"/>
              <w:jc w:val="both"/>
              <w:rPr>
                <w:rFonts w:ascii="Arial" w:hAnsi="Arial" w:cs="Arial"/>
                <w:snapToGrid w:val="0"/>
                <w:sz w:val="22"/>
                <w:szCs w:val="22"/>
              </w:rPr>
            </w:pPr>
            <w:r w:rsidRPr="008D7D7C">
              <w:rPr>
                <w:rFonts w:ascii="Arial" w:hAnsi="Arial" w:cs="Arial"/>
                <w:snapToGrid w:val="0"/>
                <w:sz w:val="22"/>
                <w:szCs w:val="22"/>
              </w:rPr>
              <w:t>94.</w:t>
            </w:r>
            <w:r w:rsidRPr="008D7D7C">
              <w:rPr>
                <w:rFonts w:ascii="Arial" w:hAnsi="Arial" w:cs="Arial"/>
                <w:snapToGrid w:val="0"/>
                <w:sz w:val="22"/>
                <w:szCs w:val="22"/>
              </w:rPr>
              <w:tab/>
              <w:t>Un meilleur équilibre en termes d</w:t>
            </w:r>
            <w:r w:rsidR="006575A1" w:rsidRPr="008D7D7C">
              <w:rPr>
                <w:rFonts w:ascii="Arial" w:hAnsi="Arial" w:cs="Arial"/>
                <w:snapToGrid w:val="0"/>
                <w:sz w:val="22"/>
                <w:szCs w:val="22"/>
              </w:rPr>
              <w:t>’</w:t>
            </w:r>
            <w:r w:rsidRPr="008D7D7C">
              <w:rPr>
                <w:rFonts w:ascii="Arial" w:hAnsi="Arial" w:cs="Arial"/>
                <w:snapToGrid w:val="0"/>
                <w:sz w:val="22"/>
                <w:szCs w:val="22"/>
              </w:rPr>
              <w:t>allocation équitable des ressources humaines et financières à toutes les conventions est souhaité, compte tenu de leur importance au regard du mandat de l</w:t>
            </w:r>
            <w:r w:rsidR="006575A1" w:rsidRPr="008D7D7C">
              <w:rPr>
                <w:rFonts w:ascii="Arial" w:hAnsi="Arial" w:cs="Arial"/>
                <w:snapToGrid w:val="0"/>
                <w:sz w:val="22"/>
                <w:szCs w:val="22"/>
              </w:rPr>
              <w:t>’</w:t>
            </w:r>
            <w:r w:rsidRPr="008D7D7C">
              <w:rPr>
                <w:rFonts w:ascii="Arial" w:hAnsi="Arial" w:cs="Arial"/>
                <w:snapToGrid w:val="0"/>
                <w:sz w:val="22"/>
                <w:szCs w:val="22"/>
              </w:rPr>
              <w:t>UNESCO. Toutes les conventions relatives à la culture ont besoin de ressources supplémentaires pour remplir pleinement leurs objectifs.</w:t>
            </w:r>
          </w:p>
          <w:p w14:paraId="051E7D90" w14:textId="269A5196" w:rsidR="0059634B" w:rsidRPr="008D7D7C" w:rsidRDefault="002E5D2C" w:rsidP="00E863FC">
            <w:pPr>
              <w:spacing w:after="120"/>
              <w:jc w:val="both"/>
              <w:rPr>
                <w:rFonts w:ascii="Arial" w:hAnsi="Arial" w:cs="Arial"/>
                <w:snapToGrid w:val="0"/>
                <w:sz w:val="22"/>
                <w:szCs w:val="22"/>
                <w:highlight w:val="cyan"/>
              </w:rPr>
            </w:pPr>
            <w:r w:rsidRPr="008D7D7C">
              <w:rPr>
                <w:rFonts w:ascii="Arial" w:hAnsi="Arial" w:cs="Arial"/>
                <w:b/>
                <w:bCs/>
                <w:sz w:val="22"/>
                <w:szCs w:val="22"/>
              </w:rPr>
              <w:t>Action nécessaire des États parties</w:t>
            </w:r>
          </w:p>
        </w:tc>
        <w:tc>
          <w:tcPr>
            <w:tcW w:w="8492" w:type="dxa"/>
            <w:tcBorders>
              <w:right w:val="single" w:sz="4" w:space="0" w:color="auto"/>
            </w:tcBorders>
          </w:tcPr>
          <w:p w14:paraId="7DC3B01C" w14:textId="20C41567" w:rsidR="000731D8" w:rsidRPr="008D7D7C" w:rsidRDefault="00933FA6">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Les États parties sont directement responsables de la mise en œuvre de cette recommandation. Toutefois, le Secrétariat a mis en lumière la nécessité de renforcer les ressources humaines du Secrétariat pour mettre en œuvre les mécanismes d</w:t>
            </w:r>
            <w:r w:rsidR="006575A1" w:rsidRPr="008D7D7C">
              <w:rPr>
                <w:rFonts w:ascii="Arial" w:hAnsi="Arial" w:cs="Arial"/>
                <w:snapToGrid w:val="0"/>
                <w:sz w:val="22"/>
                <w:szCs w:val="22"/>
              </w:rPr>
              <w:t>’</w:t>
            </w:r>
            <w:r w:rsidRPr="008D7D7C">
              <w:rPr>
                <w:rFonts w:ascii="Arial" w:hAnsi="Arial" w:cs="Arial"/>
                <w:snapToGrid w:val="0"/>
                <w:sz w:val="22"/>
                <w:szCs w:val="22"/>
              </w:rPr>
              <w:t xml:space="preserve">assistance internationale du Fonds, et notamment pour assurer leur suivi efficace (voir le </w:t>
            </w:r>
            <w:hyperlink r:id="rId41" w:history="1">
              <w:r w:rsidRPr="008D7D7C">
                <w:rPr>
                  <w:rStyle w:val="Hyperlink"/>
                  <w:rFonts w:ascii="Arial" w:hAnsi="Arial" w:cs="Arial"/>
                  <w:snapToGrid w:val="0"/>
                  <w:sz w:val="22"/>
                  <w:szCs w:val="22"/>
                </w:rPr>
                <w:t>document ITH/17/12.COM/7</w:t>
              </w:r>
            </w:hyperlink>
            <w:r w:rsidRPr="008D7D7C">
              <w:rPr>
                <w:rFonts w:ascii="Arial" w:hAnsi="Arial" w:cs="Arial"/>
                <w:snapToGrid w:val="0"/>
                <w:sz w:val="22"/>
                <w:szCs w:val="22"/>
              </w:rPr>
              <w:t xml:space="preserve">). En </w:t>
            </w:r>
            <w:proofErr w:type="spellStart"/>
            <w:r w:rsidRPr="008D7D7C">
              <w:rPr>
                <w:rFonts w:ascii="Arial" w:hAnsi="Arial" w:cs="Arial"/>
                <w:snapToGrid w:val="0"/>
                <w:sz w:val="22"/>
                <w:szCs w:val="22"/>
              </w:rPr>
              <w:t>réaction,le</w:t>
            </w:r>
            <w:proofErr w:type="spellEnd"/>
            <w:r w:rsidRPr="008D7D7C">
              <w:rPr>
                <w:rFonts w:ascii="Arial" w:hAnsi="Arial" w:cs="Arial"/>
                <w:snapToGrid w:val="0"/>
                <w:sz w:val="22"/>
                <w:szCs w:val="22"/>
              </w:rPr>
              <w:t xml:space="preserve"> Comité a recommandé à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d</w:t>
            </w:r>
            <w:r w:rsidR="006575A1" w:rsidRPr="008D7D7C">
              <w:rPr>
                <w:rFonts w:ascii="Arial" w:hAnsi="Arial" w:cs="Arial"/>
                <w:snapToGrid w:val="0"/>
                <w:sz w:val="22"/>
                <w:szCs w:val="22"/>
              </w:rPr>
              <w:t>’</w:t>
            </w:r>
            <w:r w:rsidRPr="008D7D7C">
              <w:rPr>
                <w:rFonts w:ascii="Arial" w:hAnsi="Arial" w:cs="Arial"/>
                <w:snapToGrid w:val="0"/>
                <w:sz w:val="22"/>
                <w:szCs w:val="22"/>
              </w:rPr>
              <w:t>approuver la création de trois nouveaux postes à durée déterminée financés à l</w:t>
            </w:r>
            <w:r w:rsidR="006575A1" w:rsidRPr="008D7D7C">
              <w:rPr>
                <w:rFonts w:ascii="Arial" w:hAnsi="Arial" w:cs="Arial"/>
                <w:snapToGrid w:val="0"/>
                <w:sz w:val="22"/>
                <w:szCs w:val="22"/>
              </w:rPr>
              <w:t>’</w:t>
            </w:r>
            <w:r w:rsidRPr="008D7D7C">
              <w:rPr>
                <w:rFonts w:ascii="Arial" w:hAnsi="Arial" w:cs="Arial"/>
                <w:snapToGrid w:val="0"/>
                <w:sz w:val="22"/>
                <w:szCs w:val="22"/>
              </w:rPr>
              <w:t>aide de fonds extrabudgétaires (</w:t>
            </w:r>
            <w:hyperlink r:id="rId42" w:history="1">
              <w:r w:rsidRPr="008D7D7C">
                <w:rPr>
                  <w:rStyle w:val="Hyperlink"/>
                  <w:rFonts w:ascii="Arial" w:hAnsi="Arial" w:cs="Arial"/>
                  <w:snapToGrid w:val="0"/>
                  <w:sz w:val="22"/>
                  <w:szCs w:val="22"/>
                </w:rPr>
                <w:t>décision 12.COM 7</w:t>
              </w:r>
            </w:hyperlink>
            <w:r w:rsidRPr="008D7D7C">
              <w:rPr>
                <w:rStyle w:val="Hyperlink"/>
                <w:rFonts w:ascii="Arial" w:hAnsi="Arial" w:cs="Arial"/>
                <w:snapToGrid w:val="0"/>
                <w:sz w:val="22"/>
                <w:szCs w:val="22"/>
              </w:rPr>
              <w:t>)</w:t>
            </w:r>
            <w:r w:rsidRPr="008D7D7C">
              <w:rPr>
                <w:rFonts w:ascii="Arial" w:hAnsi="Arial" w:cs="Arial"/>
                <w:snapToGrid w:val="0"/>
                <w:sz w:val="22"/>
                <w:szCs w:val="22"/>
              </w:rPr>
              <w:t>.</w:t>
            </w:r>
          </w:p>
        </w:tc>
      </w:tr>
      <w:tr w:rsidR="000731D8" w:rsidRPr="002D3E8F" w14:paraId="726532A6" w14:textId="77777777" w:rsidTr="006575A1">
        <w:tc>
          <w:tcPr>
            <w:tcW w:w="6068" w:type="dxa"/>
          </w:tcPr>
          <w:p w14:paraId="3C11209E" w14:textId="54B20CA9" w:rsidR="000731D8" w:rsidRPr="008D7D7C" w:rsidRDefault="00927AE1" w:rsidP="00942976">
            <w:pPr>
              <w:spacing w:after="120"/>
              <w:ind w:left="567" w:hanging="567"/>
              <w:jc w:val="both"/>
              <w:rPr>
                <w:rFonts w:ascii="Arial" w:hAnsi="Arial" w:cs="Arial"/>
                <w:snapToGrid w:val="0"/>
                <w:sz w:val="22"/>
                <w:szCs w:val="22"/>
              </w:rPr>
            </w:pPr>
            <w:r w:rsidRPr="008D7D7C">
              <w:rPr>
                <w:rFonts w:ascii="Arial" w:hAnsi="Arial" w:cs="Arial"/>
                <w:snapToGrid w:val="0"/>
                <w:sz w:val="22"/>
                <w:szCs w:val="22"/>
              </w:rPr>
              <w:t>96.</w:t>
            </w:r>
            <w:r w:rsidRPr="008D7D7C">
              <w:rPr>
                <w:rFonts w:ascii="Arial" w:hAnsi="Arial" w:cs="Arial"/>
                <w:snapToGrid w:val="0"/>
                <w:sz w:val="22"/>
                <w:szCs w:val="22"/>
              </w:rPr>
              <w:tab/>
              <w:t>Les organes directeurs des conventions sont invités, par voie de larges consultations, à étudier de façon plus approfondie, le cas échéant, l</w:t>
            </w:r>
            <w:r w:rsidR="006575A1" w:rsidRPr="008D7D7C">
              <w:rPr>
                <w:rFonts w:ascii="Arial" w:hAnsi="Arial" w:cs="Arial"/>
                <w:snapToGrid w:val="0"/>
                <w:sz w:val="22"/>
                <w:szCs w:val="22"/>
              </w:rPr>
              <w:t>’</w:t>
            </w:r>
            <w:r w:rsidRPr="008D7D7C">
              <w:rPr>
                <w:rFonts w:ascii="Arial" w:hAnsi="Arial" w:cs="Arial"/>
                <w:snapToGrid w:val="0"/>
                <w:sz w:val="22"/>
                <w:szCs w:val="22"/>
              </w:rPr>
              <w:t>harmonisation des règlements intérieurs et la cohérence des procédures de prise de décisions, en tenant compte de leurs mandats respectifs et de leurs particularités. Ils peuvent s</w:t>
            </w:r>
            <w:r w:rsidR="006575A1" w:rsidRPr="008D7D7C">
              <w:rPr>
                <w:rFonts w:ascii="Arial" w:hAnsi="Arial" w:cs="Arial"/>
                <w:snapToGrid w:val="0"/>
                <w:sz w:val="22"/>
                <w:szCs w:val="22"/>
              </w:rPr>
              <w:t>’</w:t>
            </w:r>
            <w:r w:rsidRPr="008D7D7C">
              <w:rPr>
                <w:rFonts w:ascii="Arial" w:hAnsi="Arial" w:cs="Arial"/>
                <w:snapToGrid w:val="0"/>
                <w:sz w:val="22"/>
                <w:szCs w:val="22"/>
              </w:rPr>
              <w:t>inspirer des bonnes pratiques des traités environnementaux/PNUE pour développer des synergies en matière d</w:t>
            </w:r>
            <w:r w:rsidR="006575A1" w:rsidRPr="008D7D7C">
              <w:rPr>
                <w:rFonts w:ascii="Arial" w:hAnsi="Arial" w:cs="Arial"/>
                <w:snapToGrid w:val="0"/>
                <w:sz w:val="22"/>
                <w:szCs w:val="22"/>
              </w:rPr>
              <w:t>’</w:t>
            </w:r>
            <w:r w:rsidRPr="008D7D7C">
              <w:rPr>
                <w:rFonts w:ascii="Arial" w:hAnsi="Arial" w:cs="Arial"/>
                <w:snapToGrid w:val="0"/>
                <w:sz w:val="22"/>
                <w:szCs w:val="22"/>
              </w:rPr>
              <w:t>organisation, de partage de l</w:t>
            </w:r>
            <w:r w:rsidR="006575A1" w:rsidRPr="008D7D7C">
              <w:rPr>
                <w:rFonts w:ascii="Arial" w:hAnsi="Arial" w:cs="Arial"/>
                <w:snapToGrid w:val="0"/>
                <w:sz w:val="22"/>
                <w:szCs w:val="22"/>
              </w:rPr>
              <w:t>’</w:t>
            </w:r>
            <w:r w:rsidRPr="008D7D7C">
              <w:rPr>
                <w:rFonts w:ascii="Arial" w:hAnsi="Arial" w:cs="Arial"/>
                <w:snapToGrid w:val="0"/>
                <w:sz w:val="22"/>
                <w:szCs w:val="22"/>
              </w:rPr>
              <w:t>information et de rationalisation des coûts.</w:t>
            </w:r>
          </w:p>
          <w:p w14:paraId="6C5AEE0E" w14:textId="2F40516A" w:rsidR="0059634B" w:rsidRPr="008D7D7C" w:rsidRDefault="00D05226" w:rsidP="00E863FC">
            <w:pPr>
              <w:spacing w:after="120"/>
              <w:jc w:val="both"/>
              <w:rPr>
                <w:rFonts w:ascii="Arial" w:hAnsi="Arial" w:cs="Arial"/>
                <w:snapToGrid w:val="0"/>
                <w:sz w:val="22"/>
                <w:szCs w:val="22"/>
                <w:highlight w:val="cyan"/>
              </w:rPr>
            </w:pPr>
            <w:r w:rsidRPr="008D7D7C">
              <w:rPr>
                <w:rFonts w:ascii="Arial" w:hAnsi="Arial" w:cs="Arial"/>
                <w:b/>
                <w:bCs/>
                <w:sz w:val="22"/>
                <w:szCs w:val="22"/>
              </w:rPr>
              <w:t>Action proposée</w:t>
            </w:r>
          </w:p>
        </w:tc>
        <w:tc>
          <w:tcPr>
            <w:tcW w:w="8492" w:type="dxa"/>
          </w:tcPr>
          <w:p w14:paraId="776B81F3" w14:textId="04895D8A" w:rsidR="000731D8" w:rsidRPr="008D7D7C" w:rsidRDefault="00B27AC9" w:rsidP="008F2E45">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 xml:space="preserve">Par sa </w:t>
            </w:r>
            <w:hyperlink r:id="rId43" w:history="1">
              <w:r w:rsidRPr="008D7D7C">
                <w:rPr>
                  <w:rStyle w:val="Hyperlink"/>
                  <w:rFonts w:ascii="Arial" w:hAnsi="Arial" w:cs="Arial"/>
                  <w:snapToGrid w:val="0"/>
                  <w:sz w:val="22"/>
                  <w:szCs w:val="22"/>
                </w:rPr>
                <w:t>résolution 6.GA 11</w:t>
              </w:r>
            </w:hyperlink>
            <w:r w:rsidRPr="008D7D7C">
              <w:rPr>
                <w:rFonts w:ascii="Arial" w:hAnsi="Arial" w:cs="Arial"/>
                <w:snapToGrid w:val="0"/>
                <w:sz w:val="22"/>
                <w:szCs w:val="22"/>
              </w:rPr>
              <w:t>,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a invité les États parties à proposer des modifications à son Règlement intérieur afin d</w:t>
            </w:r>
            <w:r w:rsidR="006575A1" w:rsidRPr="008D7D7C">
              <w:rPr>
                <w:rFonts w:ascii="Arial" w:hAnsi="Arial" w:cs="Arial"/>
                <w:snapToGrid w:val="0"/>
                <w:sz w:val="22"/>
                <w:szCs w:val="22"/>
              </w:rPr>
              <w:t>’</w:t>
            </w:r>
            <w:r w:rsidRPr="008D7D7C">
              <w:rPr>
                <w:rFonts w:ascii="Arial" w:hAnsi="Arial" w:cs="Arial"/>
                <w:snapToGrid w:val="0"/>
                <w:sz w:val="22"/>
                <w:szCs w:val="22"/>
              </w:rPr>
              <w:t>améliorer la cohérence des règlements intérieurs des différents organes des conventions culturelles de l</w:t>
            </w:r>
            <w:r w:rsidR="006575A1" w:rsidRPr="008D7D7C">
              <w:rPr>
                <w:rFonts w:ascii="Arial" w:hAnsi="Arial" w:cs="Arial"/>
                <w:snapToGrid w:val="0"/>
                <w:sz w:val="22"/>
                <w:szCs w:val="22"/>
              </w:rPr>
              <w:t>’</w:t>
            </w:r>
            <w:r w:rsidRPr="008D7D7C">
              <w:rPr>
                <w:rFonts w:ascii="Arial" w:hAnsi="Arial" w:cs="Arial"/>
                <w:snapToGrid w:val="0"/>
                <w:sz w:val="22"/>
                <w:szCs w:val="22"/>
              </w:rPr>
              <w:t>UNESCO. Un point concernant l</w:t>
            </w:r>
            <w:r w:rsidR="006575A1" w:rsidRPr="008D7D7C">
              <w:rPr>
                <w:rFonts w:ascii="Arial" w:hAnsi="Arial" w:cs="Arial"/>
                <w:snapToGrid w:val="0"/>
                <w:sz w:val="22"/>
                <w:szCs w:val="22"/>
              </w:rPr>
              <w:t>’</w:t>
            </w:r>
            <w:r w:rsidRPr="008D7D7C">
              <w:rPr>
                <w:rFonts w:ascii="Arial" w:hAnsi="Arial" w:cs="Arial"/>
                <w:snapToGrid w:val="0"/>
                <w:sz w:val="22"/>
                <w:szCs w:val="22"/>
              </w:rPr>
              <w:t>examen des propositions reçues figure à l</w:t>
            </w:r>
            <w:r w:rsidR="006575A1" w:rsidRPr="008D7D7C">
              <w:rPr>
                <w:rFonts w:ascii="Arial" w:hAnsi="Arial" w:cs="Arial"/>
                <w:snapToGrid w:val="0"/>
                <w:sz w:val="22"/>
                <w:szCs w:val="22"/>
              </w:rPr>
              <w:t>’</w:t>
            </w:r>
            <w:r w:rsidRPr="008D7D7C">
              <w:rPr>
                <w:rFonts w:ascii="Arial" w:hAnsi="Arial" w:cs="Arial"/>
                <w:snapToGrid w:val="0"/>
                <w:sz w:val="22"/>
                <w:szCs w:val="22"/>
              </w:rPr>
              <w:t>ordre du jour de la présente session de l</w:t>
            </w:r>
            <w:r w:rsidR="006575A1" w:rsidRPr="008D7D7C">
              <w:rPr>
                <w:rFonts w:ascii="Arial" w:hAnsi="Arial" w:cs="Arial"/>
                <w:snapToGrid w:val="0"/>
                <w:sz w:val="22"/>
                <w:szCs w:val="22"/>
              </w:rPr>
              <w:t>’</w:t>
            </w:r>
            <w:r w:rsidRPr="008D7D7C">
              <w:rPr>
                <w:rFonts w:ascii="Arial" w:hAnsi="Arial" w:cs="Arial"/>
                <w:snapToGrid w:val="0"/>
                <w:sz w:val="22"/>
                <w:szCs w:val="22"/>
              </w:rPr>
              <w:t>Assemblée générale (voir le document </w:t>
            </w:r>
            <w:hyperlink r:id="rId44" w:history="1">
              <w:r w:rsidRPr="008D7D7C">
                <w:rPr>
                  <w:rStyle w:val="Hyperlink"/>
                  <w:rFonts w:ascii="Arial" w:hAnsi="Arial" w:cs="Arial"/>
                  <w:snapToGrid w:val="0"/>
                  <w:sz w:val="22"/>
                  <w:szCs w:val="22"/>
                </w:rPr>
                <w:t>ITH/18/7.GA/13</w:t>
              </w:r>
            </w:hyperlink>
            <w:r w:rsidRPr="008D7D7C">
              <w:rPr>
                <w:rFonts w:ascii="Arial" w:hAnsi="Arial" w:cs="Arial"/>
                <w:snapToGrid w:val="0"/>
                <w:sz w:val="22"/>
                <w:szCs w:val="22"/>
              </w:rPr>
              <w:t>).</w:t>
            </w:r>
          </w:p>
        </w:tc>
      </w:tr>
      <w:tr w:rsidR="000731D8" w:rsidRPr="002D3E8F" w14:paraId="39CAEA65" w14:textId="77777777" w:rsidTr="006575A1">
        <w:tc>
          <w:tcPr>
            <w:tcW w:w="6068" w:type="dxa"/>
          </w:tcPr>
          <w:p w14:paraId="01653F28" w14:textId="0E180603" w:rsidR="000731D8" w:rsidRPr="008D7D7C" w:rsidRDefault="00927AE1" w:rsidP="00942976">
            <w:pPr>
              <w:spacing w:after="120"/>
              <w:ind w:left="567" w:hanging="567"/>
              <w:jc w:val="both"/>
              <w:rPr>
                <w:rFonts w:ascii="Arial" w:hAnsi="Arial" w:cs="Arial"/>
                <w:snapToGrid w:val="0"/>
                <w:sz w:val="22"/>
                <w:szCs w:val="22"/>
              </w:rPr>
            </w:pPr>
            <w:r w:rsidRPr="008D7D7C">
              <w:rPr>
                <w:rFonts w:ascii="Arial" w:hAnsi="Arial" w:cs="Arial"/>
                <w:snapToGrid w:val="0"/>
                <w:sz w:val="22"/>
                <w:szCs w:val="22"/>
              </w:rPr>
              <w:t>97.</w:t>
            </w:r>
            <w:r w:rsidRPr="008D7D7C">
              <w:rPr>
                <w:rFonts w:ascii="Arial" w:hAnsi="Arial" w:cs="Arial"/>
                <w:snapToGrid w:val="0"/>
                <w:sz w:val="22"/>
                <w:szCs w:val="22"/>
              </w:rPr>
              <w:tab/>
              <w:t>Les réunions des président(e)s des comités des conventions culturelles pourraient être plus interactives et axées sur l</w:t>
            </w:r>
            <w:r w:rsidR="006575A1" w:rsidRPr="008D7D7C">
              <w:rPr>
                <w:rFonts w:ascii="Arial" w:hAnsi="Arial" w:cs="Arial"/>
                <w:snapToGrid w:val="0"/>
                <w:sz w:val="22"/>
                <w:szCs w:val="22"/>
              </w:rPr>
              <w:t>’</w:t>
            </w:r>
            <w:r w:rsidRPr="008D7D7C">
              <w:rPr>
                <w:rFonts w:ascii="Arial" w:hAnsi="Arial" w:cs="Arial"/>
                <w:snapToGrid w:val="0"/>
                <w:sz w:val="22"/>
                <w:szCs w:val="22"/>
              </w:rPr>
              <w:t xml:space="preserve">action. Les président(e)s devraient travailler ensemble de manière stratégique pour </w:t>
            </w:r>
            <w:r w:rsidRPr="008D7D7C">
              <w:rPr>
                <w:rFonts w:ascii="Arial" w:hAnsi="Arial" w:cs="Arial"/>
                <w:snapToGrid w:val="0"/>
                <w:sz w:val="22"/>
                <w:szCs w:val="22"/>
              </w:rPr>
              <w:lastRenderedPageBreak/>
              <w:t>aborder les thèmes et les défis communs, étudier des réponses communes et envisager une coopération.</w:t>
            </w:r>
          </w:p>
          <w:p w14:paraId="2F54EF62" w14:textId="04F41F2E" w:rsidR="0059634B" w:rsidRPr="008D7D7C" w:rsidRDefault="00F176E4" w:rsidP="00E863FC">
            <w:pPr>
              <w:spacing w:after="120"/>
              <w:jc w:val="both"/>
              <w:rPr>
                <w:rFonts w:ascii="Arial" w:hAnsi="Arial" w:cs="Arial"/>
                <w:snapToGrid w:val="0"/>
                <w:sz w:val="22"/>
                <w:szCs w:val="22"/>
                <w:highlight w:val="cyan"/>
              </w:rPr>
            </w:pPr>
            <w:r w:rsidRPr="008D7D7C">
              <w:rPr>
                <w:rFonts w:ascii="Arial" w:hAnsi="Arial" w:cs="Arial"/>
                <w:b/>
                <w:bCs/>
                <w:sz w:val="22"/>
                <w:szCs w:val="22"/>
              </w:rPr>
              <w:t xml:space="preserve">Action proposée </w:t>
            </w:r>
          </w:p>
        </w:tc>
        <w:tc>
          <w:tcPr>
            <w:tcW w:w="8492" w:type="dxa"/>
          </w:tcPr>
          <w:p w14:paraId="7EBB49DF" w14:textId="77777777" w:rsidR="000731D8" w:rsidRPr="008D7D7C" w:rsidRDefault="00F176E4" w:rsidP="00942976">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lastRenderedPageBreak/>
              <w:t>La mise en œuvre de cette recommandation doit se faire au niveau du Secteur de la culture.</w:t>
            </w:r>
          </w:p>
          <w:p w14:paraId="68705DCA" w14:textId="60B4B77D" w:rsidR="008342E6" w:rsidRPr="008D7D7C" w:rsidRDefault="008342E6" w:rsidP="008342E6">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 xml:space="preserve">Le Groupe de liaisons des conventions culturelles, rassemblant les secrétaires des six conventions culturelles et les hauts responsables du Secteur de la culture, se </w:t>
            </w:r>
            <w:r w:rsidRPr="008D7D7C">
              <w:rPr>
                <w:rFonts w:ascii="Arial" w:hAnsi="Arial" w:cs="Arial"/>
                <w:snapToGrid w:val="0"/>
                <w:sz w:val="22"/>
                <w:szCs w:val="22"/>
              </w:rPr>
              <w:lastRenderedPageBreak/>
              <w:t>réunit régulièrement pour partager des informations. Des sous-groupes sur différents sujets (rapports périodiques, assistance internationale, etc.) partagent également des ressources et des méthodologies.</w:t>
            </w:r>
          </w:p>
        </w:tc>
      </w:tr>
      <w:tr w:rsidR="000731D8" w:rsidRPr="00C366C0" w14:paraId="3048CA4B" w14:textId="77777777" w:rsidTr="006575A1">
        <w:tc>
          <w:tcPr>
            <w:tcW w:w="6068" w:type="dxa"/>
          </w:tcPr>
          <w:p w14:paraId="728D6843" w14:textId="5E856F44" w:rsidR="000731D8" w:rsidRPr="008D7D7C" w:rsidRDefault="000731D8" w:rsidP="00E863FC">
            <w:pPr>
              <w:pStyle w:val="ListParagraph"/>
              <w:numPr>
                <w:ilvl w:val="0"/>
                <w:numId w:val="51"/>
              </w:numPr>
              <w:spacing w:after="120"/>
              <w:ind w:left="567" w:hanging="567"/>
              <w:contextualSpacing w:val="0"/>
              <w:jc w:val="both"/>
              <w:rPr>
                <w:rFonts w:ascii="Arial" w:hAnsi="Arial" w:cs="Arial"/>
                <w:snapToGrid w:val="0"/>
                <w:sz w:val="22"/>
                <w:szCs w:val="22"/>
              </w:rPr>
            </w:pPr>
            <w:r w:rsidRPr="008D7D7C">
              <w:rPr>
                <w:rFonts w:ascii="Arial" w:hAnsi="Arial" w:cs="Arial"/>
                <w:snapToGrid w:val="0"/>
                <w:sz w:val="22"/>
                <w:szCs w:val="22"/>
              </w:rPr>
              <w:lastRenderedPageBreak/>
              <w:t>Les mesures de transparence et de reddition de comptes pourraient être améliorées, notamment la diffusion des procès-verbaux/principaux résultats des réunions des bureaux.</w:t>
            </w:r>
          </w:p>
          <w:p w14:paraId="2E4339EF" w14:textId="6F7704E2" w:rsidR="00BD4F21" w:rsidRPr="008D7D7C" w:rsidRDefault="00BD4F21" w:rsidP="006575A1">
            <w:pPr>
              <w:spacing w:after="120"/>
              <w:rPr>
                <w:rFonts w:ascii="Arial" w:hAnsi="Arial" w:cs="Arial"/>
                <w:snapToGrid w:val="0"/>
                <w:sz w:val="22"/>
                <w:szCs w:val="22"/>
              </w:rPr>
            </w:pPr>
            <w:r w:rsidRPr="008D7D7C">
              <w:rPr>
                <w:rFonts w:ascii="Arial" w:hAnsi="Arial" w:cs="Arial"/>
                <w:b/>
                <w:bCs/>
                <w:snapToGrid w:val="0"/>
                <w:sz w:val="22"/>
                <w:szCs w:val="22"/>
              </w:rPr>
              <w:t>Mise en œuvre achevée</w:t>
            </w:r>
            <w:r w:rsidRPr="008D7D7C">
              <w:rPr>
                <w:rFonts w:ascii="Arial" w:hAnsi="Arial" w:cs="Arial"/>
                <w:b/>
                <w:bCs/>
                <w:sz w:val="22"/>
                <w:szCs w:val="22"/>
              </w:rPr>
              <w:br/>
            </w:r>
            <w:r w:rsidRPr="008D7D7C">
              <w:rPr>
                <w:rFonts w:ascii="Arial" w:hAnsi="Arial" w:cs="Arial"/>
                <w:b/>
                <w:bCs/>
                <w:snapToGrid w:val="0"/>
                <w:sz w:val="22"/>
                <w:szCs w:val="22"/>
              </w:rPr>
              <w:t>(Bonne pratique)</w:t>
            </w:r>
          </w:p>
        </w:tc>
        <w:tc>
          <w:tcPr>
            <w:tcW w:w="8492" w:type="dxa"/>
          </w:tcPr>
          <w:p w14:paraId="6412620F" w14:textId="3C89BAA8" w:rsidR="000731D8" w:rsidRPr="008D7D7C" w:rsidRDefault="00AB4356" w:rsidP="00C366C0">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Voir la recommandation 69</w:t>
            </w:r>
          </w:p>
        </w:tc>
      </w:tr>
      <w:tr w:rsidR="000731D8" w:rsidRPr="002D3E8F" w14:paraId="462CBA4B" w14:textId="77777777" w:rsidTr="006575A1">
        <w:tc>
          <w:tcPr>
            <w:tcW w:w="6068" w:type="dxa"/>
          </w:tcPr>
          <w:p w14:paraId="1890AD44" w14:textId="761D62EA" w:rsidR="000731D8" w:rsidRPr="008D7D7C" w:rsidRDefault="000731D8" w:rsidP="00E863FC">
            <w:pPr>
              <w:pStyle w:val="ListParagraph"/>
              <w:numPr>
                <w:ilvl w:val="0"/>
                <w:numId w:val="51"/>
              </w:numPr>
              <w:spacing w:after="120"/>
              <w:ind w:left="562" w:hanging="562"/>
              <w:contextualSpacing w:val="0"/>
              <w:jc w:val="both"/>
              <w:rPr>
                <w:rFonts w:ascii="Arial" w:hAnsi="Arial" w:cs="Arial"/>
                <w:snapToGrid w:val="0"/>
                <w:sz w:val="22"/>
                <w:szCs w:val="22"/>
              </w:rPr>
            </w:pPr>
            <w:r w:rsidRPr="008D7D7C">
              <w:rPr>
                <w:rFonts w:ascii="Arial" w:hAnsi="Arial" w:cs="Arial"/>
                <w:snapToGrid w:val="0"/>
                <w:sz w:val="22"/>
                <w:szCs w:val="22"/>
              </w:rPr>
              <w:t>Le renforcement des capacités et la formation commune à toutes les conventions culturelles devraient être améliorés.</w:t>
            </w:r>
          </w:p>
          <w:p w14:paraId="738567D9" w14:textId="44918896" w:rsidR="00BD4F21" w:rsidRPr="008D7D7C" w:rsidRDefault="00430698" w:rsidP="006575A1">
            <w:pPr>
              <w:spacing w:after="120"/>
              <w:rPr>
                <w:rFonts w:ascii="Arial" w:hAnsi="Arial" w:cs="Arial"/>
                <w:snapToGrid w:val="0"/>
                <w:sz w:val="22"/>
                <w:szCs w:val="22"/>
              </w:rPr>
            </w:pPr>
            <w:r w:rsidRPr="008D7D7C">
              <w:rPr>
                <w:rFonts w:ascii="Arial" w:hAnsi="Arial" w:cs="Arial"/>
                <w:b/>
                <w:bCs/>
                <w:sz w:val="22"/>
                <w:szCs w:val="22"/>
              </w:rPr>
              <w:t>Action en cours</w:t>
            </w:r>
            <w:r w:rsidRPr="008D7D7C">
              <w:rPr>
                <w:rFonts w:ascii="Arial" w:hAnsi="Arial" w:cs="Arial"/>
                <w:b/>
                <w:bCs/>
                <w:sz w:val="22"/>
                <w:szCs w:val="22"/>
              </w:rPr>
              <w:br/>
            </w:r>
            <w:r w:rsidRPr="008D7D7C">
              <w:rPr>
                <w:rFonts w:ascii="Arial" w:hAnsi="Arial" w:cs="Arial"/>
                <w:b/>
                <w:bCs/>
                <w:snapToGrid w:val="0"/>
                <w:sz w:val="22"/>
                <w:szCs w:val="22"/>
              </w:rPr>
              <w:t>(Bonne pratique)</w:t>
            </w:r>
          </w:p>
        </w:tc>
        <w:tc>
          <w:tcPr>
            <w:tcW w:w="8492" w:type="dxa"/>
          </w:tcPr>
          <w:p w14:paraId="224CBD0A" w14:textId="2440FB1B" w:rsidR="00873330" w:rsidRPr="008D7D7C" w:rsidRDefault="002E4D9A" w:rsidP="007761A8">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Dans le cadre du programme global de renforcement des capacités initié par le Secrétariat en 2009, une série d</w:t>
            </w:r>
            <w:r w:rsidR="006575A1" w:rsidRPr="008D7D7C">
              <w:rPr>
                <w:rFonts w:ascii="Arial" w:hAnsi="Arial" w:cs="Arial"/>
                <w:snapToGrid w:val="0"/>
                <w:sz w:val="22"/>
                <w:szCs w:val="22"/>
              </w:rPr>
              <w:t>’</w:t>
            </w:r>
            <w:r w:rsidRPr="008D7D7C">
              <w:rPr>
                <w:rFonts w:ascii="Arial" w:hAnsi="Arial" w:cs="Arial"/>
                <w:snapToGrid w:val="0"/>
                <w:sz w:val="22"/>
                <w:szCs w:val="22"/>
              </w:rPr>
              <w:t>outils prévus à cette fin a été élaborée. Ces outils abordent des thèmes tels que l</w:t>
            </w:r>
            <w:r w:rsidR="006575A1" w:rsidRPr="008D7D7C">
              <w:rPr>
                <w:rFonts w:ascii="Arial" w:hAnsi="Arial" w:cs="Arial"/>
                <w:snapToGrid w:val="0"/>
                <w:sz w:val="22"/>
                <w:szCs w:val="22"/>
              </w:rPr>
              <w:t>’</w:t>
            </w:r>
            <w:r w:rsidRPr="008D7D7C">
              <w:rPr>
                <w:rFonts w:ascii="Arial" w:hAnsi="Arial" w:cs="Arial"/>
                <w:snapToGrid w:val="0"/>
                <w:sz w:val="22"/>
                <w:szCs w:val="22"/>
              </w:rPr>
              <w:t>UNESCO et ses conventions sur la culture et le patrimoine, en comparant les Conventions de 2003, 1972 et 2005.</w:t>
            </w:r>
          </w:p>
          <w:p w14:paraId="5FEDF068" w14:textId="2758D8F4" w:rsidR="000731D8" w:rsidRPr="008D7D7C" w:rsidRDefault="00115B16" w:rsidP="008F2E45">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Néanmoins, ils n</w:t>
            </w:r>
            <w:r w:rsidR="006575A1" w:rsidRPr="008D7D7C">
              <w:rPr>
                <w:rFonts w:ascii="Arial" w:hAnsi="Arial" w:cs="Arial"/>
                <w:snapToGrid w:val="0"/>
                <w:sz w:val="22"/>
                <w:szCs w:val="22"/>
              </w:rPr>
              <w:t>’</w:t>
            </w:r>
            <w:r w:rsidRPr="008D7D7C">
              <w:rPr>
                <w:rFonts w:ascii="Arial" w:hAnsi="Arial" w:cs="Arial"/>
                <w:snapToGrid w:val="0"/>
                <w:sz w:val="22"/>
                <w:szCs w:val="22"/>
              </w:rPr>
              <w:t>ont pas été mis à jour depuis 2015 à cause de contraintes budgétaires. Il convient de noter que la mise en œuvre du programme global de renforcement des capacités de la Convention de 2003 est fortement tributaire du budget tiré du Fonds du patrimoine culturel immatériel et alloué aux « autres fonctions du Comité » ; ainsi que des contributions volontaires supplémentaires et des Fonds-en-dépôt.</w:t>
            </w:r>
          </w:p>
        </w:tc>
      </w:tr>
      <w:tr w:rsidR="000731D8" w:rsidRPr="002D3E8F" w14:paraId="2BED19E4" w14:textId="77777777" w:rsidTr="006575A1">
        <w:tc>
          <w:tcPr>
            <w:tcW w:w="6068" w:type="dxa"/>
          </w:tcPr>
          <w:p w14:paraId="24F221CF" w14:textId="63228C3D" w:rsidR="000731D8" w:rsidRPr="008D7D7C" w:rsidRDefault="000731D8" w:rsidP="00E863FC">
            <w:pPr>
              <w:pStyle w:val="ListParagraph"/>
              <w:numPr>
                <w:ilvl w:val="0"/>
                <w:numId w:val="51"/>
              </w:numPr>
              <w:spacing w:after="120"/>
              <w:ind w:left="562" w:hanging="562"/>
              <w:contextualSpacing w:val="0"/>
              <w:jc w:val="both"/>
              <w:rPr>
                <w:rFonts w:ascii="Arial" w:hAnsi="Arial" w:cs="Arial"/>
                <w:snapToGrid w:val="0"/>
                <w:sz w:val="22"/>
                <w:szCs w:val="22"/>
              </w:rPr>
            </w:pPr>
            <w:r w:rsidRPr="008D7D7C">
              <w:rPr>
                <w:rFonts w:ascii="Arial" w:hAnsi="Arial" w:cs="Arial"/>
                <w:snapToGrid w:val="0"/>
                <w:sz w:val="22"/>
                <w:szCs w:val="22"/>
              </w:rPr>
              <w:t>Les organes directeurs des conventions et leurs secrétariats sont encouragés à élaborer des stratégies de ratification adaptées.</w:t>
            </w:r>
          </w:p>
          <w:p w14:paraId="3CF3BA65" w14:textId="5BDD56F8" w:rsidR="00BD4F21" w:rsidRPr="008D7D7C" w:rsidRDefault="00BD4F21" w:rsidP="00E863FC">
            <w:pPr>
              <w:spacing w:after="120"/>
              <w:jc w:val="both"/>
              <w:rPr>
                <w:rFonts w:ascii="Arial" w:hAnsi="Arial" w:cs="Arial"/>
                <w:snapToGrid w:val="0"/>
                <w:sz w:val="22"/>
                <w:szCs w:val="22"/>
              </w:rPr>
            </w:pPr>
            <w:r w:rsidRPr="008D7D7C">
              <w:rPr>
                <w:rFonts w:ascii="Arial" w:hAnsi="Arial" w:cs="Arial"/>
                <w:b/>
                <w:bCs/>
                <w:snapToGrid w:val="0"/>
                <w:sz w:val="22"/>
                <w:szCs w:val="22"/>
              </w:rPr>
              <w:t>Mise en œuvre achevée</w:t>
            </w:r>
          </w:p>
        </w:tc>
        <w:tc>
          <w:tcPr>
            <w:tcW w:w="8492" w:type="dxa"/>
          </w:tcPr>
          <w:p w14:paraId="6D4284CA" w14:textId="2C341F17" w:rsidR="000731D8" w:rsidRPr="008D7D7C" w:rsidRDefault="00BD4F21">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t>Le travail du Secrétariat en la matière porte ses fruits. Il inclut par exemple l</w:t>
            </w:r>
            <w:r w:rsidR="006575A1" w:rsidRPr="008D7D7C">
              <w:rPr>
                <w:rFonts w:ascii="Arial" w:hAnsi="Arial" w:cs="Arial"/>
                <w:snapToGrid w:val="0"/>
                <w:sz w:val="22"/>
                <w:szCs w:val="22"/>
              </w:rPr>
              <w:t>’</w:t>
            </w:r>
            <w:r w:rsidRPr="008D7D7C">
              <w:rPr>
                <w:rFonts w:ascii="Arial" w:hAnsi="Arial" w:cs="Arial"/>
                <w:snapToGrid w:val="0"/>
                <w:sz w:val="22"/>
                <w:szCs w:val="22"/>
              </w:rPr>
              <w:t>élaboration d</w:t>
            </w:r>
            <w:r w:rsidR="006575A1" w:rsidRPr="008D7D7C">
              <w:rPr>
                <w:rFonts w:ascii="Arial" w:hAnsi="Arial" w:cs="Arial"/>
                <w:snapToGrid w:val="0"/>
                <w:sz w:val="22"/>
                <w:szCs w:val="22"/>
              </w:rPr>
              <w:t>’</w:t>
            </w:r>
            <w:r w:rsidRPr="008D7D7C">
              <w:rPr>
                <w:rFonts w:ascii="Arial" w:hAnsi="Arial" w:cs="Arial"/>
                <w:snapToGrid w:val="0"/>
                <w:sz w:val="22"/>
                <w:szCs w:val="22"/>
              </w:rPr>
              <w:t>outils de renforcement des capacités sur les ratifications et l</w:t>
            </w:r>
            <w:r w:rsidR="006575A1" w:rsidRPr="008D7D7C">
              <w:rPr>
                <w:rFonts w:ascii="Arial" w:hAnsi="Arial" w:cs="Arial"/>
                <w:snapToGrid w:val="0"/>
                <w:sz w:val="22"/>
                <w:szCs w:val="22"/>
              </w:rPr>
              <w:t>’</w:t>
            </w:r>
            <w:r w:rsidRPr="008D7D7C">
              <w:rPr>
                <w:rFonts w:ascii="Arial" w:hAnsi="Arial" w:cs="Arial"/>
                <w:snapToGrid w:val="0"/>
                <w:sz w:val="22"/>
                <w:szCs w:val="22"/>
              </w:rPr>
              <w:t>organisation d</w:t>
            </w:r>
            <w:r w:rsidR="006575A1" w:rsidRPr="008D7D7C">
              <w:rPr>
                <w:rFonts w:ascii="Arial" w:hAnsi="Arial" w:cs="Arial"/>
                <w:snapToGrid w:val="0"/>
                <w:sz w:val="22"/>
                <w:szCs w:val="22"/>
              </w:rPr>
              <w:t>’</w:t>
            </w:r>
            <w:r w:rsidRPr="008D7D7C">
              <w:rPr>
                <w:rFonts w:ascii="Arial" w:hAnsi="Arial" w:cs="Arial"/>
                <w:snapToGrid w:val="0"/>
                <w:sz w:val="22"/>
                <w:szCs w:val="22"/>
              </w:rPr>
              <w:t>ateliers sur ce sujet ; ainsi que le soutien apporté par des agents régionaux de la Section du patrimoine culturel immatériel aux États qui ne sont pas parties à la Convention. La ratification de la Convention de 2003 est presque universelle, puisque cette dernière compte à la date de rédaction du présent document 177 États parties.</w:t>
            </w:r>
          </w:p>
        </w:tc>
      </w:tr>
      <w:tr w:rsidR="00933FA6" w:rsidRPr="002D3E8F" w14:paraId="573FDF72" w14:textId="2115B9B3" w:rsidTr="006575A1">
        <w:trPr>
          <w:trHeight w:val="340"/>
        </w:trPr>
        <w:tc>
          <w:tcPr>
            <w:tcW w:w="14560" w:type="dxa"/>
            <w:gridSpan w:val="2"/>
            <w:tcBorders>
              <w:right w:val="single" w:sz="4" w:space="0" w:color="auto"/>
            </w:tcBorders>
            <w:shd w:val="clear" w:color="auto" w:fill="F2F2F2" w:themeFill="background1" w:themeFillShade="F2"/>
            <w:vAlign w:val="center"/>
          </w:tcPr>
          <w:p w14:paraId="5981DBCC" w14:textId="474CA165" w:rsidR="00933FA6" w:rsidRPr="008D7D7C" w:rsidRDefault="00933FA6" w:rsidP="00E863FC">
            <w:pPr>
              <w:keepNext/>
              <w:rPr>
                <w:rFonts w:ascii="Arial" w:hAnsi="Arial" w:cs="Arial"/>
                <w:b/>
                <w:snapToGrid w:val="0"/>
                <w:sz w:val="22"/>
                <w:szCs w:val="22"/>
              </w:rPr>
            </w:pPr>
            <w:r w:rsidRPr="008D7D7C">
              <w:rPr>
                <w:rFonts w:ascii="Arial" w:hAnsi="Arial" w:cs="Arial"/>
                <w:b/>
                <w:snapToGrid w:val="0"/>
                <w:sz w:val="22"/>
                <w:szCs w:val="22"/>
              </w:rPr>
              <w:t>Convention pour la sauvegarde du patrimoine culturel immatériel (2003)</w:t>
            </w:r>
          </w:p>
        </w:tc>
      </w:tr>
      <w:tr w:rsidR="000731D8" w:rsidRPr="00B077E8" w14:paraId="2478D748" w14:textId="77777777" w:rsidTr="006575A1">
        <w:tc>
          <w:tcPr>
            <w:tcW w:w="6068" w:type="dxa"/>
          </w:tcPr>
          <w:p w14:paraId="3E0F38FF" w14:textId="7EBD7BF7" w:rsidR="000731D8" w:rsidRPr="008D7D7C" w:rsidRDefault="000731D8" w:rsidP="000731D8">
            <w:pPr>
              <w:spacing w:after="120"/>
              <w:ind w:left="567" w:hanging="567"/>
              <w:jc w:val="both"/>
              <w:rPr>
                <w:rFonts w:ascii="Arial" w:hAnsi="Arial" w:cs="Arial"/>
                <w:snapToGrid w:val="0"/>
                <w:sz w:val="22"/>
                <w:szCs w:val="22"/>
              </w:rPr>
            </w:pPr>
            <w:r w:rsidRPr="008D7D7C">
              <w:rPr>
                <w:rFonts w:ascii="Arial" w:hAnsi="Arial" w:cs="Arial"/>
                <w:snapToGrid w:val="0"/>
                <w:sz w:val="22"/>
                <w:szCs w:val="22"/>
              </w:rPr>
              <w:t>107.</w:t>
            </w:r>
            <w:r w:rsidRPr="008D7D7C">
              <w:rPr>
                <w:rFonts w:ascii="Arial" w:hAnsi="Arial" w:cs="Arial"/>
                <w:snapToGrid w:val="0"/>
                <w:sz w:val="22"/>
                <w:szCs w:val="22"/>
              </w:rPr>
              <w:tab/>
              <w:t>Les procédures décisionnelles et la crédibilité du Comité doivent être renforcées, compte dûment tenu du Groupe de travail ad hoc constitué pour traiter ces questions.</w:t>
            </w:r>
          </w:p>
          <w:p w14:paraId="486C068F" w14:textId="4632A7C7" w:rsidR="00BD4F21" w:rsidRPr="008D7D7C" w:rsidRDefault="002E5D2C" w:rsidP="00D05226">
            <w:pPr>
              <w:spacing w:after="120"/>
              <w:jc w:val="both"/>
              <w:rPr>
                <w:rFonts w:ascii="Arial" w:hAnsi="Arial" w:cs="Arial"/>
                <w:snapToGrid w:val="0"/>
                <w:sz w:val="22"/>
                <w:szCs w:val="22"/>
              </w:rPr>
            </w:pPr>
            <w:r w:rsidRPr="008D7D7C">
              <w:rPr>
                <w:rFonts w:ascii="Arial" w:hAnsi="Arial" w:cs="Arial"/>
                <w:b/>
                <w:bCs/>
                <w:sz w:val="22"/>
                <w:szCs w:val="22"/>
              </w:rPr>
              <w:lastRenderedPageBreak/>
              <w:t>Action nécessaire des États parties</w:t>
            </w:r>
          </w:p>
        </w:tc>
        <w:tc>
          <w:tcPr>
            <w:tcW w:w="8492" w:type="dxa"/>
            <w:tcBorders>
              <w:right w:val="single" w:sz="4" w:space="0" w:color="auto"/>
            </w:tcBorders>
          </w:tcPr>
          <w:p w14:paraId="7344763C" w14:textId="5AAA592A" w:rsidR="000731D8" w:rsidRPr="008D7D7C" w:rsidRDefault="000D3153" w:rsidP="00521857">
            <w:pPr>
              <w:pStyle w:val="ListParagraph"/>
              <w:numPr>
                <w:ilvl w:val="0"/>
                <w:numId w:val="25"/>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lastRenderedPageBreak/>
              <w:t>Voir la recommandation 60</w:t>
            </w:r>
          </w:p>
        </w:tc>
      </w:tr>
    </w:tbl>
    <w:p w14:paraId="764CBA7D" w14:textId="77777777" w:rsidR="003E5477" w:rsidRDefault="003E5477" w:rsidP="0039210A">
      <w:pPr>
        <w:rPr>
          <w:rFonts w:ascii="Arial" w:hAnsi="Arial" w:cs="Arial"/>
          <w:snapToGrid w:val="0"/>
          <w:sz w:val="22"/>
          <w:szCs w:val="22"/>
          <w:lang w:val="en-GB" w:eastAsia="en-US"/>
        </w:rPr>
      </w:pPr>
    </w:p>
    <w:sectPr w:rsidR="003E5477" w:rsidSect="005014EA">
      <w:headerReference w:type="first" r:id="rId45"/>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0B7A" w14:textId="77777777" w:rsidR="00C5708C" w:rsidRDefault="00C5708C" w:rsidP="00655736">
      <w:r>
        <w:separator/>
      </w:r>
    </w:p>
  </w:endnote>
  <w:endnote w:type="continuationSeparator" w:id="0">
    <w:p w14:paraId="7340D996" w14:textId="77777777" w:rsidR="00C5708C" w:rsidRDefault="00C5708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571B6" w14:textId="77777777" w:rsidR="00C5708C" w:rsidRDefault="00C5708C" w:rsidP="00655736">
      <w:r>
        <w:separator/>
      </w:r>
    </w:p>
  </w:footnote>
  <w:footnote w:type="continuationSeparator" w:id="0">
    <w:p w14:paraId="4DEF7221" w14:textId="77777777" w:rsidR="00C5708C" w:rsidRDefault="00C5708C" w:rsidP="00655736">
      <w:r>
        <w:continuationSeparator/>
      </w:r>
    </w:p>
  </w:footnote>
  <w:footnote w:id="1">
    <w:p w14:paraId="563DA432" w14:textId="07261040" w:rsidR="005E7C9F" w:rsidRPr="00E863FC" w:rsidRDefault="005E7C9F" w:rsidP="00F03762">
      <w:pPr>
        <w:pStyle w:val="FootnoteText"/>
        <w:ind w:left="567" w:hanging="567"/>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szCs w:val="18"/>
        </w:rPr>
        <w:t xml:space="preserve">. </w:t>
      </w:r>
      <w:r>
        <w:rPr>
          <w:rFonts w:asciiTheme="minorBidi" w:hAnsiTheme="minorBidi"/>
          <w:sz w:val="18"/>
          <w:szCs w:val="18"/>
        </w:rPr>
        <w:tab/>
        <w:t>Commission de la Conférence générale chargée de l</w:t>
      </w:r>
      <w:r w:rsidR="006575A1">
        <w:rPr>
          <w:rFonts w:asciiTheme="minorBidi" w:hAnsiTheme="minorBidi"/>
          <w:sz w:val="18"/>
          <w:szCs w:val="18"/>
        </w:rPr>
        <w:t>’</w:t>
      </w:r>
      <w:r>
        <w:rPr>
          <w:rFonts w:asciiTheme="minorBidi" w:hAnsiTheme="minorBidi"/>
          <w:sz w:val="18"/>
          <w:szCs w:val="18"/>
        </w:rPr>
        <w:t>administration et des questions générales, du soutien du programme et des relations extérieures.</w:t>
      </w:r>
    </w:p>
  </w:footnote>
  <w:footnote w:id="2">
    <w:p w14:paraId="33D139C3" w14:textId="56F1230A" w:rsidR="005E7C9F" w:rsidRPr="006409D7" w:rsidRDefault="005E7C9F" w:rsidP="006409D7">
      <w:pPr>
        <w:pStyle w:val="FootnoteText"/>
        <w:tabs>
          <w:tab w:val="left" w:pos="567"/>
        </w:tabs>
        <w:ind w:left="567" w:hanging="567"/>
        <w:rPr>
          <w:rFonts w:ascii="Arial" w:eastAsiaTheme="minorEastAsia" w:hAnsi="Arial" w:cs="Arial"/>
          <w:sz w:val="18"/>
          <w:szCs w:val="18"/>
        </w:rPr>
      </w:pPr>
      <w:r>
        <w:rPr>
          <w:rStyle w:val="FootnoteReference"/>
          <w:rFonts w:ascii="Arial" w:hAnsi="Arial" w:cs="Arial"/>
          <w:sz w:val="18"/>
          <w:szCs w:val="18"/>
          <w:vertAlign w:val="baseline"/>
        </w:rPr>
        <w:footnoteRef/>
      </w:r>
      <w:r>
        <w:rPr>
          <w:rFonts w:ascii="Arial" w:hAnsi="Arial"/>
          <w:sz w:val="18"/>
          <w:szCs w:val="18"/>
        </w:rPr>
        <w:t xml:space="preserve">. </w:t>
      </w:r>
      <w:r>
        <w:rPr>
          <w:rFonts w:ascii="Arial" w:hAnsi="Arial"/>
          <w:sz w:val="18"/>
          <w:szCs w:val="18"/>
        </w:rPr>
        <w:tab/>
        <w:t>Pour voir l</w:t>
      </w:r>
      <w:r w:rsidR="006575A1">
        <w:rPr>
          <w:rFonts w:ascii="Arial" w:hAnsi="Arial"/>
          <w:sz w:val="18"/>
          <w:szCs w:val="18"/>
        </w:rPr>
        <w:t>’</w:t>
      </w:r>
      <w:r>
        <w:rPr>
          <w:rFonts w:ascii="Arial" w:hAnsi="Arial"/>
          <w:sz w:val="18"/>
          <w:szCs w:val="18"/>
        </w:rPr>
        <w:t>ensemble des recommandations, y compris la Partie 1 concernant les organes directeurs de l</w:t>
      </w:r>
      <w:r w:rsidR="006575A1">
        <w:rPr>
          <w:rFonts w:ascii="Arial" w:hAnsi="Arial"/>
          <w:sz w:val="18"/>
          <w:szCs w:val="18"/>
        </w:rPr>
        <w:t>’</w:t>
      </w:r>
      <w:r>
        <w:rPr>
          <w:rFonts w:ascii="Arial" w:hAnsi="Arial"/>
          <w:sz w:val="18"/>
          <w:szCs w:val="18"/>
        </w:rPr>
        <w:t>UNESCO (Conférence générale et Conseil exécutif, consultez les documents 39 C/20 (</w:t>
      </w:r>
      <w:hyperlink r:id="rId1" w:history="1">
        <w:r>
          <w:rPr>
            <w:rStyle w:val="Hyperlink"/>
            <w:rFonts w:ascii="Arial" w:hAnsi="Arial"/>
            <w:sz w:val="18"/>
            <w:szCs w:val="18"/>
          </w:rPr>
          <w:t>http://unesdoc.unesco.org/images/0025/002590/259081f.pdf</w:t>
        </w:r>
      </w:hyperlink>
      <w:r>
        <w:rPr>
          <w:rFonts w:ascii="Arial" w:hAnsi="Arial"/>
          <w:sz w:val="18"/>
          <w:szCs w:val="18"/>
        </w:rPr>
        <w:t>) et 39 C/70 (</w:t>
      </w:r>
      <w:hyperlink r:id="rId2" w:history="1">
        <w:r>
          <w:rPr>
            <w:rStyle w:val="Hyperlink"/>
            <w:rFonts w:ascii="Arial" w:hAnsi="Arial"/>
            <w:sz w:val="18"/>
            <w:szCs w:val="18"/>
          </w:rPr>
          <w:t>http://unesdoc.unesco.org/images/0026/002600/260089f.pdf</w:t>
        </w:r>
      </w:hyperlink>
      <w:r>
        <w:rPr>
          <w:rStyle w:val="Hyperlink"/>
          <w:rFonts w:ascii="Arial" w:hAnsi="Arial"/>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E8C4" w14:textId="616A3166" w:rsidR="005E7C9F" w:rsidRPr="00C23A97" w:rsidRDefault="005E7C9F">
    <w:pPr>
      <w:pStyle w:val="Header"/>
      <w:rPr>
        <w:rFonts w:ascii="Arial" w:hAnsi="Arial" w:cs="Arial"/>
      </w:rPr>
    </w:pPr>
    <w:r>
      <w:rPr>
        <w:rFonts w:ascii="Arial" w:hAnsi="Arial"/>
        <w:sz w:val="20"/>
        <w:szCs w:val="20"/>
      </w:rPr>
      <w:t xml:space="preserve">ITH/18/7.GA/12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8D7D7C">
      <w:rPr>
        <w:rStyle w:val="PageNumber"/>
        <w:rFonts w:ascii="Arial" w:hAnsi="Arial" w:cs="Arial"/>
        <w:noProof/>
        <w:sz w:val="20"/>
        <w:szCs w:val="20"/>
      </w:rPr>
      <w:t>10</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B77" w14:textId="07D623BB" w:rsidR="005E7C9F" w:rsidRPr="0063300C" w:rsidRDefault="005E7C9F" w:rsidP="0063300C">
    <w:pPr>
      <w:pStyle w:val="Header"/>
      <w:jc w:val="right"/>
      <w:rPr>
        <w:rFonts w:ascii="Arial" w:hAnsi="Arial" w:cs="Arial"/>
      </w:rPr>
    </w:pPr>
    <w:r>
      <w:rPr>
        <w:rFonts w:ascii="Arial" w:hAnsi="Arial"/>
        <w:sz w:val="20"/>
        <w:szCs w:val="20"/>
      </w:rPr>
      <w:t xml:space="preserve">ITH/18/7.GA/12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8D7D7C">
      <w:rPr>
        <w:rStyle w:val="PageNumber"/>
        <w:rFonts w:ascii="Arial" w:hAnsi="Arial" w:cs="Arial"/>
        <w:noProof/>
        <w:sz w:val="20"/>
        <w:szCs w:val="20"/>
      </w:rPr>
      <w:t>9</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5BFC" w14:textId="1F1EA6AA" w:rsidR="005E7C9F" w:rsidRPr="008724E5" w:rsidRDefault="00427AA8">
    <w:pPr>
      <w:pStyle w:val="Header"/>
    </w:pPr>
    <w:r>
      <w:rPr>
        <w:noProof/>
        <w:lang w:val="en-US" w:eastAsia="ko-KR"/>
      </w:rPr>
      <w:drawing>
        <wp:anchor distT="0" distB="0" distL="114300" distR="114300" simplePos="0" relativeHeight="251659776" behindDoc="0" locked="0" layoutInCell="1" allowOverlap="1" wp14:anchorId="75EC8DBD" wp14:editId="0EB90673">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4B2FA" w14:textId="77777777" w:rsidR="005E7C9F" w:rsidRPr="00C23A97" w:rsidRDefault="005E7C9F" w:rsidP="00655736">
    <w:pPr>
      <w:pStyle w:val="Header"/>
      <w:spacing w:after="520"/>
      <w:jc w:val="right"/>
      <w:rPr>
        <w:rFonts w:ascii="Arial" w:hAnsi="Arial" w:cs="Arial"/>
        <w:b/>
        <w:sz w:val="44"/>
        <w:szCs w:val="44"/>
      </w:rPr>
    </w:pPr>
    <w:r>
      <w:rPr>
        <w:rFonts w:ascii="Arial" w:hAnsi="Arial"/>
        <w:b/>
        <w:sz w:val="44"/>
        <w:szCs w:val="44"/>
      </w:rPr>
      <w:t>7 GA</w:t>
    </w:r>
  </w:p>
  <w:p w14:paraId="71231841" w14:textId="77777777" w:rsidR="005E7C9F" w:rsidRPr="00C23A97" w:rsidRDefault="005E7C9F" w:rsidP="00655736">
    <w:pPr>
      <w:jc w:val="right"/>
      <w:rPr>
        <w:rFonts w:ascii="Arial" w:hAnsi="Arial" w:cs="Arial"/>
        <w:b/>
        <w:sz w:val="22"/>
        <w:szCs w:val="22"/>
      </w:rPr>
    </w:pPr>
    <w:r>
      <w:rPr>
        <w:rFonts w:ascii="Arial" w:hAnsi="Arial"/>
        <w:b/>
        <w:sz w:val="22"/>
        <w:szCs w:val="22"/>
      </w:rPr>
      <w:t>ITH/18/7.GA/12</w:t>
    </w:r>
  </w:p>
  <w:p w14:paraId="6A666421" w14:textId="6A5F925B" w:rsidR="005E7C9F" w:rsidRPr="00C23A97" w:rsidRDefault="005E7C9F" w:rsidP="006575A1">
    <w:pPr>
      <w:jc w:val="right"/>
      <w:rPr>
        <w:rFonts w:ascii="Arial" w:hAnsi="Arial" w:cs="Arial"/>
        <w:b/>
        <w:sz w:val="22"/>
        <w:szCs w:val="22"/>
      </w:rPr>
    </w:pPr>
    <w:r>
      <w:rPr>
        <w:rFonts w:ascii="Arial" w:hAnsi="Arial"/>
        <w:b/>
        <w:sz w:val="22"/>
        <w:szCs w:val="22"/>
      </w:rPr>
      <w:t xml:space="preserve">Paris, </w:t>
    </w:r>
    <w:r w:rsidR="005D74DF">
      <w:rPr>
        <w:rFonts w:ascii="Arial" w:hAnsi="Arial"/>
        <w:b/>
        <w:sz w:val="22"/>
        <w:szCs w:val="22"/>
      </w:rPr>
      <w:t xml:space="preserve">le </w:t>
    </w:r>
    <w:r w:rsidR="006575A1">
      <w:rPr>
        <w:rFonts w:ascii="Arial" w:hAnsi="Arial"/>
        <w:b/>
        <w:sz w:val="22"/>
        <w:szCs w:val="22"/>
      </w:rPr>
      <w:t>4 mai</w:t>
    </w:r>
    <w:r>
      <w:rPr>
        <w:rFonts w:ascii="Arial" w:hAnsi="Arial"/>
        <w:b/>
        <w:sz w:val="22"/>
        <w:szCs w:val="22"/>
      </w:rPr>
      <w:t xml:space="preserve"> 2018</w:t>
    </w:r>
  </w:p>
  <w:p w14:paraId="751C4331" w14:textId="77777777" w:rsidR="005E7C9F" w:rsidRDefault="005E7C9F" w:rsidP="00703FBF">
    <w:pPr>
      <w:jc w:val="right"/>
      <w:rPr>
        <w:rFonts w:ascii="Arial" w:hAnsi="Arial" w:cs="Arial"/>
        <w:b/>
        <w:sz w:val="22"/>
        <w:szCs w:val="22"/>
      </w:rPr>
    </w:pPr>
    <w:r>
      <w:rPr>
        <w:rFonts w:ascii="Arial" w:hAnsi="Arial"/>
        <w:b/>
        <w:sz w:val="22"/>
        <w:szCs w:val="22"/>
      </w:rPr>
      <w:t>Original : anglais</w:t>
    </w:r>
  </w:p>
  <w:p w14:paraId="584A9CA5" w14:textId="77777777" w:rsidR="005E7C9F" w:rsidRPr="008D7D7C" w:rsidRDefault="005E7C9F" w:rsidP="00540FE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1A30" w14:textId="77777777" w:rsidR="005E7C9F" w:rsidRPr="008724E5" w:rsidRDefault="005E7C9F">
    <w:pPr>
      <w:pStyle w:val="Header"/>
    </w:pPr>
    <w:r>
      <w:rPr>
        <w:noProof/>
        <w:lang w:val="en-US" w:eastAsia="ko-KR"/>
      </w:rPr>
      <w:drawing>
        <wp:anchor distT="0" distB="0" distL="114300" distR="114300" simplePos="0" relativeHeight="251657728" behindDoc="0" locked="0" layoutInCell="1" allowOverlap="1" wp14:anchorId="6F60993F" wp14:editId="67E3F6BA">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80B9" w14:textId="77777777" w:rsidR="005E7C9F" w:rsidRPr="00C23A97" w:rsidRDefault="005E7C9F" w:rsidP="00655736">
    <w:pPr>
      <w:pStyle w:val="Header"/>
      <w:spacing w:after="520"/>
      <w:jc w:val="right"/>
      <w:rPr>
        <w:rFonts w:ascii="Arial" w:hAnsi="Arial" w:cs="Arial"/>
        <w:b/>
        <w:sz w:val="44"/>
        <w:szCs w:val="44"/>
      </w:rPr>
    </w:pPr>
    <w:r>
      <w:rPr>
        <w:rFonts w:ascii="Arial" w:hAnsi="Arial"/>
        <w:b/>
        <w:sz w:val="44"/>
        <w:szCs w:val="44"/>
      </w:rPr>
      <w:t>7 GA</w:t>
    </w:r>
  </w:p>
  <w:p w14:paraId="69011883" w14:textId="77777777" w:rsidR="005E7C9F" w:rsidRPr="00C23A97" w:rsidRDefault="005E7C9F" w:rsidP="00655736">
    <w:pPr>
      <w:jc w:val="right"/>
      <w:rPr>
        <w:rFonts w:ascii="Arial" w:hAnsi="Arial" w:cs="Arial"/>
        <w:b/>
        <w:sz w:val="22"/>
        <w:szCs w:val="22"/>
      </w:rPr>
    </w:pPr>
    <w:r>
      <w:rPr>
        <w:rFonts w:ascii="Arial" w:hAnsi="Arial"/>
        <w:b/>
        <w:sz w:val="22"/>
        <w:szCs w:val="22"/>
      </w:rPr>
      <w:t>ITH/18/7.GA/12</w:t>
    </w:r>
  </w:p>
  <w:p w14:paraId="6A165B97" w14:textId="77777777" w:rsidR="005E7C9F" w:rsidRPr="00C23A97" w:rsidRDefault="005E7C9F" w:rsidP="00655736">
    <w:pPr>
      <w:jc w:val="right"/>
      <w:rPr>
        <w:rFonts w:ascii="Arial" w:hAnsi="Arial" w:cs="Arial"/>
        <w:b/>
        <w:sz w:val="22"/>
        <w:szCs w:val="22"/>
      </w:rPr>
    </w:pPr>
    <w:r>
      <w:rPr>
        <w:rFonts w:ascii="Arial" w:hAnsi="Arial"/>
        <w:b/>
        <w:sz w:val="22"/>
        <w:szCs w:val="22"/>
      </w:rPr>
      <w:t xml:space="preserve">Paris, </w:t>
    </w:r>
    <w:r>
      <w:rPr>
        <w:rFonts w:ascii="Arial" w:hAnsi="Arial"/>
        <w:b/>
        <w:sz w:val="22"/>
        <w:szCs w:val="22"/>
        <w:highlight w:val="yellow"/>
      </w:rPr>
      <w:t xml:space="preserve">xxx </w:t>
    </w:r>
    <w:proofErr w:type="spellStart"/>
    <w:r>
      <w:rPr>
        <w:rFonts w:ascii="Arial" w:hAnsi="Arial"/>
        <w:b/>
        <w:sz w:val="22"/>
        <w:szCs w:val="22"/>
        <w:highlight w:val="yellow"/>
      </w:rPr>
      <w:t>xxx</w:t>
    </w:r>
    <w:proofErr w:type="spellEnd"/>
    <w:r>
      <w:rPr>
        <w:rFonts w:ascii="Arial" w:hAnsi="Arial"/>
        <w:b/>
        <w:sz w:val="22"/>
        <w:szCs w:val="22"/>
      </w:rPr>
      <w:t xml:space="preserve"> 2018</w:t>
    </w:r>
  </w:p>
  <w:p w14:paraId="76C48F50" w14:textId="77777777" w:rsidR="005E7C9F" w:rsidRDefault="005E7C9F" w:rsidP="00703FBF">
    <w:pPr>
      <w:jc w:val="right"/>
      <w:rPr>
        <w:rFonts w:ascii="Arial" w:hAnsi="Arial" w:cs="Arial"/>
        <w:b/>
        <w:sz w:val="22"/>
        <w:szCs w:val="22"/>
      </w:rPr>
    </w:pPr>
    <w:r>
      <w:rPr>
        <w:rFonts w:ascii="Arial" w:hAnsi="Arial"/>
        <w:b/>
        <w:sz w:val="22"/>
        <w:szCs w:val="22"/>
      </w:rPr>
      <w:t>Original : anglais</w:t>
    </w:r>
  </w:p>
  <w:p w14:paraId="6DBAD9A2" w14:textId="77777777" w:rsidR="005E7C9F" w:rsidRPr="00C23A97" w:rsidRDefault="005E7C9F" w:rsidP="00540FE0">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6390" w:hanging="360"/>
      </w:pPr>
      <w:rPr>
        <w:rFonts w:hint="default"/>
      </w:rPr>
    </w:lvl>
    <w:lvl w:ilvl="1" w:tplc="04090019">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03D77D21"/>
    <w:multiLevelType w:val="multilevel"/>
    <w:tmpl w:val="741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40C61"/>
    <w:multiLevelType w:val="hybridMultilevel"/>
    <w:tmpl w:val="1B8AD21A"/>
    <w:lvl w:ilvl="0" w:tplc="7FB23842">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C6981"/>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A5BCF"/>
    <w:multiLevelType w:val="hybridMultilevel"/>
    <w:tmpl w:val="BF743752"/>
    <w:lvl w:ilvl="0" w:tplc="88103CC2">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0591453A"/>
    <w:multiLevelType w:val="hybridMultilevel"/>
    <w:tmpl w:val="EE9A456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6AA330C"/>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302DE1"/>
    <w:multiLevelType w:val="hybridMultilevel"/>
    <w:tmpl w:val="04825BAE"/>
    <w:lvl w:ilvl="0" w:tplc="3782FB6A">
      <w:start w:val="1"/>
      <w:numFmt w:val="decimal"/>
      <w:lvlText w:val="%1."/>
      <w:lvlJc w:val="left"/>
      <w:pPr>
        <w:ind w:left="360" w:hanging="360"/>
      </w:pPr>
      <w:rPr>
        <w:rFonts w:hint="default"/>
      </w:rPr>
    </w:lvl>
    <w:lvl w:ilvl="1" w:tplc="A5D42ED6">
      <w:start w:val="1"/>
      <w:numFmt w:val="lowerRoman"/>
      <w:lvlText w:val="%2)"/>
      <w:lvlJc w:val="left"/>
      <w:pPr>
        <w:ind w:left="1080" w:hanging="360"/>
      </w:pPr>
      <w:rPr>
        <w:rFonts w:ascii="Arial" w:eastAsia="Times New Roman" w:hAnsi="Arial" w:cs="Arial"/>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73B4378E">
      <w:start w:val="1"/>
      <w:numFmt w:val="lowerLetter"/>
      <w:lvlText w:val="(%7)"/>
      <w:lvlJc w:val="left"/>
      <w:pPr>
        <w:ind w:left="4680" w:hanging="360"/>
      </w:pPr>
      <w:rPr>
        <w:rFonts w:hint="default"/>
        <w:b w:val="0"/>
      </w:r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FE972E4"/>
    <w:multiLevelType w:val="hybridMultilevel"/>
    <w:tmpl w:val="D370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D5A5D"/>
    <w:multiLevelType w:val="hybridMultilevel"/>
    <w:tmpl w:val="18E69400"/>
    <w:lvl w:ilvl="0" w:tplc="6ABE797E">
      <w:start w:val="94"/>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16DE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22300"/>
    <w:multiLevelType w:val="hybridMultilevel"/>
    <w:tmpl w:val="D3E6C22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2AE55A97"/>
    <w:multiLevelType w:val="hybridMultilevel"/>
    <w:tmpl w:val="520C2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51875"/>
    <w:multiLevelType w:val="hybridMultilevel"/>
    <w:tmpl w:val="B2201524"/>
    <w:lvl w:ilvl="0" w:tplc="E92838C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B47C1"/>
    <w:multiLevelType w:val="hybridMultilevel"/>
    <w:tmpl w:val="18E69400"/>
    <w:lvl w:ilvl="0" w:tplc="6ABE797E">
      <w:start w:val="94"/>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C76A9"/>
    <w:multiLevelType w:val="hybridMultilevel"/>
    <w:tmpl w:val="3A5EB622"/>
    <w:lvl w:ilvl="0" w:tplc="2F540118">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348C20C8"/>
    <w:multiLevelType w:val="hybridMultilevel"/>
    <w:tmpl w:val="B2DE666C"/>
    <w:lvl w:ilvl="0" w:tplc="94AE5BA4">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5F09FE"/>
    <w:multiLevelType w:val="hybridMultilevel"/>
    <w:tmpl w:val="04C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EC3DB4"/>
    <w:multiLevelType w:val="hybridMultilevel"/>
    <w:tmpl w:val="A410694A"/>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7" w15:restartNumberingAfterBreak="0">
    <w:nsid w:val="42B27607"/>
    <w:multiLevelType w:val="hybridMultilevel"/>
    <w:tmpl w:val="4E9288F0"/>
    <w:lvl w:ilvl="0" w:tplc="83A264B0">
      <w:start w:val="1"/>
      <w:numFmt w:val="upperRoman"/>
      <w:lvlText w:val="%1."/>
      <w:lvlJc w:val="left"/>
      <w:pPr>
        <w:ind w:left="1080" w:hanging="720"/>
      </w:pPr>
      <w:rPr>
        <w:rFonts w:hint="default"/>
      </w:rPr>
    </w:lvl>
    <w:lvl w:ilvl="1" w:tplc="FACC0C5E">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61D47"/>
    <w:multiLevelType w:val="hybridMultilevel"/>
    <w:tmpl w:val="D360CBCA"/>
    <w:lvl w:ilvl="0" w:tplc="A3381420">
      <w:start w:val="78"/>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0" w15:restartNumberingAfterBreak="0">
    <w:nsid w:val="44FC31D6"/>
    <w:multiLevelType w:val="hybridMultilevel"/>
    <w:tmpl w:val="5E10097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47177D06"/>
    <w:multiLevelType w:val="hybridMultilevel"/>
    <w:tmpl w:val="34FABDEA"/>
    <w:lvl w:ilvl="0" w:tplc="84E82C4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D27CE"/>
    <w:multiLevelType w:val="hybridMultilevel"/>
    <w:tmpl w:val="493AC8B2"/>
    <w:lvl w:ilvl="0" w:tplc="545001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4A22308"/>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5A790D25"/>
    <w:multiLevelType w:val="hybridMultilevel"/>
    <w:tmpl w:val="C8842060"/>
    <w:lvl w:ilvl="0" w:tplc="BFCC9782">
      <w:start w:val="1"/>
      <w:numFmt w:val="decimal"/>
      <w:lvlText w:val="%1."/>
      <w:lvlJc w:val="left"/>
      <w:pPr>
        <w:ind w:left="567" w:hanging="567"/>
      </w:pPr>
      <w:rPr>
        <w:rFonts w:hint="default"/>
      </w:rPr>
    </w:lvl>
    <w:lvl w:ilvl="1" w:tplc="4B1A83FE">
      <w:start w:val="1"/>
      <w:numFmt w:val="lowerRoman"/>
      <w:lvlText w:val="%2."/>
      <w:lvlJc w:val="left"/>
      <w:pPr>
        <w:ind w:left="1440" w:hanging="360"/>
      </w:pPr>
      <w:rPr>
        <w:rFonts w:hint="default"/>
        <w:u w:color="000000" w:themeColor="text1"/>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0D758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B0BDF"/>
    <w:multiLevelType w:val="hybridMultilevel"/>
    <w:tmpl w:val="8392E63E"/>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9CA3193"/>
    <w:multiLevelType w:val="hybridMultilevel"/>
    <w:tmpl w:val="369C82DA"/>
    <w:lvl w:ilvl="0" w:tplc="0126783A">
      <w:start w:val="99"/>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D50F71"/>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756EDD"/>
    <w:multiLevelType w:val="hybridMultilevel"/>
    <w:tmpl w:val="884C7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8"/>
  </w:num>
  <w:num w:numId="4">
    <w:abstractNumId w:val="44"/>
  </w:num>
  <w:num w:numId="5">
    <w:abstractNumId w:val="40"/>
  </w:num>
  <w:num w:numId="6">
    <w:abstractNumId w:val="6"/>
  </w:num>
  <w:num w:numId="7">
    <w:abstractNumId w:val="9"/>
  </w:num>
  <w:num w:numId="8">
    <w:abstractNumId w:val="29"/>
  </w:num>
  <w:num w:numId="9">
    <w:abstractNumId w:val="20"/>
  </w:num>
  <w:num w:numId="10">
    <w:abstractNumId w:val="23"/>
  </w:num>
  <w:num w:numId="11">
    <w:abstractNumId w:val="26"/>
  </w:num>
  <w:num w:numId="12">
    <w:abstractNumId w:val="24"/>
  </w:num>
  <w:num w:numId="13">
    <w:abstractNumId w:val="42"/>
  </w:num>
  <w:num w:numId="14">
    <w:abstractNumId w:val="34"/>
  </w:num>
  <w:num w:numId="15">
    <w:abstractNumId w:val="35"/>
  </w:num>
  <w:num w:numId="16">
    <w:abstractNumId w:val="23"/>
  </w:num>
  <w:num w:numId="17">
    <w:abstractNumId w:val="23"/>
  </w:num>
  <w:num w:numId="18">
    <w:abstractNumId w:val="23"/>
  </w:num>
  <w:num w:numId="19">
    <w:abstractNumId w:val="0"/>
  </w:num>
  <w:num w:numId="20">
    <w:abstractNumId w:val="15"/>
  </w:num>
  <w:num w:numId="21">
    <w:abstractNumId w:val="19"/>
  </w:num>
  <w:num w:numId="22">
    <w:abstractNumId w:val="2"/>
  </w:num>
  <w:num w:numId="23">
    <w:abstractNumId w:val="25"/>
  </w:num>
  <w:num w:numId="24">
    <w:abstractNumId w:val="38"/>
  </w:num>
  <w:num w:numId="25">
    <w:abstractNumId w:val="16"/>
  </w:num>
  <w:num w:numId="26">
    <w:abstractNumId w:val="11"/>
  </w:num>
  <w:num w:numId="27">
    <w:abstractNumId w:val="43"/>
  </w:num>
  <w:num w:numId="28">
    <w:abstractNumId w:val="31"/>
  </w:num>
  <w:num w:numId="29">
    <w:abstractNumId w:val="17"/>
  </w:num>
  <w:num w:numId="30">
    <w:abstractNumId w:val="21"/>
  </w:num>
  <w:num w:numId="31">
    <w:abstractNumId w:val="18"/>
  </w:num>
  <w:num w:numId="32">
    <w:abstractNumId w:val="27"/>
  </w:num>
  <w:num w:numId="33">
    <w:abstractNumId w:val="45"/>
  </w:num>
  <w:num w:numId="34">
    <w:abstractNumId w:val="32"/>
  </w:num>
  <w:num w:numId="35">
    <w:abstractNumId w:val="1"/>
  </w:num>
  <w:num w:numId="36">
    <w:abstractNumId w:val="5"/>
  </w:num>
  <w:num w:numId="37">
    <w:abstractNumId w:val="30"/>
  </w:num>
  <w:num w:numId="38">
    <w:abstractNumId w:val="10"/>
  </w:num>
  <w:num w:numId="39">
    <w:abstractNumId w:val="20"/>
  </w:num>
  <w:num w:numId="40">
    <w:abstractNumId w:val="20"/>
  </w:num>
  <w:num w:numId="41">
    <w:abstractNumId w:val="20"/>
  </w:num>
  <w:num w:numId="42">
    <w:abstractNumId w:val="14"/>
  </w:num>
  <w:num w:numId="43">
    <w:abstractNumId w:val="4"/>
  </w:num>
  <w:num w:numId="44">
    <w:abstractNumId w:val="7"/>
  </w:num>
  <w:num w:numId="45">
    <w:abstractNumId w:val="33"/>
  </w:num>
  <w:num w:numId="46">
    <w:abstractNumId w:val="3"/>
  </w:num>
  <w:num w:numId="47">
    <w:abstractNumId w:val="37"/>
  </w:num>
  <w:num w:numId="48">
    <w:abstractNumId w:val="13"/>
  </w:num>
  <w:num w:numId="49">
    <w:abstractNumId w:val="28"/>
  </w:num>
  <w:num w:numId="50">
    <w:abstractNumId w:val="12"/>
  </w:num>
  <w:num w:numId="51">
    <w:abstractNumId w:val="41"/>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05E93"/>
    <w:rsid w:val="0000757E"/>
    <w:rsid w:val="00012A95"/>
    <w:rsid w:val="000143A7"/>
    <w:rsid w:val="000219E7"/>
    <w:rsid w:val="000226CE"/>
    <w:rsid w:val="00024625"/>
    <w:rsid w:val="00032287"/>
    <w:rsid w:val="00034918"/>
    <w:rsid w:val="00041A66"/>
    <w:rsid w:val="000479E7"/>
    <w:rsid w:val="0005176E"/>
    <w:rsid w:val="00051B28"/>
    <w:rsid w:val="00054D30"/>
    <w:rsid w:val="00056F9B"/>
    <w:rsid w:val="00057835"/>
    <w:rsid w:val="0006706B"/>
    <w:rsid w:val="00070BDA"/>
    <w:rsid w:val="00072A48"/>
    <w:rsid w:val="000731D8"/>
    <w:rsid w:val="0007621E"/>
    <w:rsid w:val="000765F7"/>
    <w:rsid w:val="00077AB7"/>
    <w:rsid w:val="00081CD8"/>
    <w:rsid w:val="00084FED"/>
    <w:rsid w:val="0008787B"/>
    <w:rsid w:val="000919A7"/>
    <w:rsid w:val="00091F54"/>
    <w:rsid w:val="00094819"/>
    <w:rsid w:val="000A24FB"/>
    <w:rsid w:val="000A5B5C"/>
    <w:rsid w:val="000A7F0E"/>
    <w:rsid w:val="000C0D61"/>
    <w:rsid w:val="000C314D"/>
    <w:rsid w:val="000C5CBA"/>
    <w:rsid w:val="000C7D58"/>
    <w:rsid w:val="000D3153"/>
    <w:rsid w:val="000D51B8"/>
    <w:rsid w:val="000E6BA7"/>
    <w:rsid w:val="000F3A3F"/>
    <w:rsid w:val="000F3C6B"/>
    <w:rsid w:val="000F480C"/>
    <w:rsid w:val="000F74D6"/>
    <w:rsid w:val="000F7512"/>
    <w:rsid w:val="0010019E"/>
    <w:rsid w:val="001004A9"/>
    <w:rsid w:val="00102557"/>
    <w:rsid w:val="00115B16"/>
    <w:rsid w:val="00134502"/>
    <w:rsid w:val="0013676F"/>
    <w:rsid w:val="00150549"/>
    <w:rsid w:val="00151F6B"/>
    <w:rsid w:val="00153A6E"/>
    <w:rsid w:val="00164D56"/>
    <w:rsid w:val="00167B10"/>
    <w:rsid w:val="0017252E"/>
    <w:rsid w:val="00172908"/>
    <w:rsid w:val="00172C7D"/>
    <w:rsid w:val="0017402F"/>
    <w:rsid w:val="00175DBD"/>
    <w:rsid w:val="00176720"/>
    <w:rsid w:val="00177F1F"/>
    <w:rsid w:val="001838C2"/>
    <w:rsid w:val="001926EA"/>
    <w:rsid w:val="00192B7D"/>
    <w:rsid w:val="001946E2"/>
    <w:rsid w:val="00196C1B"/>
    <w:rsid w:val="001B0F73"/>
    <w:rsid w:val="001B2AAF"/>
    <w:rsid w:val="001C61CA"/>
    <w:rsid w:val="001C7887"/>
    <w:rsid w:val="001D0184"/>
    <w:rsid w:val="001D48B2"/>
    <w:rsid w:val="001D5C04"/>
    <w:rsid w:val="001D614E"/>
    <w:rsid w:val="001D6575"/>
    <w:rsid w:val="001E2ED8"/>
    <w:rsid w:val="001E37CA"/>
    <w:rsid w:val="001F1B91"/>
    <w:rsid w:val="001F33E5"/>
    <w:rsid w:val="001F7A33"/>
    <w:rsid w:val="00200127"/>
    <w:rsid w:val="00202B04"/>
    <w:rsid w:val="0020585E"/>
    <w:rsid w:val="00207559"/>
    <w:rsid w:val="0021437D"/>
    <w:rsid w:val="00222A2D"/>
    <w:rsid w:val="00223029"/>
    <w:rsid w:val="00224913"/>
    <w:rsid w:val="00225FFF"/>
    <w:rsid w:val="00231F74"/>
    <w:rsid w:val="00233974"/>
    <w:rsid w:val="00234745"/>
    <w:rsid w:val="002351A2"/>
    <w:rsid w:val="00237D23"/>
    <w:rsid w:val="002407AF"/>
    <w:rsid w:val="00240ADE"/>
    <w:rsid w:val="00243886"/>
    <w:rsid w:val="0024648A"/>
    <w:rsid w:val="0024696E"/>
    <w:rsid w:val="00266BE8"/>
    <w:rsid w:val="00267B26"/>
    <w:rsid w:val="002815AE"/>
    <w:rsid w:val="00284DA7"/>
    <w:rsid w:val="002871BF"/>
    <w:rsid w:val="00293521"/>
    <w:rsid w:val="00293BAB"/>
    <w:rsid w:val="002977D5"/>
    <w:rsid w:val="002A01D7"/>
    <w:rsid w:val="002A4134"/>
    <w:rsid w:val="002B3B53"/>
    <w:rsid w:val="002C09E3"/>
    <w:rsid w:val="002C4D86"/>
    <w:rsid w:val="002D3E8F"/>
    <w:rsid w:val="002E3F8B"/>
    <w:rsid w:val="002E4D9A"/>
    <w:rsid w:val="002E4FD0"/>
    <w:rsid w:val="002E5D2C"/>
    <w:rsid w:val="002F312A"/>
    <w:rsid w:val="003009F0"/>
    <w:rsid w:val="00314BA6"/>
    <w:rsid w:val="00314DE6"/>
    <w:rsid w:val="00317E48"/>
    <w:rsid w:val="0032240D"/>
    <w:rsid w:val="0032339D"/>
    <w:rsid w:val="0032565D"/>
    <w:rsid w:val="003258BE"/>
    <w:rsid w:val="00327CFF"/>
    <w:rsid w:val="00332ACD"/>
    <w:rsid w:val="00332F4D"/>
    <w:rsid w:val="00333D58"/>
    <w:rsid w:val="00345210"/>
    <w:rsid w:val="00345CB4"/>
    <w:rsid w:val="00350EBE"/>
    <w:rsid w:val="0035158E"/>
    <w:rsid w:val="003549B8"/>
    <w:rsid w:val="00356465"/>
    <w:rsid w:val="003709E0"/>
    <w:rsid w:val="00385E13"/>
    <w:rsid w:val="0039210A"/>
    <w:rsid w:val="0039292C"/>
    <w:rsid w:val="00393E96"/>
    <w:rsid w:val="00394AF0"/>
    <w:rsid w:val="003A44B3"/>
    <w:rsid w:val="003A70B0"/>
    <w:rsid w:val="003B18C7"/>
    <w:rsid w:val="003B52E4"/>
    <w:rsid w:val="003B64C4"/>
    <w:rsid w:val="003C1452"/>
    <w:rsid w:val="003D069C"/>
    <w:rsid w:val="003D7646"/>
    <w:rsid w:val="003E5477"/>
    <w:rsid w:val="003E54B9"/>
    <w:rsid w:val="003E6BB6"/>
    <w:rsid w:val="003F113A"/>
    <w:rsid w:val="003F274A"/>
    <w:rsid w:val="003F4A6B"/>
    <w:rsid w:val="00402006"/>
    <w:rsid w:val="00414643"/>
    <w:rsid w:val="00427AA8"/>
    <w:rsid w:val="00430698"/>
    <w:rsid w:val="0043099C"/>
    <w:rsid w:val="00434DC0"/>
    <w:rsid w:val="004372BB"/>
    <w:rsid w:val="00440BD9"/>
    <w:rsid w:val="004421E5"/>
    <w:rsid w:val="004466FA"/>
    <w:rsid w:val="00452284"/>
    <w:rsid w:val="00472AC3"/>
    <w:rsid w:val="00474F64"/>
    <w:rsid w:val="004808F2"/>
    <w:rsid w:val="0048116E"/>
    <w:rsid w:val="004856CA"/>
    <w:rsid w:val="00487CEB"/>
    <w:rsid w:val="0049025A"/>
    <w:rsid w:val="00492463"/>
    <w:rsid w:val="00495B42"/>
    <w:rsid w:val="0049705E"/>
    <w:rsid w:val="004973A2"/>
    <w:rsid w:val="004A2243"/>
    <w:rsid w:val="004A34A0"/>
    <w:rsid w:val="004A65F7"/>
    <w:rsid w:val="004A6E0D"/>
    <w:rsid w:val="004B2387"/>
    <w:rsid w:val="004B3ED0"/>
    <w:rsid w:val="004C3212"/>
    <w:rsid w:val="004E3926"/>
    <w:rsid w:val="004F08F0"/>
    <w:rsid w:val="004F4A54"/>
    <w:rsid w:val="005014EA"/>
    <w:rsid w:val="00502B58"/>
    <w:rsid w:val="0050450D"/>
    <w:rsid w:val="00506643"/>
    <w:rsid w:val="005067DC"/>
    <w:rsid w:val="00511D7B"/>
    <w:rsid w:val="00521857"/>
    <w:rsid w:val="00522B11"/>
    <w:rsid w:val="00526B7B"/>
    <w:rsid w:val="005279D6"/>
    <w:rsid w:val="005308CE"/>
    <w:rsid w:val="0053274D"/>
    <w:rsid w:val="0053475A"/>
    <w:rsid w:val="005351A7"/>
    <w:rsid w:val="00540FE0"/>
    <w:rsid w:val="005439C3"/>
    <w:rsid w:val="00546F87"/>
    <w:rsid w:val="0055728A"/>
    <w:rsid w:val="00557814"/>
    <w:rsid w:val="00560D70"/>
    <w:rsid w:val="00564237"/>
    <w:rsid w:val="0057439C"/>
    <w:rsid w:val="0057577D"/>
    <w:rsid w:val="005846A7"/>
    <w:rsid w:val="00586044"/>
    <w:rsid w:val="005907DB"/>
    <w:rsid w:val="00590927"/>
    <w:rsid w:val="0059634B"/>
    <w:rsid w:val="005A6681"/>
    <w:rsid w:val="005A6CA8"/>
    <w:rsid w:val="005A7163"/>
    <w:rsid w:val="005B0127"/>
    <w:rsid w:val="005B7A35"/>
    <w:rsid w:val="005C4B73"/>
    <w:rsid w:val="005C6123"/>
    <w:rsid w:val="005D0D53"/>
    <w:rsid w:val="005D63EB"/>
    <w:rsid w:val="005D74DF"/>
    <w:rsid w:val="005E0EF2"/>
    <w:rsid w:val="005E1D2B"/>
    <w:rsid w:val="005E7C9F"/>
    <w:rsid w:val="005E7EEF"/>
    <w:rsid w:val="005F0152"/>
    <w:rsid w:val="005F3287"/>
    <w:rsid w:val="005F74CB"/>
    <w:rsid w:val="0060063B"/>
    <w:rsid w:val="00600D93"/>
    <w:rsid w:val="00602CE1"/>
    <w:rsid w:val="006076CA"/>
    <w:rsid w:val="00616342"/>
    <w:rsid w:val="00630847"/>
    <w:rsid w:val="0063300C"/>
    <w:rsid w:val="006409D7"/>
    <w:rsid w:val="00650A7B"/>
    <w:rsid w:val="006510F8"/>
    <w:rsid w:val="006514B6"/>
    <w:rsid w:val="00654913"/>
    <w:rsid w:val="00654AEB"/>
    <w:rsid w:val="00655736"/>
    <w:rsid w:val="00656FDF"/>
    <w:rsid w:val="006575A1"/>
    <w:rsid w:val="00660A1E"/>
    <w:rsid w:val="00663B8D"/>
    <w:rsid w:val="00667DF0"/>
    <w:rsid w:val="00676AA7"/>
    <w:rsid w:val="00676B89"/>
    <w:rsid w:val="006818F7"/>
    <w:rsid w:val="00685AEB"/>
    <w:rsid w:val="0068695E"/>
    <w:rsid w:val="00687013"/>
    <w:rsid w:val="0069182D"/>
    <w:rsid w:val="00694B07"/>
    <w:rsid w:val="00696C8D"/>
    <w:rsid w:val="006A2AC2"/>
    <w:rsid w:val="006A30D2"/>
    <w:rsid w:val="006A3617"/>
    <w:rsid w:val="006A5EE0"/>
    <w:rsid w:val="006B2A86"/>
    <w:rsid w:val="006C2414"/>
    <w:rsid w:val="006C4D90"/>
    <w:rsid w:val="006C5DAE"/>
    <w:rsid w:val="006C62AB"/>
    <w:rsid w:val="006D0B24"/>
    <w:rsid w:val="006D47D5"/>
    <w:rsid w:val="006E46E4"/>
    <w:rsid w:val="006F1376"/>
    <w:rsid w:val="00703FBF"/>
    <w:rsid w:val="00712A21"/>
    <w:rsid w:val="00717DA5"/>
    <w:rsid w:val="00724FCC"/>
    <w:rsid w:val="00726750"/>
    <w:rsid w:val="00733D15"/>
    <w:rsid w:val="00744484"/>
    <w:rsid w:val="007523AD"/>
    <w:rsid w:val="00756432"/>
    <w:rsid w:val="00757C19"/>
    <w:rsid w:val="007605AB"/>
    <w:rsid w:val="00763A0D"/>
    <w:rsid w:val="00773188"/>
    <w:rsid w:val="007761A8"/>
    <w:rsid w:val="007800B8"/>
    <w:rsid w:val="007827EF"/>
    <w:rsid w:val="00782CC6"/>
    <w:rsid w:val="00783782"/>
    <w:rsid w:val="00784B8C"/>
    <w:rsid w:val="00786127"/>
    <w:rsid w:val="00787803"/>
    <w:rsid w:val="007A01DE"/>
    <w:rsid w:val="007A3175"/>
    <w:rsid w:val="007B08D1"/>
    <w:rsid w:val="007B3FC8"/>
    <w:rsid w:val="007B55A4"/>
    <w:rsid w:val="007C4A86"/>
    <w:rsid w:val="007C7C54"/>
    <w:rsid w:val="007D0088"/>
    <w:rsid w:val="007D40DE"/>
    <w:rsid w:val="007D7E6F"/>
    <w:rsid w:val="007E554E"/>
    <w:rsid w:val="007E77D5"/>
    <w:rsid w:val="007E79EE"/>
    <w:rsid w:val="007F6386"/>
    <w:rsid w:val="00811513"/>
    <w:rsid w:val="0081269B"/>
    <w:rsid w:val="008226B8"/>
    <w:rsid w:val="00823A11"/>
    <w:rsid w:val="00830DD1"/>
    <w:rsid w:val="00831DDC"/>
    <w:rsid w:val="00832F46"/>
    <w:rsid w:val="008342E6"/>
    <w:rsid w:val="00836CF8"/>
    <w:rsid w:val="008475CD"/>
    <w:rsid w:val="00852866"/>
    <w:rsid w:val="0085414A"/>
    <w:rsid w:val="0086269D"/>
    <w:rsid w:val="00862F2D"/>
    <w:rsid w:val="0086543A"/>
    <w:rsid w:val="00870B7E"/>
    <w:rsid w:val="008724E5"/>
    <w:rsid w:val="00873330"/>
    <w:rsid w:val="00874122"/>
    <w:rsid w:val="00882AFB"/>
    <w:rsid w:val="00883219"/>
    <w:rsid w:val="00884A9D"/>
    <w:rsid w:val="008850A2"/>
    <w:rsid w:val="0088512B"/>
    <w:rsid w:val="00885F9F"/>
    <w:rsid w:val="00890388"/>
    <w:rsid w:val="008948AA"/>
    <w:rsid w:val="00895E59"/>
    <w:rsid w:val="008A1ED4"/>
    <w:rsid w:val="008A2B2D"/>
    <w:rsid w:val="008A38C0"/>
    <w:rsid w:val="008A4E1E"/>
    <w:rsid w:val="008A6D5E"/>
    <w:rsid w:val="008B774F"/>
    <w:rsid w:val="008C296C"/>
    <w:rsid w:val="008C2B82"/>
    <w:rsid w:val="008C2C5A"/>
    <w:rsid w:val="008D4305"/>
    <w:rsid w:val="008D7D7C"/>
    <w:rsid w:val="008E3DAB"/>
    <w:rsid w:val="008F2E45"/>
    <w:rsid w:val="00904849"/>
    <w:rsid w:val="0090735B"/>
    <w:rsid w:val="009163A7"/>
    <w:rsid w:val="009245D7"/>
    <w:rsid w:val="00927AE1"/>
    <w:rsid w:val="00932CF6"/>
    <w:rsid w:val="00933FA6"/>
    <w:rsid w:val="00940C8E"/>
    <w:rsid w:val="00942976"/>
    <w:rsid w:val="00946D0B"/>
    <w:rsid w:val="00953D37"/>
    <w:rsid w:val="00956905"/>
    <w:rsid w:val="009617DB"/>
    <w:rsid w:val="009622F9"/>
    <w:rsid w:val="00971538"/>
    <w:rsid w:val="00974F9A"/>
    <w:rsid w:val="00983F92"/>
    <w:rsid w:val="00985ABE"/>
    <w:rsid w:val="00985C4C"/>
    <w:rsid w:val="0098665A"/>
    <w:rsid w:val="00994D65"/>
    <w:rsid w:val="0099561B"/>
    <w:rsid w:val="009A0242"/>
    <w:rsid w:val="009A18CD"/>
    <w:rsid w:val="009C1DD2"/>
    <w:rsid w:val="009C623D"/>
    <w:rsid w:val="009C7AA7"/>
    <w:rsid w:val="009D5B5D"/>
    <w:rsid w:val="009E27CF"/>
    <w:rsid w:val="009E5BD6"/>
    <w:rsid w:val="009F2E64"/>
    <w:rsid w:val="00A01ABF"/>
    <w:rsid w:val="00A0263B"/>
    <w:rsid w:val="00A06C93"/>
    <w:rsid w:val="00A10856"/>
    <w:rsid w:val="00A109B1"/>
    <w:rsid w:val="00A11380"/>
    <w:rsid w:val="00A12558"/>
    <w:rsid w:val="00A13903"/>
    <w:rsid w:val="00A161CA"/>
    <w:rsid w:val="00A2406C"/>
    <w:rsid w:val="00A27A83"/>
    <w:rsid w:val="00A3155B"/>
    <w:rsid w:val="00A34ED5"/>
    <w:rsid w:val="00A35371"/>
    <w:rsid w:val="00A423CF"/>
    <w:rsid w:val="00A43722"/>
    <w:rsid w:val="00A45DBF"/>
    <w:rsid w:val="00A47ED3"/>
    <w:rsid w:val="00A551CC"/>
    <w:rsid w:val="00A645DF"/>
    <w:rsid w:val="00A65C29"/>
    <w:rsid w:val="00A65D4D"/>
    <w:rsid w:val="00A7341F"/>
    <w:rsid w:val="00A74635"/>
    <w:rsid w:val="00A755A2"/>
    <w:rsid w:val="00A91958"/>
    <w:rsid w:val="00AA3F1C"/>
    <w:rsid w:val="00AA6660"/>
    <w:rsid w:val="00AA773D"/>
    <w:rsid w:val="00AB2C36"/>
    <w:rsid w:val="00AB4356"/>
    <w:rsid w:val="00AB70B6"/>
    <w:rsid w:val="00AC743E"/>
    <w:rsid w:val="00AD1A86"/>
    <w:rsid w:val="00AD6BFD"/>
    <w:rsid w:val="00AD7DF3"/>
    <w:rsid w:val="00AE103E"/>
    <w:rsid w:val="00AE6F0F"/>
    <w:rsid w:val="00AF0A07"/>
    <w:rsid w:val="00AF4772"/>
    <w:rsid w:val="00AF4AEC"/>
    <w:rsid w:val="00AF625E"/>
    <w:rsid w:val="00B01276"/>
    <w:rsid w:val="00B017D7"/>
    <w:rsid w:val="00B077E8"/>
    <w:rsid w:val="00B13874"/>
    <w:rsid w:val="00B22132"/>
    <w:rsid w:val="00B23DDE"/>
    <w:rsid w:val="00B27AC9"/>
    <w:rsid w:val="00B3313E"/>
    <w:rsid w:val="00B44EF2"/>
    <w:rsid w:val="00B469A4"/>
    <w:rsid w:val="00B47C23"/>
    <w:rsid w:val="00B704BE"/>
    <w:rsid w:val="00B713A4"/>
    <w:rsid w:val="00B77D10"/>
    <w:rsid w:val="00B8203E"/>
    <w:rsid w:val="00B87C48"/>
    <w:rsid w:val="00B931A5"/>
    <w:rsid w:val="00B93258"/>
    <w:rsid w:val="00B95B6D"/>
    <w:rsid w:val="00B96B09"/>
    <w:rsid w:val="00BA2070"/>
    <w:rsid w:val="00BA3CD7"/>
    <w:rsid w:val="00BB04AF"/>
    <w:rsid w:val="00BB0DB8"/>
    <w:rsid w:val="00BB100E"/>
    <w:rsid w:val="00BB7C48"/>
    <w:rsid w:val="00BC3C61"/>
    <w:rsid w:val="00BD2F05"/>
    <w:rsid w:val="00BD3569"/>
    <w:rsid w:val="00BD4F21"/>
    <w:rsid w:val="00BD52C9"/>
    <w:rsid w:val="00BE171C"/>
    <w:rsid w:val="00BE1C34"/>
    <w:rsid w:val="00BE6354"/>
    <w:rsid w:val="00BF5721"/>
    <w:rsid w:val="00BF6BC8"/>
    <w:rsid w:val="00BF7498"/>
    <w:rsid w:val="00BF74DF"/>
    <w:rsid w:val="00C00295"/>
    <w:rsid w:val="00C07187"/>
    <w:rsid w:val="00C15340"/>
    <w:rsid w:val="00C16C1D"/>
    <w:rsid w:val="00C2060D"/>
    <w:rsid w:val="00C21D96"/>
    <w:rsid w:val="00C23A97"/>
    <w:rsid w:val="00C2777F"/>
    <w:rsid w:val="00C323C4"/>
    <w:rsid w:val="00C33CFC"/>
    <w:rsid w:val="00C34359"/>
    <w:rsid w:val="00C34E09"/>
    <w:rsid w:val="00C3600B"/>
    <w:rsid w:val="00C366C0"/>
    <w:rsid w:val="00C366E0"/>
    <w:rsid w:val="00C37439"/>
    <w:rsid w:val="00C42C66"/>
    <w:rsid w:val="00C44022"/>
    <w:rsid w:val="00C5708C"/>
    <w:rsid w:val="00C60062"/>
    <w:rsid w:val="00C70EA7"/>
    <w:rsid w:val="00C74750"/>
    <w:rsid w:val="00C7516E"/>
    <w:rsid w:val="00C75770"/>
    <w:rsid w:val="00C83606"/>
    <w:rsid w:val="00C94D3E"/>
    <w:rsid w:val="00C94ED0"/>
    <w:rsid w:val="00C953C7"/>
    <w:rsid w:val="00C97904"/>
    <w:rsid w:val="00CA506D"/>
    <w:rsid w:val="00CB3D16"/>
    <w:rsid w:val="00CB411F"/>
    <w:rsid w:val="00CB6C5E"/>
    <w:rsid w:val="00CC681B"/>
    <w:rsid w:val="00CD3525"/>
    <w:rsid w:val="00CD656E"/>
    <w:rsid w:val="00CE06EA"/>
    <w:rsid w:val="00CE116C"/>
    <w:rsid w:val="00CE20D3"/>
    <w:rsid w:val="00CE4BB6"/>
    <w:rsid w:val="00CF24B0"/>
    <w:rsid w:val="00CF5509"/>
    <w:rsid w:val="00CF7588"/>
    <w:rsid w:val="00CF7B5B"/>
    <w:rsid w:val="00D00B2B"/>
    <w:rsid w:val="00D05226"/>
    <w:rsid w:val="00D17447"/>
    <w:rsid w:val="00D22B9C"/>
    <w:rsid w:val="00D23B25"/>
    <w:rsid w:val="00D24877"/>
    <w:rsid w:val="00D24F5C"/>
    <w:rsid w:val="00D2636E"/>
    <w:rsid w:val="00D32912"/>
    <w:rsid w:val="00D362D2"/>
    <w:rsid w:val="00D407A1"/>
    <w:rsid w:val="00D40FB0"/>
    <w:rsid w:val="00D41264"/>
    <w:rsid w:val="00D41C8B"/>
    <w:rsid w:val="00D5224C"/>
    <w:rsid w:val="00D850C0"/>
    <w:rsid w:val="00D90B61"/>
    <w:rsid w:val="00D946EA"/>
    <w:rsid w:val="00D95C4C"/>
    <w:rsid w:val="00DA0D08"/>
    <w:rsid w:val="00DA367A"/>
    <w:rsid w:val="00DA36ED"/>
    <w:rsid w:val="00DA58CF"/>
    <w:rsid w:val="00DB6135"/>
    <w:rsid w:val="00DC1D6C"/>
    <w:rsid w:val="00DD3C8D"/>
    <w:rsid w:val="00DD6989"/>
    <w:rsid w:val="00DE08F6"/>
    <w:rsid w:val="00DE34F1"/>
    <w:rsid w:val="00DE3572"/>
    <w:rsid w:val="00DE6BBF"/>
    <w:rsid w:val="00DF4942"/>
    <w:rsid w:val="00DF4C21"/>
    <w:rsid w:val="00DF4C5D"/>
    <w:rsid w:val="00DF774C"/>
    <w:rsid w:val="00E0129A"/>
    <w:rsid w:val="00E01677"/>
    <w:rsid w:val="00E06797"/>
    <w:rsid w:val="00E07383"/>
    <w:rsid w:val="00E10161"/>
    <w:rsid w:val="00E17B63"/>
    <w:rsid w:val="00E26715"/>
    <w:rsid w:val="00E4188F"/>
    <w:rsid w:val="00E47991"/>
    <w:rsid w:val="00E53CA8"/>
    <w:rsid w:val="00E54F12"/>
    <w:rsid w:val="00E573EF"/>
    <w:rsid w:val="00E62745"/>
    <w:rsid w:val="00E627B1"/>
    <w:rsid w:val="00E72D6D"/>
    <w:rsid w:val="00E73513"/>
    <w:rsid w:val="00E81A0D"/>
    <w:rsid w:val="00E863FC"/>
    <w:rsid w:val="00E9376C"/>
    <w:rsid w:val="00E93E09"/>
    <w:rsid w:val="00E941FF"/>
    <w:rsid w:val="00EA2CEF"/>
    <w:rsid w:val="00EA31AF"/>
    <w:rsid w:val="00EA335E"/>
    <w:rsid w:val="00EA528C"/>
    <w:rsid w:val="00EB0EFD"/>
    <w:rsid w:val="00EB277E"/>
    <w:rsid w:val="00EC421B"/>
    <w:rsid w:val="00EC4A64"/>
    <w:rsid w:val="00ED0258"/>
    <w:rsid w:val="00EE27B3"/>
    <w:rsid w:val="00EE5C3C"/>
    <w:rsid w:val="00EF34E2"/>
    <w:rsid w:val="00EF3E35"/>
    <w:rsid w:val="00EF4F1F"/>
    <w:rsid w:val="00EF69E3"/>
    <w:rsid w:val="00F03762"/>
    <w:rsid w:val="00F078C7"/>
    <w:rsid w:val="00F121E9"/>
    <w:rsid w:val="00F176E4"/>
    <w:rsid w:val="00F20163"/>
    <w:rsid w:val="00F3284B"/>
    <w:rsid w:val="00F32C72"/>
    <w:rsid w:val="00F36A6B"/>
    <w:rsid w:val="00F37691"/>
    <w:rsid w:val="00F4462B"/>
    <w:rsid w:val="00F45586"/>
    <w:rsid w:val="00F53DE9"/>
    <w:rsid w:val="00F576CB"/>
    <w:rsid w:val="00F610B9"/>
    <w:rsid w:val="00F617CB"/>
    <w:rsid w:val="00F62597"/>
    <w:rsid w:val="00F62C44"/>
    <w:rsid w:val="00F63C14"/>
    <w:rsid w:val="00F71A02"/>
    <w:rsid w:val="00F96BDA"/>
    <w:rsid w:val="00F97655"/>
    <w:rsid w:val="00FA2121"/>
    <w:rsid w:val="00FA2176"/>
    <w:rsid w:val="00FA4E62"/>
    <w:rsid w:val="00FB0DBD"/>
    <w:rsid w:val="00FB24A1"/>
    <w:rsid w:val="00FB6630"/>
    <w:rsid w:val="00FC0138"/>
    <w:rsid w:val="00FC7CD7"/>
    <w:rsid w:val="00FD0FC2"/>
    <w:rsid w:val="00FD1226"/>
    <w:rsid w:val="00FD2856"/>
    <w:rsid w:val="00FD35EA"/>
    <w:rsid w:val="00FD37F9"/>
    <w:rsid w:val="00FD5847"/>
    <w:rsid w:val="00FE2205"/>
    <w:rsid w:val="00FE4A37"/>
    <w:rsid w:val="00FE5386"/>
    <w:rsid w:val="00FF08FD"/>
    <w:rsid w:val="00FF0DB1"/>
    <w:rsid w:val="00FF16B7"/>
    <w:rsid w:val="00FF4830"/>
    <w:rsid w:val="00FF4E2A"/>
    <w:rsid w:val="00FF627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1CB24F"/>
  <w15:docId w15:val="{F113A773-06E5-44F6-ADC9-2C1BCFF8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560D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890388"/>
    <w:rPr>
      <w:sz w:val="20"/>
      <w:szCs w:val="20"/>
    </w:rPr>
  </w:style>
  <w:style w:type="character" w:customStyle="1" w:styleId="FootnoteTextChar">
    <w:name w:val="Footnote Text Char"/>
    <w:basedOn w:val="DefaultParagraphFont"/>
    <w:link w:val="FootnoteText"/>
    <w:uiPriority w:val="99"/>
    <w:semiHidden/>
    <w:rsid w:val="00890388"/>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890388"/>
    <w:rPr>
      <w:vertAlign w:val="superscript"/>
    </w:rPr>
  </w:style>
  <w:style w:type="character" w:styleId="Hyperlink">
    <w:name w:val="Hyperlink"/>
    <w:basedOn w:val="DefaultParagraphFont"/>
    <w:uiPriority w:val="99"/>
    <w:unhideWhenUsed/>
    <w:rsid w:val="00890388"/>
    <w:rPr>
      <w:color w:val="0563C1" w:themeColor="hyperlink"/>
      <w:u w:val="single"/>
    </w:rPr>
  </w:style>
  <w:style w:type="character" w:styleId="CommentReference">
    <w:name w:val="annotation reference"/>
    <w:basedOn w:val="DefaultParagraphFont"/>
    <w:uiPriority w:val="99"/>
    <w:semiHidden/>
    <w:unhideWhenUsed/>
    <w:rsid w:val="004466FA"/>
    <w:rPr>
      <w:sz w:val="16"/>
      <w:szCs w:val="16"/>
    </w:rPr>
  </w:style>
  <w:style w:type="paragraph" w:styleId="CommentText">
    <w:name w:val="annotation text"/>
    <w:basedOn w:val="Normal"/>
    <w:link w:val="CommentTextChar"/>
    <w:uiPriority w:val="99"/>
    <w:semiHidden/>
    <w:unhideWhenUsed/>
    <w:rsid w:val="004466FA"/>
    <w:rPr>
      <w:sz w:val="20"/>
      <w:szCs w:val="20"/>
    </w:rPr>
  </w:style>
  <w:style w:type="character" w:customStyle="1" w:styleId="CommentTextChar">
    <w:name w:val="Comment Text Char"/>
    <w:basedOn w:val="DefaultParagraphFont"/>
    <w:link w:val="CommentText"/>
    <w:uiPriority w:val="99"/>
    <w:semiHidden/>
    <w:rsid w:val="004466FA"/>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4466FA"/>
    <w:rPr>
      <w:b/>
      <w:bCs/>
    </w:rPr>
  </w:style>
  <w:style w:type="character" w:customStyle="1" w:styleId="CommentSubjectChar">
    <w:name w:val="Comment Subject Char"/>
    <w:basedOn w:val="CommentTextChar"/>
    <w:link w:val="CommentSubject"/>
    <w:uiPriority w:val="99"/>
    <w:semiHidden/>
    <w:rsid w:val="004466FA"/>
    <w:rPr>
      <w:rFonts w:ascii="Times New Roman" w:eastAsia="Times New Roman" w:hAnsi="Times New Roman"/>
      <w:b/>
      <w:bCs/>
      <w:lang w:val="fr-FR" w:eastAsia="fr-FR"/>
    </w:rPr>
  </w:style>
  <w:style w:type="character" w:customStyle="1" w:styleId="Heading3Char">
    <w:name w:val="Heading 3 Char"/>
    <w:basedOn w:val="DefaultParagraphFont"/>
    <w:link w:val="Heading3"/>
    <w:uiPriority w:val="9"/>
    <w:semiHidden/>
    <w:rsid w:val="00560D70"/>
    <w:rPr>
      <w:rFonts w:asciiTheme="majorHAnsi" w:eastAsiaTheme="majorEastAsia" w:hAnsiTheme="majorHAnsi" w:cstheme="majorBidi"/>
      <w:color w:val="1F4D78" w:themeColor="accent1" w:themeShade="7F"/>
      <w:sz w:val="24"/>
      <w:szCs w:val="24"/>
      <w:lang w:val="fr-FR" w:eastAsia="fr-FR"/>
    </w:rPr>
  </w:style>
  <w:style w:type="character" w:styleId="FollowedHyperlink">
    <w:name w:val="FollowedHyperlink"/>
    <w:basedOn w:val="DefaultParagraphFont"/>
    <w:uiPriority w:val="99"/>
    <w:semiHidden/>
    <w:unhideWhenUsed/>
    <w:rsid w:val="00904849"/>
    <w:rPr>
      <w:color w:val="954F72" w:themeColor="followedHyperlink"/>
      <w:u w:val="single"/>
    </w:rPr>
  </w:style>
  <w:style w:type="paragraph" w:customStyle="1" w:styleId="COMPara">
    <w:name w:val="COM Para"/>
    <w:qFormat/>
    <w:rsid w:val="00024625"/>
    <w:pPr>
      <w:spacing w:after="120"/>
      <w:ind w:left="720" w:hanging="360"/>
    </w:pPr>
    <w:rPr>
      <w:rFonts w:ascii="Arial" w:eastAsia="Times New Roman" w:hAnsi="Arial" w:cs="Arial"/>
      <w:snapToGrid w:val="0"/>
      <w:sz w:val="22"/>
      <w:szCs w:val="22"/>
      <w:lang w:eastAsia="en-US"/>
    </w:rPr>
  </w:style>
  <w:style w:type="paragraph" w:styleId="Revision">
    <w:name w:val="Revision"/>
    <w:hidden/>
    <w:uiPriority w:val="99"/>
    <w:semiHidden/>
    <w:rsid w:val="003B52E4"/>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965">
      <w:bodyDiv w:val="1"/>
      <w:marLeft w:val="0"/>
      <w:marRight w:val="0"/>
      <w:marTop w:val="0"/>
      <w:marBottom w:val="0"/>
      <w:divBdr>
        <w:top w:val="none" w:sz="0" w:space="0" w:color="auto"/>
        <w:left w:val="none" w:sz="0" w:space="0" w:color="auto"/>
        <w:bottom w:val="none" w:sz="0" w:space="0" w:color="auto"/>
        <w:right w:val="none" w:sz="0" w:space="0" w:color="auto"/>
      </w:divBdr>
      <w:divsChild>
        <w:div w:id="453212055">
          <w:marLeft w:val="0"/>
          <w:marRight w:val="0"/>
          <w:marTop w:val="0"/>
          <w:marBottom w:val="0"/>
          <w:divBdr>
            <w:top w:val="none" w:sz="0" w:space="0" w:color="auto"/>
            <w:left w:val="none" w:sz="0" w:space="0" w:color="auto"/>
            <w:bottom w:val="none" w:sz="0" w:space="0" w:color="auto"/>
            <w:right w:val="none" w:sz="0" w:space="0" w:color="auto"/>
          </w:divBdr>
        </w:div>
        <w:div w:id="624849728">
          <w:marLeft w:val="0"/>
          <w:marRight w:val="0"/>
          <w:marTop w:val="0"/>
          <w:marBottom w:val="0"/>
          <w:divBdr>
            <w:top w:val="none" w:sz="0" w:space="0" w:color="auto"/>
            <w:left w:val="none" w:sz="0" w:space="0" w:color="auto"/>
            <w:bottom w:val="none" w:sz="0" w:space="0" w:color="auto"/>
            <w:right w:val="none" w:sz="0" w:space="0" w:color="auto"/>
          </w:divBdr>
        </w:div>
        <w:div w:id="1337727456">
          <w:marLeft w:val="0"/>
          <w:marRight w:val="0"/>
          <w:marTop w:val="0"/>
          <w:marBottom w:val="0"/>
          <w:divBdr>
            <w:top w:val="none" w:sz="0" w:space="0" w:color="auto"/>
            <w:left w:val="none" w:sz="0" w:space="0" w:color="auto"/>
            <w:bottom w:val="none" w:sz="0" w:space="0" w:color="auto"/>
            <w:right w:val="none" w:sz="0" w:space="0" w:color="auto"/>
          </w:divBdr>
        </w:div>
      </w:divsChild>
    </w:div>
    <w:div w:id="99645198">
      <w:bodyDiv w:val="1"/>
      <w:marLeft w:val="0"/>
      <w:marRight w:val="0"/>
      <w:marTop w:val="0"/>
      <w:marBottom w:val="0"/>
      <w:divBdr>
        <w:top w:val="none" w:sz="0" w:space="0" w:color="auto"/>
        <w:left w:val="none" w:sz="0" w:space="0" w:color="auto"/>
        <w:bottom w:val="none" w:sz="0" w:space="0" w:color="auto"/>
        <w:right w:val="none" w:sz="0" w:space="0" w:color="auto"/>
      </w:divBdr>
      <w:divsChild>
        <w:div w:id="662007944">
          <w:marLeft w:val="0"/>
          <w:marRight w:val="0"/>
          <w:marTop w:val="0"/>
          <w:marBottom w:val="0"/>
          <w:divBdr>
            <w:top w:val="none" w:sz="0" w:space="0" w:color="auto"/>
            <w:left w:val="none" w:sz="0" w:space="0" w:color="auto"/>
            <w:bottom w:val="none" w:sz="0" w:space="0" w:color="auto"/>
            <w:right w:val="none" w:sz="0" w:space="0" w:color="auto"/>
          </w:divBdr>
        </w:div>
        <w:div w:id="792789367">
          <w:marLeft w:val="0"/>
          <w:marRight w:val="0"/>
          <w:marTop w:val="0"/>
          <w:marBottom w:val="0"/>
          <w:divBdr>
            <w:top w:val="none" w:sz="0" w:space="0" w:color="auto"/>
            <w:left w:val="none" w:sz="0" w:space="0" w:color="auto"/>
            <w:bottom w:val="none" w:sz="0" w:space="0" w:color="auto"/>
            <w:right w:val="none" w:sz="0" w:space="0" w:color="auto"/>
          </w:divBdr>
        </w:div>
        <w:div w:id="1002663398">
          <w:marLeft w:val="0"/>
          <w:marRight w:val="0"/>
          <w:marTop w:val="0"/>
          <w:marBottom w:val="0"/>
          <w:divBdr>
            <w:top w:val="none" w:sz="0" w:space="0" w:color="auto"/>
            <w:left w:val="none" w:sz="0" w:space="0" w:color="auto"/>
            <w:bottom w:val="none" w:sz="0" w:space="0" w:color="auto"/>
            <w:right w:val="none" w:sz="0" w:space="0" w:color="auto"/>
          </w:divBdr>
        </w:div>
        <w:div w:id="1287421524">
          <w:marLeft w:val="0"/>
          <w:marRight w:val="0"/>
          <w:marTop w:val="0"/>
          <w:marBottom w:val="0"/>
          <w:divBdr>
            <w:top w:val="none" w:sz="0" w:space="0" w:color="auto"/>
            <w:left w:val="none" w:sz="0" w:space="0" w:color="auto"/>
            <w:bottom w:val="none" w:sz="0" w:space="0" w:color="auto"/>
            <w:right w:val="none" w:sz="0" w:space="0" w:color="auto"/>
          </w:divBdr>
        </w:div>
      </w:divsChild>
    </w:div>
    <w:div w:id="101338066">
      <w:bodyDiv w:val="1"/>
      <w:marLeft w:val="0"/>
      <w:marRight w:val="0"/>
      <w:marTop w:val="0"/>
      <w:marBottom w:val="0"/>
      <w:divBdr>
        <w:top w:val="none" w:sz="0" w:space="0" w:color="auto"/>
        <w:left w:val="none" w:sz="0" w:space="0" w:color="auto"/>
        <w:bottom w:val="none" w:sz="0" w:space="0" w:color="auto"/>
        <w:right w:val="none" w:sz="0" w:space="0" w:color="auto"/>
      </w:divBdr>
      <w:divsChild>
        <w:div w:id="566309994">
          <w:marLeft w:val="0"/>
          <w:marRight w:val="0"/>
          <w:marTop w:val="0"/>
          <w:marBottom w:val="0"/>
          <w:divBdr>
            <w:top w:val="none" w:sz="0" w:space="0" w:color="auto"/>
            <w:left w:val="none" w:sz="0" w:space="0" w:color="auto"/>
            <w:bottom w:val="none" w:sz="0" w:space="0" w:color="auto"/>
            <w:right w:val="none" w:sz="0" w:space="0" w:color="auto"/>
          </w:divBdr>
        </w:div>
        <w:div w:id="1855260673">
          <w:marLeft w:val="0"/>
          <w:marRight w:val="0"/>
          <w:marTop w:val="0"/>
          <w:marBottom w:val="0"/>
          <w:divBdr>
            <w:top w:val="none" w:sz="0" w:space="0" w:color="auto"/>
            <w:left w:val="none" w:sz="0" w:space="0" w:color="auto"/>
            <w:bottom w:val="none" w:sz="0" w:space="0" w:color="auto"/>
            <w:right w:val="none" w:sz="0" w:space="0" w:color="auto"/>
          </w:divBdr>
        </w:div>
      </w:divsChild>
    </w:div>
    <w:div w:id="138688953">
      <w:bodyDiv w:val="1"/>
      <w:marLeft w:val="0"/>
      <w:marRight w:val="0"/>
      <w:marTop w:val="0"/>
      <w:marBottom w:val="0"/>
      <w:divBdr>
        <w:top w:val="none" w:sz="0" w:space="0" w:color="auto"/>
        <w:left w:val="none" w:sz="0" w:space="0" w:color="auto"/>
        <w:bottom w:val="none" w:sz="0" w:space="0" w:color="auto"/>
        <w:right w:val="none" w:sz="0" w:space="0" w:color="auto"/>
      </w:divBdr>
      <w:divsChild>
        <w:div w:id="271860818">
          <w:marLeft w:val="0"/>
          <w:marRight w:val="0"/>
          <w:marTop w:val="0"/>
          <w:marBottom w:val="0"/>
          <w:divBdr>
            <w:top w:val="none" w:sz="0" w:space="0" w:color="auto"/>
            <w:left w:val="none" w:sz="0" w:space="0" w:color="auto"/>
            <w:bottom w:val="none" w:sz="0" w:space="0" w:color="auto"/>
            <w:right w:val="none" w:sz="0" w:space="0" w:color="auto"/>
          </w:divBdr>
        </w:div>
        <w:div w:id="280964519">
          <w:marLeft w:val="0"/>
          <w:marRight w:val="0"/>
          <w:marTop w:val="0"/>
          <w:marBottom w:val="0"/>
          <w:divBdr>
            <w:top w:val="none" w:sz="0" w:space="0" w:color="auto"/>
            <w:left w:val="none" w:sz="0" w:space="0" w:color="auto"/>
            <w:bottom w:val="none" w:sz="0" w:space="0" w:color="auto"/>
            <w:right w:val="none" w:sz="0" w:space="0" w:color="auto"/>
          </w:divBdr>
        </w:div>
        <w:div w:id="492796240">
          <w:marLeft w:val="0"/>
          <w:marRight w:val="0"/>
          <w:marTop w:val="0"/>
          <w:marBottom w:val="0"/>
          <w:divBdr>
            <w:top w:val="none" w:sz="0" w:space="0" w:color="auto"/>
            <w:left w:val="none" w:sz="0" w:space="0" w:color="auto"/>
            <w:bottom w:val="none" w:sz="0" w:space="0" w:color="auto"/>
            <w:right w:val="none" w:sz="0" w:space="0" w:color="auto"/>
          </w:divBdr>
        </w:div>
        <w:div w:id="861431962">
          <w:marLeft w:val="0"/>
          <w:marRight w:val="0"/>
          <w:marTop w:val="0"/>
          <w:marBottom w:val="0"/>
          <w:divBdr>
            <w:top w:val="none" w:sz="0" w:space="0" w:color="auto"/>
            <w:left w:val="none" w:sz="0" w:space="0" w:color="auto"/>
            <w:bottom w:val="none" w:sz="0" w:space="0" w:color="auto"/>
            <w:right w:val="none" w:sz="0" w:space="0" w:color="auto"/>
          </w:divBdr>
        </w:div>
      </w:divsChild>
    </w:div>
    <w:div w:id="187332495">
      <w:bodyDiv w:val="1"/>
      <w:marLeft w:val="0"/>
      <w:marRight w:val="0"/>
      <w:marTop w:val="0"/>
      <w:marBottom w:val="0"/>
      <w:divBdr>
        <w:top w:val="none" w:sz="0" w:space="0" w:color="auto"/>
        <w:left w:val="none" w:sz="0" w:space="0" w:color="auto"/>
        <w:bottom w:val="none" w:sz="0" w:space="0" w:color="auto"/>
        <w:right w:val="none" w:sz="0" w:space="0" w:color="auto"/>
      </w:divBdr>
      <w:divsChild>
        <w:div w:id="281499199">
          <w:marLeft w:val="0"/>
          <w:marRight w:val="0"/>
          <w:marTop w:val="0"/>
          <w:marBottom w:val="0"/>
          <w:divBdr>
            <w:top w:val="none" w:sz="0" w:space="0" w:color="auto"/>
            <w:left w:val="none" w:sz="0" w:space="0" w:color="auto"/>
            <w:bottom w:val="none" w:sz="0" w:space="0" w:color="auto"/>
            <w:right w:val="none" w:sz="0" w:space="0" w:color="auto"/>
          </w:divBdr>
        </w:div>
        <w:div w:id="1346522296">
          <w:marLeft w:val="0"/>
          <w:marRight w:val="0"/>
          <w:marTop w:val="0"/>
          <w:marBottom w:val="0"/>
          <w:divBdr>
            <w:top w:val="none" w:sz="0" w:space="0" w:color="auto"/>
            <w:left w:val="none" w:sz="0" w:space="0" w:color="auto"/>
            <w:bottom w:val="none" w:sz="0" w:space="0" w:color="auto"/>
            <w:right w:val="none" w:sz="0" w:space="0" w:color="auto"/>
          </w:divBdr>
        </w:div>
        <w:div w:id="1434007751">
          <w:marLeft w:val="0"/>
          <w:marRight w:val="0"/>
          <w:marTop w:val="0"/>
          <w:marBottom w:val="0"/>
          <w:divBdr>
            <w:top w:val="none" w:sz="0" w:space="0" w:color="auto"/>
            <w:left w:val="none" w:sz="0" w:space="0" w:color="auto"/>
            <w:bottom w:val="none" w:sz="0" w:space="0" w:color="auto"/>
            <w:right w:val="none" w:sz="0" w:space="0" w:color="auto"/>
          </w:divBdr>
        </w:div>
        <w:div w:id="1442191240">
          <w:marLeft w:val="0"/>
          <w:marRight w:val="0"/>
          <w:marTop w:val="0"/>
          <w:marBottom w:val="0"/>
          <w:divBdr>
            <w:top w:val="none" w:sz="0" w:space="0" w:color="auto"/>
            <w:left w:val="none" w:sz="0" w:space="0" w:color="auto"/>
            <w:bottom w:val="none" w:sz="0" w:space="0" w:color="auto"/>
            <w:right w:val="none" w:sz="0" w:space="0" w:color="auto"/>
          </w:divBdr>
        </w:div>
        <w:div w:id="1505394177">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860007478">
          <w:marLeft w:val="0"/>
          <w:marRight w:val="0"/>
          <w:marTop w:val="0"/>
          <w:marBottom w:val="0"/>
          <w:divBdr>
            <w:top w:val="none" w:sz="0" w:space="0" w:color="auto"/>
            <w:left w:val="none" w:sz="0" w:space="0" w:color="auto"/>
            <w:bottom w:val="none" w:sz="0" w:space="0" w:color="auto"/>
            <w:right w:val="none" w:sz="0" w:space="0" w:color="auto"/>
          </w:divBdr>
        </w:div>
      </w:divsChild>
    </w:div>
    <w:div w:id="226886940">
      <w:bodyDiv w:val="1"/>
      <w:marLeft w:val="0"/>
      <w:marRight w:val="0"/>
      <w:marTop w:val="0"/>
      <w:marBottom w:val="0"/>
      <w:divBdr>
        <w:top w:val="none" w:sz="0" w:space="0" w:color="auto"/>
        <w:left w:val="none" w:sz="0" w:space="0" w:color="auto"/>
        <w:bottom w:val="none" w:sz="0" w:space="0" w:color="auto"/>
        <w:right w:val="none" w:sz="0" w:space="0" w:color="auto"/>
      </w:divBdr>
      <w:divsChild>
        <w:div w:id="15737442">
          <w:marLeft w:val="0"/>
          <w:marRight w:val="0"/>
          <w:marTop w:val="0"/>
          <w:marBottom w:val="0"/>
          <w:divBdr>
            <w:top w:val="none" w:sz="0" w:space="0" w:color="auto"/>
            <w:left w:val="none" w:sz="0" w:space="0" w:color="auto"/>
            <w:bottom w:val="none" w:sz="0" w:space="0" w:color="auto"/>
            <w:right w:val="none" w:sz="0" w:space="0" w:color="auto"/>
          </w:divBdr>
        </w:div>
        <w:div w:id="975985513">
          <w:marLeft w:val="0"/>
          <w:marRight w:val="0"/>
          <w:marTop w:val="0"/>
          <w:marBottom w:val="0"/>
          <w:divBdr>
            <w:top w:val="none" w:sz="0" w:space="0" w:color="auto"/>
            <w:left w:val="none" w:sz="0" w:space="0" w:color="auto"/>
            <w:bottom w:val="none" w:sz="0" w:space="0" w:color="auto"/>
            <w:right w:val="none" w:sz="0" w:space="0" w:color="auto"/>
          </w:divBdr>
        </w:div>
        <w:div w:id="1858159664">
          <w:marLeft w:val="0"/>
          <w:marRight w:val="0"/>
          <w:marTop w:val="0"/>
          <w:marBottom w:val="0"/>
          <w:divBdr>
            <w:top w:val="none" w:sz="0" w:space="0" w:color="auto"/>
            <w:left w:val="none" w:sz="0" w:space="0" w:color="auto"/>
            <w:bottom w:val="none" w:sz="0" w:space="0" w:color="auto"/>
            <w:right w:val="none" w:sz="0" w:space="0" w:color="auto"/>
          </w:divBdr>
        </w:div>
      </w:divsChild>
    </w:div>
    <w:div w:id="241645090">
      <w:bodyDiv w:val="1"/>
      <w:marLeft w:val="0"/>
      <w:marRight w:val="0"/>
      <w:marTop w:val="0"/>
      <w:marBottom w:val="0"/>
      <w:divBdr>
        <w:top w:val="none" w:sz="0" w:space="0" w:color="auto"/>
        <w:left w:val="none" w:sz="0" w:space="0" w:color="auto"/>
        <w:bottom w:val="none" w:sz="0" w:space="0" w:color="auto"/>
        <w:right w:val="none" w:sz="0" w:space="0" w:color="auto"/>
      </w:divBdr>
    </w:div>
    <w:div w:id="307830603">
      <w:bodyDiv w:val="1"/>
      <w:marLeft w:val="0"/>
      <w:marRight w:val="0"/>
      <w:marTop w:val="0"/>
      <w:marBottom w:val="0"/>
      <w:divBdr>
        <w:top w:val="none" w:sz="0" w:space="0" w:color="auto"/>
        <w:left w:val="none" w:sz="0" w:space="0" w:color="auto"/>
        <w:bottom w:val="none" w:sz="0" w:space="0" w:color="auto"/>
        <w:right w:val="none" w:sz="0" w:space="0" w:color="auto"/>
      </w:divBdr>
      <w:divsChild>
        <w:div w:id="277372370">
          <w:marLeft w:val="0"/>
          <w:marRight w:val="0"/>
          <w:marTop w:val="0"/>
          <w:marBottom w:val="0"/>
          <w:divBdr>
            <w:top w:val="none" w:sz="0" w:space="0" w:color="auto"/>
            <w:left w:val="none" w:sz="0" w:space="0" w:color="auto"/>
            <w:bottom w:val="none" w:sz="0" w:space="0" w:color="auto"/>
            <w:right w:val="none" w:sz="0" w:space="0" w:color="auto"/>
          </w:divBdr>
        </w:div>
        <w:div w:id="1353189620">
          <w:marLeft w:val="0"/>
          <w:marRight w:val="0"/>
          <w:marTop w:val="0"/>
          <w:marBottom w:val="0"/>
          <w:divBdr>
            <w:top w:val="none" w:sz="0" w:space="0" w:color="auto"/>
            <w:left w:val="none" w:sz="0" w:space="0" w:color="auto"/>
            <w:bottom w:val="none" w:sz="0" w:space="0" w:color="auto"/>
            <w:right w:val="none" w:sz="0" w:space="0" w:color="auto"/>
          </w:divBdr>
        </w:div>
        <w:div w:id="1466118515">
          <w:marLeft w:val="0"/>
          <w:marRight w:val="0"/>
          <w:marTop w:val="0"/>
          <w:marBottom w:val="0"/>
          <w:divBdr>
            <w:top w:val="none" w:sz="0" w:space="0" w:color="auto"/>
            <w:left w:val="none" w:sz="0" w:space="0" w:color="auto"/>
            <w:bottom w:val="none" w:sz="0" w:space="0" w:color="auto"/>
            <w:right w:val="none" w:sz="0" w:space="0" w:color="auto"/>
          </w:divBdr>
        </w:div>
        <w:div w:id="1492480998">
          <w:marLeft w:val="0"/>
          <w:marRight w:val="0"/>
          <w:marTop w:val="0"/>
          <w:marBottom w:val="0"/>
          <w:divBdr>
            <w:top w:val="none" w:sz="0" w:space="0" w:color="auto"/>
            <w:left w:val="none" w:sz="0" w:space="0" w:color="auto"/>
            <w:bottom w:val="none" w:sz="0" w:space="0" w:color="auto"/>
            <w:right w:val="none" w:sz="0" w:space="0" w:color="auto"/>
          </w:divBdr>
        </w:div>
      </w:divsChild>
    </w:div>
    <w:div w:id="312216633">
      <w:bodyDiv w:val="1"/>
      <w:marLeft w:val="0"/>
      <w:marRight w:val="0"/>
      <w:marTop w:val="0"/>
      <w:marBottom w:val="0"/>
      <w:divBdr>
        <w:top w:val="none" w:sz="0" w:space="0" w:color="auto"/>
        <w:left w:val="none" w:sz="0" w:space="0" w:color="auto"/>
        <w:bottom w:val="none" w:sz="0" w:space="0" w:color="auto"/>
        <w:right w:val="none" w:sz="0" w:space="0" w:color="auto"/>
      </w:divBdr>
      <w:divsChild>
        <w:div w:id="251161448">
          <w:marLeft w:val="0"/>
          <w:marRight w:val="0"/>
          <w:marTop w:val="0"/>
          <w:marBottom w:val="0"/>
          <w:divBdr>
            <w:top w:val="none" w:sz="0" w:space="0" w:color="auto"/>
            <w:left w:val="none" w:sz="0" w:space="0" w:color="auto"/>
            <w:bottom w:val="none" w:sz="0" w:space="0" w:color="auto"/>
            <w:right w:val="none" w:sz="0" w:space="0" w:color="auto"/>
          </w:divBdr>
        </w:div>
        <w:div w:id="260921678">
          <w:marLeft w:val="0"/>
          <w:marRight w:val="0"/>
          <w:marTop w:val="0"/>
          <w:marBottom w:val="0"/>
          <w:divBdr>
            <w:top w:val="none" w:sz="0" w:space="0" w:color="auto"/>
            <w:left w:val="none" w:sz="0" w:space="0" w:color="auto"/>
            <w:bottom w:val="none" w:sz="0" w:space="0" w:color="auto"/>
            <w:right w:val="none" w:sz="0" w:space="0" w:color="auto"/>
          </w:divBdr>
        </w:div>
        <w:div w:id="483621713">
          <w:marLeft w:val="0"/>
          <w:marRight w:val="0"/>
          <w:marTop w:val="0"/>
          <w:marBottom w:val="0"/>
          <w:divBdr>
            <w:top w:val="none" w:sz="0" w:space="0" w:color="auto"/>
            <w:left w:val="none" w:sz="0" w:space="0" w:color="auto"/>
            <w:bottom w:val="none" w:sz="0" w:space="0" w:color="auto"/>
            <w:right w:val="none" w:sz="0" w:space="0" w:color="auto"/>
          </w:divBdr>
        </w:div>
        <w:div w:id="1316496973">
          <w:marLeft w:val="0"/>
          <w:marRight w:val="0"/>
          <w:marTop w:val="0"/>
          <w:marBottom w:val="0"/>
          <w:divBdr>
            <w:top w:val="none" w:sz="0" w:space="0" w:color="auto"/>
            <w:left w:val="none" w:sz="0" w:space="0" w:color="auto"/>
            <w:bottom w:val="none" w:sz="0" w:space="0" w:color="auto"/>
            <w:right w:val="none" w:sz="0" w:space="0" w:color="auto"/>
          </w:divBdr>
        </w:div>
        <w:div w:id="1718240431">
          <w:marLeft w:val="0"/>
          <w:marRight w:val="0"/>
          <w:marTop w:val="0"/>
          <w:marBottom w:val="0"/>
          <w:divBdr>
            <w:top w:val="none" w:sz="0" w:space="0" w:color="auto"/>
            <w:left w:val="none" w:sz="0" w:space="0" w:color="auto"/>
            <w:bottom w:val="none" w:sz="0" w:space="0" w:color="auto"/>
            <w:right w:val="none" w:sz="0" w:space="0" w:color="auto"/>
          </w:divBdr>
        </w:div>
      </w:divsChild>
    </w:div>
    <w:div w:id="343167702">
      <w:bodyDiv w:val="1"/>
      <w:marLeft w:val="0"/>
      <w:marRight w:val="0"/>
      <w:marTop w:val="0"/>
      <w:marBottom w:val="0"/>
      <w:divBdr>
        <w:top w:val="none" w:sz="0" w:space="0" w:color="auto"/>
        <w:left w:val="none" w:sz="0" w:space="0" w:color="auto"/>
        <w:bottom w:val="none" w:sz="0" w:space="0" w:color="auto"/>
        <w:right w:val="none" w:sz="0" w:space="0" w:color="auto"/>
      </w:divBdr>
      <w:divsChild>
        <w:div w:id="722486572">
          <w:marLeft w:val="0"/>
          <w:marRight w:val="0"/>
          <w:marTop w:val="0"/>
          <w:marBottom w:val="0"/>
          <w:divBdr>
            <w:top w:val="none" w:sz="0" w:space="0" w:color="auto"/>
            <w:left w:val="none" w:sz="0" w:space="0" w:color="auto"/>
            <w:bottom w:val="none" w:sz="0" w:space="0" w:color="auto"/>
            <w:right w:val="none" w:sz="0" w:space="0" w:color="auto"/>
          </w:divBdr>
        </w:div>
        <w:div w:id="1176382200">
          <w:marLeft w:val="0"/>
          <w:marRight w:val="0"/>
          <w:marTop w:val="0"/>
          <w:marBottom w:val="0"/>
          <w:divBdr>
            <w:top w:val="none" w:sz="0" w:space="0" w:color="auto"/>
            <w:left w:val="none" w:sz="0" w:space="0" w:color="auto"/>
            <w:bottom w:val="none" w:sz="0" w:space="0" w:color="auto"/>
            <w:right w:val="none" w:sz="0" w:space="0" w:color="auto"/>
          </w:divBdr>
        </w:div>
        <w:div w:id="1879587595">
          <w:marLeft w:val="0"/>
          <w:marRight w:val="0"/>
          <w:marTop w:val="0"/>
          <w:marBottom w:val="0"/>
          <w:divBdr>
            <w:top w:val="none" w:sz="0" w:space="0" w:color="auto"/>
            <w:left w:val="none" w:sz="0" w:space="0" w:color="auto"/>
            <w:bottom w:val="none" w:sz="0" w:space="0" w:color="auto"/>
            <w:right w:val="none" w:sz="0" w:space="0" w:color="auto"/>
          </w:divBdr>
        </w:div>
        <w:div w:id="1900902041">
          <w:marLeft w:val="0"/>
          <w:marRight w:val="0"/>
          <w:marTop w:val="0"/>
          <w:marBottom w:val="0"/>
          <w:divBdr>
            <w:top w:val="none" w:sz="0" w:space="0" w:color="auto"/>
            <w:left w:val="none" w:sz="0" w:space="0" w:color="auto"/>
            <w:bottom w:val="none" w:sz="0" w:space="0" w:color="auto"/>
            <w:right w:val="none" w:sz="0" w:space="0" w:color="auto"/>
          </w:divBdr>
        </w:div>
        <w:div w:id="1998151287">
          <w:marLeft w:val="0"/>
          <w:marRight w:val="0"/>
          <w:marTop w:val="0"/>
          <w:marBottom w:val="0"/>
          <w:divBdr>
            <w:top w:val="none" w:sz="0" w:space="0" w:color="auto"/>
            <w:left w:val="none" w:sz="0" w:space="0" w:color="auto"/>
            <w:bottom w:val="none" w:sz="0" w:space="0" w:color="auto"/>
            <w:right w:val="none" w:sz="0" w:space="0" w:color="auto"/>
          </w:divBdr>
        </w:div>
      </w:divsChild>
    </w:div>
    <w:div w:id="359016265">
      <w:bodyDiv w:val="1"/>
      <w:marLeft w:val="0"/>
      <w:marRight w:val="0"/>
      <w:marTop w:val="0"/>
      <w:marBottom w:val="0"/>
      <w:divBdr>
        <w:top w:val="none" w:sz="0" w:space="0" w:color="auto"/>
        <w:left w:val="none" w:sz="0" w:space="0" w:color="auto"/>
        <w:bottom w:val="none" w:sz="0" w:space="0" w:color="auto"/>
        <w:right w:val="none" w:sz="0" w:space="0" w:color="auto"/>
      </w:divBdr>
      <w:divsChild>
        <w:div w:id="427387217">
          <w:marLeft w:val="0"/>
          <w:marRight w:val="0"/>
          <w:marTop w:val="0"/>
          <w:marBottom w:val="0"/>
          <w:divBdr>
            <w:top w:val="none" w:sz="0" w:space="0" w:color="auto"/>
            <w:left w:val="none" w:sz="0" w:space="0" w:color="auto"/>
            <w:bottom w:val="none" w:sz="0" w:space="0" w:color="auto"/>
            <w:right w:val="none" w:sz="0" w:space="0" w:color="auto"/>
          </w:divBdr>
        </w:div>
        <w:div w:id="510530862">
          <w:marLeft w:val="0"/>
          <w:marRight w:val="0"/>
          <w:marTop w:val="0"/>
          <w:marBottom w:val="0"/>
          <w:divBdr>
            <w:top w:val="none" w:sz="0" w:space="0" w:color="auto"/>
            <w:left w:val="none" w:sz="0" w:space="0" w:color="auto"/>
            <w:bottom w:val="none" w:sz="0" w:space="0" w:color="auto"/>
            <w:right w:val="none" w:sz="0" w:space="0" w:color="auto"/>
          </w:divBdr>
        </w:div>
        <w:div w:id="2051372768">
          <w:marLeft w:val="0"/>
          <w:marRight w:val="0"/>
          <w:marTop w:val="0"/>
          <w:marBottom w:val="0"/>
          <w:divBdr>
            <w:top w:val="none" w:sz="0" w:space="0" w:color="auto"/>
            <w:left w:val="none" w:sz="0" w:space="0" w:color="auto"/>
            <w:bottom w:val="none" w:sz="0" w:space="0" w:color="auto"/>
            <w:right w:val="none" w:sz="0" w:space="0" w:color="auto"/>
          </w:divBdr>
        </w:div>
      </w:divsChild>
    </w:div>
    <w:div w:id="377364063">
      <w:bodyDiv w:val="1"/>
      <w:marLeft w:val="0"/>
      <w:marRight w:val="0"/>
      <w:marTop w:val="0"/>
      <w:marBottom w:val="0"/>
      <w:divBdr>
        <w:top w:val="none" w:sz="0" w:space="0" w:color="auto"/>
        <w:left w:val="none" w:sz="0" w:space="0" w:color="auto"/>
        <w:bottom w:val="none" w:sz="0" w:space="0" w:color="auto"/>
        <w:right w:val="none" w:sz="0" w:space="0" w:color="auto"/>
      </w:divBdr>
      <w:divsChild>
        <w:div w:id="945699482">
          <w:marLeft w:val="0"/>
          <w:marRight w:val="0"/>
          <w:marTop w:val="0"/>
          <w:marBottom w:val="0"/>
          <w:divBdr>
            <w:top w:val="none" w:sz="0" w:space="0" w:color="auto"/>
            <w:left w:val="none" w:sz="0" w:space="0" w:color="auto"/>
            <w:bottom w:val="none" w:sz="0" w:space="0" w:color="auto"/>
            <w:right w:val="none" w:sz="0" w:space="0" w:color="auto"/>
          </w:divBdr>
        </w:div>
        <w:div w:id="1042558848">
          <w:marLeft w:val="0"/>
          <w:marRight w:val="0"/>
          <w:marTop w:val="0"/>
          <w:marBottom w:val="0"/>
          <w:divBdr>
            <w:top w:val="none" w:sz="0" w:space="0" w:color="auto"/>
            <w:left w:val="none" w:sz="0" w:space="0" w:color="auto"/>
            <w:bottom w:val="none" w:sz="0" w:space="0" w:color="auto"/>
            <w:right w:val="none" w:sz="0" w:space="0" w:color="auto"/>
          </w:divBdr>
        </w:div>
        <w:div w:id="1603608729">
          <w:marLeft w:val="0"/>
          <w:marRight w:val="0"/>
          <w:marTop w:val="0"/>
          <w:marBottom w:val="0"/>
          <w:divBdr>
            <w:top w:val="none" w:sz="0" w:space="0" w:color="auto"/>
            <w:left w:val="none" w:sz="0" w:space="0" w:color="auto"/>
            <w:bottom w:val="none" w:sz="0" w:space="0" w:color="auto"/>
            <w:right w:val="none" w:sz="0" w:space="0" w:color="auto"/>
          </w:divBdr>
        </w:div>
      </w:divsChild>
    </w:div>
    <w:div w:id="404574689">
      <w:bodyDiv w:val="1"/>
      <w:marLeft w:val="0"/>
      <w:marRight w:val="0"/>
      <w:marTop w:val="0"/>
      <w:marBottom w:val="0"/>
      <w:divBdr>
        <w:top w:val="none" w:sz="0" w:space="0" w:color="auto"/>
        <w:left w:val="none" w:sz="0" w:space="0" w:color="auto"/>
        <w:bottom w:val="none" w:sz="0" w:space="0" w:color="auto"/>
        <w:right w:val="none" w:sz="0" w:space="0" w:color="auto"/>
      </w:divBdr>
      <w:divsChild>
        <w:div w:id="455416829">
          <w:marLeft w:val="0"/>
          <w:marRight w:val="0"/>
          <w:marTop w:val="0"/>
          <w:marBottom w:val="0"/>
          <w:divBdr>
            <w:top w:val="none" w:sz="0" w:space="0" w:color="auto"/>
            <w:left w:val="none" w:sz="0" w:space="0" w:color="auto"/>
            <w:bottom w:val="none" w:sz="0" w:space="0" w:color="auto"/>
            <w:right w:val="none" w:sz="0" w:space="0" w:color="auto"/>
          </w:divBdr>
        </w:div>
        <w:div w:id="1119837646">
          <w:marLeft w:val="0"/>
          <w:marRight w:val="0"/>
          <w:marTop w:val="0"/>
          <w:marBottom w:val="0"/>
          <w:divBdr>
            <w:top w:val="none" w:sz="0" w:space="0" w:color="auto"/>
            <w:left w:val="none" w:sz="0" w:space="0" w:color="auto"/>
            <w:bottom w:val="none" w:sz="0" w:space="0" w:color="auto"/>
            <w:right w:val="none" w:sz="0" w:space="0" w:color="auto"/>
          </w:divBdr>
        </w:div>
        <w:div w:id="1581018504">
          <w:marLeft w:val="0"/>
          <w:marRight w:val="0"/>
          <w:marTop w:val="0"/>
          <w:marBottom w:val="0"/>
          <w:divBdr>
            <w:top w:val="none" w:sz="0" w:space="0" w:color="auto"/>
            <w:left w:val="none" w:sz="0" w:space="0" w:color="auto"/>
            <w:bottom w:val="none" w:sz="0" w:space="0" w:color="auto"/>
            <w:right w:val="none" w:sz="0" w:space="0" w:color="auto"/>
          </w:divBdr>
        </w:div>
        <w:div w:id="1807039169">
          <w:marLeft w:val="0"/>
          <w:marRight w:val="0"/>
          <w:marTop w:val="0"/>
          <w:marBottom w:val="0"/>
          <w:divBdr>
            <w:top w:val="none" w:sz="0" w:space="0" w:color="auto"/>
            <w:left w:val="none" w:sz="0" w:space="0" w:color="auto"/>
            <w:bottom w:val="none" w:sz="0" w:space="0" w:color="auto"/>
            <w:right w:val="none" w:sz="0" w:space="0" w:color="auto"/>
          </w:divBdr>
        </w:div>
      </w:divsChild>
    </w:div>
    <w:div w:id="404761796">
      <w:bodyDiv w:val="1"/>
      <w:marLeft w:val="0"/>
      <w:marRight w:val="0"/>
      <w:marTop w:val="0"/>
      <w:marBottom w:val="0"/>
      <w:divBdr>
        <w:top w:val="none" w:sz="0" w:space="0" w:color="auto"/>
        <w:left w:val="none" w:sz="0" w:space="0" w:color="auto"/>
        <w:bottom w:val="none" w:sz="0" w:space="0" w:color="auto"/>
        <w:right w:val="none" w:sz="0" w:space="0" w:color="auto"/>
      </w:divBdr>
    </w:div>
    <w:div w:id="418252468">
      <w:bodyDiv w:val="1"/>
      <w:marLeft w:val="0"/>
      <w:marRight w:val="0"/>
      <w:marTop w:val="0"/>
      <w:marBottom w:val="0"/>
      <w:divBdr>
        <w:top w:val="none" w:sz="0" w:space="0" w:color="auto"/>
        <w:left w:val="none" w:sz="0" w:space="0" w:color="auto"/>
        <w:bottom w:val="none" w:sz="0" w:space="0" w:color="auto"/>
        <w:right w:val="none" w:sz="0" w:space="0" w:color="auto"/>
      </w:divBdr>
      <w:divsChild>
        <w:div w:id="527908912">
          <w:marLeft w:val="0"/>
          <w:marRight w:val="0"/>
          <w:marTop w:val="0"/>
          <w:marBottom w:val="0"/>
          <w:divBdr>
            <w:top w:val="none" w:sz="0" w:space="0" w:color="auto"/>
            <w:left w:val="none" w:sz="0" w:space="0" w:color="auto"/>
            <w:bottom w:val="none" w:sz="0" w:space="0" w:color="auto"/>
            <w:right w:val="none" w:sz="0" w:space="0" w:color="auto"/>
          </w:divBdr>
        </w:div>
        <w:div w:id="793251371">
          <w:marLeft w:val="0"/>
          <w:marRight w:val="0"/>
          <w:marTop w:val="0"/>
          <w:marBottom w:val="0"/>
          <w:divBdr>
            <w:top w:val="none" w:sz="0" w:space="0" w:color="auto"/>
            <w:left w:val="none" w:sz="0" w:space="0" w:color="auto"/>
            <w:bottom w:val="none" w:sz="0" w:space="0" w:color="auto"/>
            <w:right w:val="none" w:sz="0" w:space="0" w:color="auto"/>
          </w:divBdr>
        </w:div>
        <w:div w:id="1856192921">
          <w:marLeft w:val="0"/>
          <w:marRight w:val="0"/>
          <w:marTop w:val="0"/>
          <w:marBottom w:val="0"/>
          <w:divBdr>
            <w:top w:val="none" w:sz="0" w:space="0" w:color="auto"/>
            <w:left w:val="none" w:sz="0" w:space="0" w:color="auto"/>
            <w:bottom w:val="none" w:sz="0" w:space="0" w:color="auto"/>
            <w:right w:val="none" w:sz="0" w:space="0" w:color="auto"/>
          </w:divBdr>
        </w:div>
        <w:div w:id="1950811823">
          <w:marLeft w:val="0"/>
          <w:marRight w:val="0"/>
          <w:marTop w:val="0"/>
          <w:marBottom w:val="0"/>
          <w:divBdr>
            <w:top w:val="none" w:sz="0" w:space="0" w:color="auto"/>
            <w:left w:val="none" w:sz="0" w:space="0" w:color="auto"/>
            <w:bottom w:val="none" w:sz="0" w:space="0" w:color="auto"/>
            <w:right w:val="none" w:sz="0" w:space="0" w:color="auto"/>
          </w:divBdr>
        </w:div>
      </w:divsChild>
    </w:div>
    <w:div w:id="450246467">
      <w:bodyDiv w:val="1"/>
      <w:marLeft w:val="0"/>
      <w:marRight w:val="0"/>
      <w:marTop w:val="0"/>
      <w:marBottom w:val="0"/>
      <w:divBdr>
        <w:top w:val="none" w:sz="0" w:space="0" w:color="auto"/>
        <w:left w:val="none" w:sz="0" w:space="0" w:color="auto"/>
        <w:bottom w:val="none" w:sz="0" w:space="0" w:color="auto"/>
        <w:right w:val="none" w:sz="0" w:space="0" w:color="auto"/>
      </w:divBdr>
      <w:divsChild>
        <w:div w:id="810249578">
          <w:marLeft w:val="0"/>
          <w:marRight w:val="0"/>
          <w:marTop w:val="0"/>
          <w:marBottom w:val="0"/>
          <w:divBdr>
            <w:top w:val="none" w:sz="0" w:space="0" w:color="auto"/>
            <w:left w:val="none" w:sz="0" w:space="0" w:color="auto"/>
            <w:bottom w:val="none" w:sz="0" w:space="0" w:color="auto"/>
            <w:right w:val="none" w:sz="0" w:space="0" w:color="auto"/>
          </w:divBdr>
        </w:div>
        <w:div w:id="1020088767">
          <w:marLeft w:val="0"/>
          <w:marRight w:val="0"/>
          <w:marTop w:val="0"/>
          <w:marBottom w:val="0"/>
          <w:divBdr>
            <w:top w:val="none" w:sz="0" w:space="0" w:color="auto"/>
            <w:left w:val="none" w:sz="0" w:space="0" w:color="auto"/>
            <w:bottom w:val="none" w:sz="0" w:space="0" w:color="auto"/>
            <w:right w:val="none" w:sz="0" w:space="0" w:color="auto"/>
          </w:divBdr>
        </w:div>
        <w:div w:id="1514146818">
          <w:marLeft w:val="0"/>
          <w:marRight w:val="0"/>
          <w:marTop w:val="0"/>
          <w:marBottom w:val="0"/>
          <w:divBdr>
            <w:top w:val="none" w:sz="0" w:space="0" w:color="auto"/>
            <w:left w:val="none" w:sz="0" w:space="0" w:color="auto"/>
            <w:bottom w:val="none" w:sz="0" w:space="0" w:color="auto"/>
            <w:right w:val="none" w:sz="0" w:space="0" w:color="auto"/>
          </w:divBdr>
        </w:div>
        <w:div w:id="2132550824">
          <w:marLeft w:val="0"/>
          <w:marRight w:val="0"/>
          <w:marTop w:val="0"/>
          <w:marBottom w:val="0"/>
          <w:divBdr>
            <w:top w:val="none" w:sz="0" w:space="0" w:color="auto"/>
            <w:left w:val="none" w:sz="0" w:space="0" w:color="auto"/>
            <w:bottom w:val="none" w:sz="0" w:space="0" w:color="auto"/>
            <w:right w:val="none" w:sz="0" w:space="0" w:color="auto"/>
          </w:divBdr>
        </w:div>
      </w:divsChild>
    </w:div>
    <w:div w:id="470177156">
      <w:bodyDiv w:val="1"/>
      <w:marLeft w:val="0"/>
      <w:marRight w:val="0"/>
      <w:marTop w:val="0"/>
      <w:marBottom w:val="0"/>
      <w:divBdr>
        <w:top w:val="none" w:sz="0" w:space="0" w:color="auto"/>
        <w:left w:val="none" w:sz="0" w:space="0" w:color="auto"/>
        <w:bottom w:val="none" w:sz="0" w:space="0" w:color="auto"/>
        <w:right w:val="none" w:sz="0" w:space="0" w:color="auto"/>
      </w:divBdr>
      <w:divsChild>
        <w:div w:id="655183038">
          <w:marLeft w:val="0"/>
          <w:marRight w:val="0"/>
          <w:marTop w:val="0"/>
          <w:marBottom w:val="0"/>
          <w:divBdr>
            <w:top w:val="none" w:sz="0" w:space="0" w:color="auto"/>
            <w:left w:val="none" w:sz="0" w:space="0" w:color="auto"/>
            <w:bottom w:val="none" w:sz="0" w:space="0" w:color="auto"/>
            <w:right w:val="none" w:sz="0" w:space="0" w:color="auto"/>
          </w:divBdr>
        </w:div>
        <w:div w:id="1136489052">
          <w:marLeft w:val="0"/>
          <w:marRight w:val="0"/>
          <w:marTop w:val="0"/>
          <w:marBottom w:val="0"/>
          <w:divBdr>
            <w:top w:val="none" w:sz="0" w:space="0" w:color="auto"/>
            <w:left w:val="none" w:sz="0" w:space="0" w:color="auto"/>
            <w:bottom w:val="none" w:sz="0" w:space="0" w:color="auto"/>
            <w:right w:val="none" w:sz="0" w:space="0" w:color="auto"/>
          </w:divBdr>
        </w:div>
        <w:div w:id="1492604528">
          <w:marLeft w:val="0"/>
          <w:marRight w:val="0"/>
          <w:marTop w:val="0"/>
          <w:marBottom w:val="0"/>
          <w:divBdr>
            <w:top w:val="none" w:sz="0" w:space="0" w:color="auto"/>
            <w:left w:val="none" w:sz="0" w:space="0" w:color="auto"/>
            <w:bottom w:val="none" w:sz="0" w:space="0" w:color="auto"/>
            <w:right w:val="none" w:sz="0" w:space="0" w:color="auto"/>
          </w:divBdr>
        </w:div>
      </w:divsChild>
    </w:div>
    <w:div w:id="492987263">
      <w:bodyDiv w:val="1"/>
      <w:marLeft w:val="0"/>
      <w:marRight w:val="0"/>
      <w:marTop w:val="0"/>
      <w:marBottom w:val="0"/>
      <w:divBdr>
        <w:top w:val="none" w:sz="0" w:space="0" w:color="auto"/>
        <w:left w:val="none" w:sz="0" w:space="0" w:color="auto"/>
        <w:bottom w:val="none" w:sz="0" w:space="0" w:color="auto"/>
        <w:right w:val="none" w:sz="0" w:space="0" w:color="auto"/>
      </w:divBdr>
      <w:divsChild>
        <w:div w:id="32272389">
          <w:marLeft w:val="0"/>
          <w:marRight w:val="0"/>
          <w:marTop w:val="0"/>
          <w:marBottom w:val="0"/>
          <w:divBdr>
            <w:top w:val="none" w:sz="0" w:space="0" w:color="auto"/>
            <w:left w:val="none" w:sz="0" w:space="0" w:color="auto"/>
            <w:bottom w:val="none" w:sz="0" w:space="0" w:color="auto"/>
            <w:right w:val="none" w:sz="0" w:space="0" w:color="auto"/>
          </w:divBdr>
        </w:div>
        <w:div w:id="586693551">
          <w:marLeft w:val="0"/>
          <w:marRight w:val="0"/>
          <w:marTop w:val="0"/>
          <w:marBottom w:val="0"/>
          <w:divBdr>
            <w:top w:val="none" w:sz="0" w:space="0" w:color="auto"/>
            <w:left w:val="none" w:sz="0" w:space="0" w:color="auto"/>
            <w:bottom w:val="none" w:sz="0" w:space="0" w:color="auto"/>
            <w:right w:val="none" w:sz="0" w:space="0" w:color="auto"/>
          </w:divBdr>
        </w:div>
        <w:div w:id="823005294">
          <w:marLeft w:val="0"/>
          <w:marRight w:val="0"/>
          <w:marTop w:val="0"/>
          <w:marBottom w:val="0"/>
          <w:divBdr>
            <w:top w:val="none" w:sz="0" w:space="0" w:color="auto"/>
            <w:left w:val="none" w:sz="0" w:space="0" w:color="auto"/>
            <w:bottom w:val="none" w:sz="0" w:space="0" w:color="auto"/>
            <w:right w:val="none" w:sz="0" w:space="0" w:color="auto"/>
          </w:divBdr>
        </w:div>
        <w:div w:id="911164200">
          <w:marLeft w:val="0"/>
          <w:marRight w:val="0"/>
          <w:marTop w:val="0"/>
          <w:marBottom w:val="0"/>
          <w:divBdr>
            <w:top w:val="none" w:sz="0" w:space="0" w:color="auto"/>
            <w:left w:val="none" w:sz="0" w:space="0" w:color="auto"/>
            <w:bottom w:val="none" w:sz="0" w:space="0" w:color="auto"/>
            <w:right w:val="none" w:sz="0" w:space="0" w:color="auto"/>
          </w:divBdr>
        </w:div>
        <w:div w:id="1229072125">
          <w:marLeft w:val="0"/>
          <w:marRight w:val="0"/>
          <w:marTop w:val="0"/>
          <w:marBottom w:val="0"/>
          <w:divBdr>
            <w:top w:val="none" w:sz="0" w:space="0" w:color="auto"/>
            <w:left w:val="none" w:sz="0" w:space="0" w:color="auto"/>
            <w:bottom w:val="none" w:sz="0" w:space="0" w:color="auto"/>
            <w:right w:val="none" w:sz="0" w:space="0" w:color="auto"/>
          </w:divBdr>
        </w:div>
        <w:div w:id="1380125980">
          <w:marLeft w:val="0"/>
          <w:marRight w:val="0"/>
          <w:marTop w:val="0"/>
          <w:marBottom w:val="0"/>
          <w:divBdr>
            <w:top w:val="none" w:sz="0" w:space="0" w:color="auto"/>
            <w:left w:val="none" w:sz="0" w:space="0" w:color="auto"/>
            <w:bottom w:val="none" w:sz="0" w:space="0" w:color="auto"/>
            <w:right w:val="none" w:sz="0" w:space="0" w:color="auto"/>
          </w:divBdr>
        </w:div>
        <w:div w:id="1412461310">
          <w:marLeft w:val="0"/>
          <w:marRight w:val="0"/>
          <w:marTop w:val="0"/>
          <w:marBottom w:val="0"/>
          <w:divBdr>
            <w:top w:val="none" w:sz="0" w:space="0" w:color="auto"/>
            <w:left w:val="none" w:sz="0" w:space="0" w:color="auto"/>
            <w:bottom w:val="none" w:sz="0" w:space="0" w:color="auto"/>
            <w:right w:val="none" w:sz="0" w:space="0" w:color="auto"/>
          </w:divBdr>
        </w:div>
        <w:div w:id="1948656843">
          <w:marLeft w:val="0"/>
          <w:marRight w:val="0"/>
          <w:marTop w:val="0"/>
          <w:marBottom w:val="0"/>
          <w:divBdr>
            <w:top w:val="none" w:sz="0" w:space="0" w:color="auto"/>
            <w:left w:val="none" w:sz="0" w:space="0" w:color="auto"/>
            <w:bottom w:val="none" w:sz="0" w:space="0" w:color="auto"/>
            <w:right w:val="none" w:sz="0" w:space="0" w:color="auto"/>
          </w:divBdr>
        </w:div>
      </w:divsChild>
    </w:div>
    <w:div w:id="538007368">
      <w:bodyDiv w:val="1"/>
      <w:marLeft w:val="0"/>
      <w:marRight w:val="0"/>
      <w:marTop w:val="0"/>
      <w:marBottom w:val="0"/>
      <w:divBdr>
        <w:top w:val="none" w:sz="0" w:space="0" w:color="auto"/>
        <w:left w:val="none" w:sz="0" w:space="0" w:color="auto"/>
        <w:bottom w:val="none" w:sz="0" w:space="0" w:color="auto"/>
        <w:right w:val="none" w:sz="0" w:space="0" w:color="auto"/>
      </w:divBdr>
      <w:divsChild>
        <w:div w:id="743454778">
          <w:marLeft w:val="0"/>
          <w:marRight w:val="0"/>
          <w:marTop w:val="0"/>
          <w:marBottom w:val="0"/>
          <w:divBdr>
            <w:top w:val="none" w:sz="0" w:space="0" w:color="auto"/>
            <w:left w:val="none" w:sz="0" w:space="0" w:color="auto"/>
            <w:bottom w:val="none" w:sz="0" w:space="0" w:color="auto"/>
            <w:right w:val="none" w:sz="0" w:space="0" w:color="auto"/>
          </w:divBdr>
        </w:div>
        <w:div w:id="765424215">
          <w:marLeft w:val="0"/>
          <w:marRight w:val="0"/>
          <w:marTop w:val="0"/>
          <w:marBottom w:val="0"/>
          <w:divBdr>
            <w:top w:val="none" w:sz="0" w:space="0" w:color="auto"/>
            <w:left w:val="none" w:sz="0" w:space="0" w:color="auto"/>
            <w:bottom w:val="none" w:sz="0" w:space="0" w:color="auto"/>
            <w:right w:val="none" w:sz="0" w:space="0" w:color="auto"/>
          </w:divBdr>
        </w:div>
        <w:div w:id="917011877">
          <w:marLeft w:val="0"/>
          <w:marRight w:val="0"/>
          <w:marTop w:val="0"/>
          <w:marBottom w:val="0"/>
          <w:divBdr>
            <w:top w:val="none" w:sz="0" w:space="0" w:color="auto"/>
            <w:left w:val="none" w:sz="0" w:space="0" w:color="auto"/>
            <w:bottom w:val="none" w:sz="0" w:space="0" w:color="auto"/>
            <w:right w:val="none" w:sz="0" w:space="0" w:color="auto"/>
          </w:divBdr>
        </w:div>
        <w:div w:id="1070616149">
          <w:marLeft w:val="0"/>
          <w:marRight w:val="0"/>
          <w:marTop w:val="0"/>
          <w:marBottom w:val="0"/>
          <w:divBdr>
            <w:top w:val="none" w:sz="0" w:space="0" w:color="auto"/>
            <w:left w:val="none" w:sz="0" w:space="0" w:color="auto"/>
            <w:bottom w:val="none" w:sz="0" w:space="0" w:color="auto"/>
            <w:right w:val="none" w:sz="0" w:space="0" w:color="auto"/>
          </w:divBdr>
        </w:div>
        <w:div w:id="1074932960">
          <w:marLeft w:val="0"/>
          <w:marRight w:val="0"/>
          <w:marTop w:val="0"/>
          <w:marBottom w:val="0"/>
          <w:divBdr>
            <w:top w:val="none" w:sz="0" w:space="0" w:color="auto"/>
            <w:left w:val="none" w:sz="0" w:space="0" w:color="auto"/>
            <w:bottom w:val="none" w:sz="0" w:space="0" w:color="auto"/>
            <w:right w:val="none" w:sz="0" w:space="0" w:color="auto"/>
          </w:divBdr>
        </w:div>
        <w:div w:id="1336300645">
          <w:marLeft w:val="0"/>
          <w:marRight w:val="0"/>
          <w:marTop w:val="0"/>
          <w:marBottom w:val="0"/>
          <w:divBdr>
            <w:top w:val="none" w:sz="0" w:space="0" w:color="auto"/>
            <w:left w:val="none" w:sz="0" w:space="0" w:color="auto"/>
            <w:bottom w:val="none" w:sz="0" w:space="0" w:color="auto"/>
            <w:right w:val="none" w:sz="0" w:space="0" w:color="auto"/>
          </w:divBdr>
        </w:div>
      </w:divsChild>
    </w:div>
    <w:div w:id="562109431">
      <w:bodyDiv w:val="1"/>
      <w:marLeft w:val="0"/>
      <w:marRight w:val="0"/>
      <w:marTop w:val="0"/>
      <w:marBottom w:val="0"/>
      <w:divBdr>
        <w:top w:val="none" w:sz="0" w:space="0" w:color="auto"/>
        <w:left w:val="none" w:sz="0" w:space="0" w:color="auto"/>
        <w:bottom w:val="none" w:sz="0" w:space="0" w:color="auto"/>
        <w:right w:val="none" w:sz="0" w:space="0" w:color="auto"/>
      </w:divBdr>
    </w:div>
    <w:div w:id="602809137">
      <w:bodyDiv w:val="1"/>
      <w:marLeft w:val="0"/>
      <w:marRight w:val="0"/>
      <w:marTop w:val="0"/>
      <w:marBottom w:val="0"/>
      <w:divBdr>
        <w:top w:val="none" w:sz="0" w:space="0" w:color="auto"/>
        <w:left w:val="none" w:sz="0" w:space="0" w:color="auto"/>
        <w:bottom w:val="none" w:sz="0" w:space="0" w:color="auto"/>
        <w:right w:val="none" w:sz="0" w:space="0" w:color="auto"/>
      </w:divBdr>
    </w:div>
    <w:div w:id="701436719">
      <w:bodyDiv w:val="1"/>
      <w:marLeft w:val="0"/>
      <w:marRight w:val="0"/>
      <w:marTop w:val="0"/>
      <w:marBottom w:val="0"/>
      <w:divBdr>
        <w:top w:val="none" w:sz="0" w:space="0" w:color="auto"/>
        <w:left w:val="none" w:sz="0" w:space="0" w:color="auto"/>
        <w:bottom w:val="none" w:sz="0" w:space="0" w:color="auto"/>
        <w:right w:val="none" w:sz="0" w:space="0" w:color="auto"/>
      </w:divBdr>
      <w:divsChild>
        <w:div w:id="70473246">
          <w:marLeft w:val="0"/>
          <w:marRight w:val="0"/>
          <w:marTop w:val="0"/>
          <w:marBottom w:val="0"/>
          <w:divBdr>
            <w:top w:val="none" w:sz="0" w:space="0" w:color="auto"/>
            <w:left w:val="none" w:sz="0" w:space="0" w:color="auto"/>
            <w:bottom w:val="none" w:sz="0" w:space="0" w:color="auto"/>
            <w:right w:val="none" w:sz="0" w:space="0" w:color="auto"/>
          </w:divBdr>
        </w:div>
        <w:div w:id="1576864505">
          <w:marLeft w:val="0"/>
          <w:marRight w:val="0"/>
          <w:marTop w:val="0"/>
          <w:marBottom w:val="0"/>
          <w:divBdr>
            <w:top w:val="none" w:sz="0" w:space="0" w:color="auto"/>
            <w:left w:val="none" w:sz="0" w:space="0" w:color="auto"/>
            <w:bottom w:val="none" w:sz="0" w:space="0" w:color="auto"/>
            <w:right w:val="none" w:sz="0" w:space="0" w:color="auto"/>
          </w:divBdr>
        </w:div>
        <w:div w:id="2043245830">
          <w:marLeft w:val="0"/>
          <w:marRight w:val="0"/>
          <w:marTop w:val="0"/>
          <w:marBottom w:val="0"/>
          <w:divBdr>
            <w:top w:val="none" w:sz="0" w:space="0" w:color="auto"/>
            <w:left w:val="none" w:sz="0" w:space="0" w:color="auto"/>
            <w:bottom w:val="none" w:sz="0" w:space="0" w:color="auto"/>
            <w:right w:val="none" w:sz="0" w:space="0" w:color="auto"/>
          </w:divBdr>
        </w:div>
        <w:div w:id="2119326167">
          <w:marLeft w:val="0"/>
          <w:marRight w:val="0"/>
          <w:marTop w:val="0"/>
          <w:marBottom w:val="0"/>
          <w:divBdr>
            <w:top w:val="none" w:sz="0" w:space="0" w:color="auto"/>
            <w:left w:val="none" w:sz="0" w:space="0" w:color="auto"/>
            <w:bottom w:val="none" w:sz="0" w:space="0" w:color="auto"/>
            <w:right w:val="none" w:sz="0" w:space="0" w:color="auto"/>
          </w:divBdr>
        </w:div>
      </w:divsChild>
    </w:div>
    <w:div w:id="713386946">
      <w:bodyDiv w:val="1"/>
      <w:marLeft w:val="0"/>
      <w:marRight w:val="0"/>
      <w:marTop w:val="0"/>
      <w:marBottom w:val="0"/>
      <w:divBdr>
        <w:top w:val="none" w:sz="0" w:space="0" w:color="auto"/>
        <w:left w:val="none" w:sz="0" w:space="0" w:color="auto"/>
        <w:bottom w:val="none" w:sz="0" w:space="0" w:color="auto"/>
        <w:right w:val="none" w:sz="0" w:space="0" w:color="auto"/>
      </w:divBdr>
      <w:divsChild>
        <w:div w:id="393889425">
          <w:marLeft w:val="0"/>
          <w:marRight w:val="0"/>
          <w:marTop w:val="0"/>
          <w:marBottom w:val="0"/>
          <w:divBdr>
            <w:top w:val="none" w:sz="0" w:space="0" w:color="auto"/>
            <w:left w:val="none" w:sz="0" w:space="0" w:color="auto"/>
            <w:bottom w:val="none" w:sz="0" w:space="0" w:color="auto"/>
            <w:right w:val="none" w:sz="0" w:space="0" w:color="auto"/>
          </w:divBdr>
        </w:div>
        <w:div w:id="1270771564">
          <w:marLeft w:val="0"/>
          <w:marRight w:val="0"/>
          <w:marTop w:val="0"/>
          <w:marBottom w:val="0"/>
          <w:divBdr>
            <w:top w:val="none" w:sz="0" w:space="0" w:color="auto"/>
            <w:left w:val="none" w:sz="0" w:space="0" w:color="auto"/>
            <w:bottom w:val="none" w:sz="0" w:space="0" w:color="auto"/>
            <w:right w:val="none" w:sz="0" w:space="0" w:color="auto"/>
          </w:divBdr>
        </w:div>
      </w:divsChild>
    </w:div>
    <w:div w:id="76534828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2298981">
      <w:bodyDiv w:val="1"/>
      <w:marLeft w:val="0"/>
      <w:marRight w:val="0"/>
      <w:marTop w:val="0"/>
      <w:marBottom w:val="0"/>
      <w:divBdr>
        <w:top w:val="none" w:sz="0" w:space="0" w:color="auto"/>
        <w:left w:val="none" w:sz="0" w:space="0" w:color="auto"/>
        <w:bottom w:val="none" w:sz="0" w:space="0" w:color="auto"/>
        <w:right w:val="none" w:sz="0" w:space="0" w:color="auto"/>
      </w:divBdr>
      <w:divsChild>
        <w:div w:id="434399331">
          <w:marLeft w:val="0"/>
          <w:marRight w:val="0"/>
          <w:marTop w:val="0"/>
          <w:marBottom w:val="0"/>
          <w:divBdr>
            <w:top w:val="none" w:sz="0" w:space="0" w:color="auto"/>
            <w:left w:val="none" w:sz="0" w:space="0" w:color="auto"/>
            <w:bottom w:val="none" w:sz="0" w:space="0" w:color="auto"/>
            <w:right w:val="none" w:sz="0" w:space="0" w:color="auto"/>
          </w:divBdr>
        </w:div>
        <w:div w:id="598677890">
          <w:marLeft w:val="0"/>
          <w:marRight w:val="0"/>
          <w:marTop w:val="0"/>
          <w:marBottom w:val="0"/>
          <w:divBdr>
            <w:top w:val="none" w:sz="0" w:space="0" w:color="auto"/>
            <w:left w:val="none" w:sz="0" w:space="0" w:color="auto"/>
            <w:bottom w:val="none" w:sz="0" w:space="0" w:color="auto"/>
            <w:right w:val="none" w:sz="0" w:space="0" w:color="auto"/>
          </w:divBdr>
        </w:div>
        <w:div w:id="754862046">
          <w:marLeft w:val="0"/>
          <w:marRight w:val="0"/>
          <w:marTop w:val="0"/>
          <w:marBottom w:val="0"/>
          <w:divBdr>
            <w:top w:val="none" w:sz="0" w:space="0" w:color="auto"/>
            <w:left w:val="none" w:sz="0" w:space="0" w:color="auto"/>
            <w:bottom w:val="none" w:sz="0" w:space="0" w:color="auto"/>
            <w:right w:val="none" w:sz="0" w:space="0" w:color="auto"/>
          </w:divBdr>
        </w:div>
        <w:div w:id="1642542572">
          <w:marLeft w:val="0"/>
          <w:marRight w:val="0"/>
          <w:marTop w:val="0"/>
          <w:marBottom w:val="0"/>
          <w:divBdr>
            <w:top w:val="none" w:sz="0" w:space="0" w:color="auto"/>
            <w:left w:val="none" w:sz="0" w:space="0" w:color="auto"/>
            <w:bottom w:val="none" w:sz="0" w:space="0" w:color="auto"/>
            <w:right w:val="none" w:sz="0" w:space="0" w:color="auto"/>
          </w:divBdr>
        </w:div>
      </w:divsChild>
    </w:div>
    <w:div w:id="895043215">
      <w:bodyDiv w:val="1"/>
      <w:marLeft w:val="0"/>
      <w:marRight w:val="0"/>
      <w:marTop w:val="0"/>
      <w:marBottom w:val="0"/>
      <w:divBdr>
        <w:top w:val="none" w:sz="0" w:space="0" w:color="auto"/>
        <w:left w:val="none" w:sz="0" w:space="0" w:color="auto"/>
        <w:bottom w:val="none" w:sz="0" w:space="0" w:color="auto"/>
        <w:right w:val="none" w:sz="0" w:space="0" w:color="auto"/>
      </w:divBdr>
      <w:divsChild>
        <w:div w:id="767384891">
          <w:marLeft w:val="0"/>
          <w:marRight w:val="0"/>
          <w:marTop w:val="0"/>
          <w:marBottom w:val="0"/>
          <w:divBdr>
            <w:top w:val="none" w:sz="0" w:space="0" w:color="auto"/>
            <w:left w:val="none" w:sz="0" w:space="0" w:color="auto"/>
            <w:bottom w:val="none" w:sz="0" w:space="0" w:color="auto"/>
            <w:right w:val="none" w:sz="0" w:space="0" w:color="auto"/>
          </w:divBdr>
        </w:div>
        <w:div w:id="768038185">
          <w:marLeft w:val="0"/>
          <w:marRight w:val="0"/>
          <w:marTop w:val="0"/>
          <w:marBottom w:val="0"/>
          <w:divBdr>
            <w:top w:val="none" w:sz="0" w:space="0" w:color="auto"/>
            <w:left w:val="none" w:sz="0" w:space="0" w:color="auto"/>
            <w:bottom w:val="none" w:sz="0" w:space="0" w:color="auto"/>
            <w:right w:val="none" w:sz="0" w:space="0" w:color="auto"/>
          </w:divBdr>
        </w:div>
      </w:divsChild>
    </w:div>
    <w:div w:id="926113005">
      <w:bodyDiv w:val="1"/>
      <w:marLeft w:val="0"/>
      <w:marRight w:val="0"/>
      <w:marTop w:val="0"/>
      <w:marBottom w:val="0"/>
      <w:divBdr>
        <w:top w:val="none" w:sz="0" w:space="0" w:color="auto"/>
        <w:left w:val="none" w:sz="0" w:space="0" w:color="auto"/>
        <w:bottom w:val="none" w:sz="0" w:space="0" w:color="auto"/>
        <w:right w:val="none" w:sz="0" w:space="0" w:color="auto"/>
      </w:divBdr>
      <w:divsChild>
        <w:div w:id="129176141">
          <w:marLeft w:val="0"/>
          <w:marRight w:val="0"/>
          <w:marTop w:val="0"/>
          <w:marBottom w:val="0"/>
          <w:divBdr>
            <w:top w:val="none" w:sz="0" w:space="0" w:color="auto"/>
            <w:left w:val="none" w:sz="0" w:space="0" w:color="auto"/>
            <w:bottom w:val="none" w:sz="0" w:space="0" w:color="auto"/>
            <w:right w:val="none" w:sz="0" w:space="0" w:color="auto"/>
          </w:divBdr>
        </w:div>
        <w:div w:id="508831905">
          <w:marLeft w:val="0"/>
          <w:marRight w:val="0"/>
          <w:marTop w:val="0"/>
          <w:marBottom w:val="0"/>
          <w:divBdr>
            <w:top w:val="none" w:sz="0" w:space="0" w:color="auto"/>
            <w:left w:val="none" w:sz="0" w:space="0" w:color="auto"/>
            <w:bottom w:val="none" w:sz="0" w:space="0" w:color="auto"/>
            <w:right w:val="none" w:sz="0" w:space="0" w:color="auto"/>
          </w:divBdr>
        </w:div>
        <w:div w:id="783429042">
          <w:marLeft w:val="0"/>
          <w:marRight w:val="0"/>
          <w:marTop w:val="0"/>
          <w:marBottom w:val="0"/>
          <w:divBdr>
            <w:top w:val="none" w:sz="0" w:space="0" w:color="auto"/>
            <w:left w:val="none" w:sz="0" w:space="0" w:color="auto"/>
            <w:bottom w:val="none" w:sz="0" w:space="0" w:color="auto"/>
            <w:right w:val="none" w:sz="0" w:space="0" w:color="auto"/>
          </w:divBdr>
        </w:div>
      </w:divsChild>
    </w:div>
    <w:div w:id="936519743">
      <w:bodyDiv w:val="1"/>
      <w:marLeft w:val="0"/>
      <w:marRight w:val="0"/>
      <w:marTop w:val="0"/>
      <w:marBottom w:val="0"/>
      <w:divBdr>
        <w:top w:val="none" w:sz="0" w:space="0" w:color="auto"/>
        <w:left w:val="none" w:sz="0" w:space="0" w:color="auto"/>
        <w:bottom w:val="none" w:sz="0" w:space="0" w:color="auto"/>
        <w:right w:val="none" w:sz="0" w:space="0" w:color="auto"/>
      </w:divBdr>
      <w:divsChild>
        <w:div w:id="32847670">
          <w:marLeft w:val="0"/>
          <w:marRight w:val="0"/>
          <w:marTop w:val="0"/>
          <w:marBottom w:val="0"/>
          <w:divBdr>
            <w:top w:val="none" w:sz="0" w:space="0" w:color="auto"/>
            <w:left w:val="none" w:sz="0" w:space="0" w:color="auto"/>
            <w:bottom w:val="none" w:sz="0" w:space="0" w:color="auto"/>
            <w:right w:val="none" w:sz="0" w:space="0" w:color="auto"/>
          </w:divBdr>
        </w:div>
        <w:div w:id="451096390">
          <w:marLeft w:val="0"/>
          <w:marRight w:val="0"/>
          <w:marTop w:val="0"/>
          <w:marBottom w:val="0"/>
          <w:divBdr>
            <w:top w:val="none" w:sz="0" w:space="0" w:color="auto"/>
            <w:left w:val="none" w:sz="0" w:space="0" w:color="auto"/>
            <w:bottom w:val="none" w:sz="0" w:space="0" w:color="auto"/>
            <w:right w:val="none" w:sz="0" w:space="0" w:color="auto"/>
          </w:divBdr>
        </w:div>
        <w:div w:id="727728603">
          <w:marLeft w:val="0"/>
          <w:marRight w:val="0"/>
          <w:marTop w:val="0"/>
          <w:marBottom w:val="0"/>
          <w:divBdr>
            <w:top w:val="none" w:sz="0" w:space="0" w:color="auto"/>
            <w:left w:val="none" w:sz="0" w:space="0" w:color="auto"/>
            <w:bottom w:val="none" w:sz="0" w:space="0" w:color="auto"/>
            <w:right w:val="none" w:sz="0" w:space="0" w:color="auto"/>
          </w:divBdr>
        </w:div>
      </w:divsChild>
    </w:div>
    <w:div w:id="989016132">
      <w:bodyDiv w:val="1"/>
      <w:marLeft w:val="0"/>
      <w:marRight w:val="0"/>
      <w:marTop w:val="0"/>
      <w:marBottom w:val="0"/>
      <w:divBdr>
        <w:top w:val="none" w:sz="0" w:space="0" w:color="auto"/>
        <w:left w:val="none" w:sz="0" w:space="0" w:color="auto"/>
        <w:bottom w:val="none" w:sz="0" w:space="0" w:color="auto"/>
        <w:right w:val="none" w:sz="0" w:space="0" w:color="auto"/>
      </w:divBdr>
      <w:divsChild>
        <w:div w:id="807363649">
          <w:marLeft w:val="0"/>
          <w:marRight w:val="0"/>
          <w:marTop w:val="0"/>
          <w:marBottom w:val="0"/>
          <w:divBdr>
            <w:top w:val="none" w:sz="0" w:space="0" w:color="auto"/>
            <w:left w:val="none" w:sz="0" w:space="0" w:color="auto"/>
            <w:bottom w:val="none" w:sz="0" w:space="0" w:color="auto"/>
            <w:right w:val="none" w:sz="0" w:space="0" w:color="auto"/>
          </w:divBdr>
        </w:div>
        <w:div w:id="1031297389">
          <w:marLeft w:val="0"/>
          <w:marRight w:val="0"/>
          <w:marTop w:val="0"/>
          <w:marBottom w:val="0"/>
          <w:divBdr>
            <w:top w:val="none" w:sz="0" w:space="0" w:color="auto"/>
            <w:left w:val="none" w:sz="0" w:space="0" w:color="auto"/>
            <w:bottom w:val="none" w:sz="0" w:space="0" w:color="auto"/>
            <w:right w:val="none" w:sz="0" w:space="0" w:color="auto"/>
          </w:divBdr>
        </w:div>
      </w:divsChild>
    </w:div>
    <w:div w:id="989753958">
      <w:bodyDiv w:val="1"/>
      <w:marLeft w:val="0"/>
      <w:marRight w:val="0"/>
      <w:marTop w:val="0"/>
      <w:marBottom w:val="0"/>
      <w:divBdr>
        <w:top w:val="none" w:sz="0" w:space="0" w:color="auto"/>
        <w:left w:val="none" w:sz="0" w:space="0" w:color="auto"/>
        <w:bottom w:val="none" w:sz="0" w:space="0" w:color="auto"/>
        <w:right w:val="none" w:sz="0" w:space="0" w:color="auto"/>
      </w:divBdr>
      <w:divsChild>
        <w:div w:id="854154892">
          <w:marLeft w:val="0"/>
          <w:marRight w:val="0"/>
          <w:marTop w:val="0"/>
          <w:marBottom w:val="0"/>
          <w:divBdr>
            <w:top w:val="none" w:sz="0" w:space="0" w:color="auto"/>
            <w:left w:val="none" w:sz="0" w:space="0" w:color="auto"/>
            <w:bottom w:val="none" w:sz="0" w:space="0" w:color="auto"/>
            <w:right w:val="none" w:sz="0" w:space="0" w:color="auto"/>
          </w:divBdr>
        </w:div>
        <w:div w:id="1217811400">
          <w:marLeft w:val="0"/>
          <w:marRight w:val="0"/>
          <w:marTop w:val="0"/>
          <w:marBottom w:val="0"/>
          <w:divBdr>
            <w:top w:val="none" w:sz="0" w:space="0" w:color="auto"/>
            <w:left w:val="none" w:sz="0" w:space="0" w:color="auto"/>
            <w:bottom w:val="none" w:sz="0" w:space="0" w:color="auto"/>
            <w:right w:val="none" w:sz="0" w:space="0" w:color="auto"/>
          </w:divBdr>
        </w:div>
        <w:div w:id="2009018833">
          <w:marLeft w:val="0"/>
          <w:marRight w:val="0"/>
          <w:marTop w:val="0"/>
          <w:marBottom w:val="0"/>
          <w:divBdr>
            <w:top w:val="none" w:sz="0" w:space="0" w:color="auto"/>
            <w:left w:val="none" w:sz="0" w:space="0" w:color="auto"/>
            <w:bottom w:val="none" w:sz="0" w:space="0" w:color="auto"/>
            <w:right w:val="none" w:sz="0" w:space="0" w:color="auto"/>
          </w:divBdr>
        </w:div>
      </w:divsChild>
    </w:div>
    <w:div w:id="1037005022">
      <w:bodyDiv w:val="1"/>
      <w:marLeft w:val="0"/>
      <w:marRight w:val="0"/>
      <w:marTop w:val="0"/>
      <w:marBottom w:val="0"/>
      <w:divBdr>
        <w:top w:val="none" w:sz="0" w:space="0" w:color="auto"/>
        <w:left w:val="none" w:sz="0" w:space="0" w:color="auto"/>
        <w:bottom w:val="none" w:sz="0" w:space="0" w:color="auto"/>
        <w:right w:val="none" w:sz="0" w:space="0" w:color="auto"/>
      </w:divBdr>
      <w:divsChild>
        <w:div w:id="202638268">
          <w:marLeft w:val="0"/>
          <w:marRight w:val="0"/>
          <w:marTop w:val="0"/>
          <w:marBottom w:val="0"/>
          <w:divBdr>
            <w:top w:val="none" w:sz="0" w:space="0" w:color="auto"/>
            <w:left w:val="none" w:sz="0" w:space="0" w:color="auto"/>
            <w:bottom w:val="none" w:sz="0" w:space="0" w:color="auto"/>
            <w:right w:val="none" w:sz="0" w:space="0" w:color="auto"/>
          </w:divBdr>
        </w:div>
        <w:div w:id="661003133">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5839009">
      <w:bodyDiv w:val="1"/>
      <w:marLeft w:val="0"/>
      <w:marRight w:val="0"/>
      <w:marTop w:val="0"/>
      <w:marBottom w:val="0"/>
      <w:divBdr>
        <w:top w:val="none" w:sz="0" w:space="0" w:color="auto"/>
        <w:left w:val="none" w:sz="0" w:space="0" w:color="auto"/>
        <w:bottom w:val="none" w:sz="0" w:space="0" w:color="auto"/>
        <w:right w:val="none" w:sz="0" w:space="0" w:color="auto"/>
      </w:divBdr>
      <w:divsChild>
        <w:div w:id="1100643655">
          <w:marLeft w:val="0"/>
          <w:marRight w:val="0"/>
          <w:marTop w:val="0"/>
          <w:marBottom w:val="0"/>
          <w:divBdr>
            <w:top w:val="none" w:sz="0" w:space="0" w:color="auto"/>
            <w:left w:val="none" w:sz="0" w:space="0" w:color="auto"/>
            <w:bottom w:val="none" w:sz="0" w:space="0" w:color="auto"/>
            <w:right w:val="none" w:sz="0" w:space="0" w:color="auto"/>
          </w:divBdr>
        </w:div>
        <w:div w:id="1290477265">
          <w:marLeft w:val="0"/>
          <w:marRight w:val="0"/>
          <w:marTop w:val="0"/>
          <w:marBottom w:val="0"/>
          <w:divBdr>
            <w:top w:val="none" w:sz="0" w:space="0" w:color="auto"/>
            <w:left w:val="none" w:sz="0" w:space="0" w:color="auto"/>
            <w:bottom w:val="none" w:sz="0" w:space="0" w:color="auto"/>
            <w:right w:val="none" w:sz="0" w:space="0" w:color="auto"/>
          </w:divBdr>
        </w:div>
        <w:div w:id="1390887345">
          <w:marLeft w:val="0"/>
          <w:marRight w:val="0"/>
          <w:marTop w:val="0"/>
          <w:marBottom w:val="0"/>
          <w:divBdr>
            <w:top w:val="none" w:sz="0" w:space="0" w:color="auto"/>
            <w:left w:val="none" w:sz="0" w:space="0" w:color="auto"/>
            <w:bottom w:val="none" w:sz="0" w:space="0" w:color="auto"/>
            <w:right w:val="none" w:sz="0" w:space="0" w:color="auto"/>
          </w:divBdr>
        </w:div>
        <w:div w:id="2103530807">
          <w:marLeft w:val="0"/>
          <w:marRight w:val="0"/>
          <w:marTop w:val="0"/>
          <w:marBottom w:val="0"/>
          <w:divBdr>
            <w:top w:val="none" w:sz="0" w:space="0" w:color="auto"/>
            <w:left w:val="none" w:sz="0" w:space="0" w:color="auto"/>
            <w:bottom w:val="none" w:sz="0" w:space="0" w:color="auto"/>
            <w:right w:val="none" w:sz="0" w:space="0" w:color="auto"/>
          </w:divBdr>
        </w:div>
      </w:divsChild>
    </w:div>
    <w:div w:id="1109550842">
      <w:bodyDiv w:val="1"/>
      <w:marLeft w:val="0"/>
      <w:marRight w:val="0"/>
      <w:marTop w:val="0"/>
      <w:marBottom w:val="0"/>
      <w:divBdr>
        <w:top w:val="none" w:sz="0" w:space="0" w:color="auto"/>
        <w:left w:val="none" w:sz="0" w:space="0" w:color="auto"/>
        <w:bottom w:val="none" w:sz="0" w:space="0" w:color="auto"/>
        <w:right w:val="none" w:sz="0" w:space="0" w:color="auto"/>
      </w:divBdr>
      <w:divsChild>
        <w:div w:id="1332834320">
          <w:marLeft w:val="0"/>
          <w:marRight w:val="0"/>
          <w:marTop w:val="0"/>
          <w:marBottom w:val="0"/>
          <w:divBdr>
            <w:top w:val="none" w:sz="0" w:space="0" w:color="auto"/>
            <w:left w:val="none" w:sz="0" w:space="0" w:color="auto"/>
            <w:bottom w:val="none" w:sz="0" w:space="0" w:color="auto"/>
            <w:right w:val="none" w:sz="0" w:space="0" w:color="auto"/>
          </w:divBdr>
        </w:div>
        <w:div w:id="1720199764">
          <w:marLeft w:val="0"/>
          <w:marRight w:val="0"/>
          <w:marTop w:val="0"/>
          <w:marBottom w:val="0"/>
          <w:divBdr>
            <w:top w:val="none" w:sz="0" w:space="0" w:color="auto"/>
            <w:left w:val="none" w:sz="0" w:space="0" w:color="auto"/>
            <w:bottom w:val="none" w:sz="0" w:space="0" w:color="auto"/>
            <w:right w:val="none" w:sz="0" w:space="0" w:color="auto"/>
          </w:divBdr>
        </w:div>
        <w:div w:id="1971090545">
          <w:marLeft w:val="0"/>
          <w:marRight w:val="0"/>
          <w:marTop w:val="0"/>
          <w:marBottom w:val="0"/>
          <w:divBdr>
            <w:top w:val="none" w:sz="0" w:space="0" w:color="auto"/>
            <w:left w:val="none" w:sz="0" w:space="0" w:color="auto"/>
            <w:bottom w:val="none" w:sz="0" w:space="0" w:color="auto"/>
            <w:right w:val="none" w:sz="0" w:space="0" w:color="auto"/>
          </w:divBdr>
        </w:div>
      </w:divsChild>
    </w:div>
    <w:div w:id="1120611651">
      <w:bodyDiv w:val="1"/>
      <w:marLeft w:val="0"/>
      <w:marRight w:val="0"/>
      <w:marTop w:val="0"/>
      <w:marBottom w:val="0"/>
      <w:divBdr>
        <w:top w:val="none" w:sz="0" w:space="0" w:color="auto"/>
        <w:left w:val="none" w:sz="0" w:space="0" w:color="auto"/>
        <w:bottom w:val="none" w:sz="0" w:space="0" w:color="auto"/>
        <w:right w:val="none" w:sz="0" w:space="0" w:color="auto"/>
      </w:divBdr>
      <w:divsChild>
        <w:div w:id="802816352">
          <w:marLeft w:val="0"/>
          <w:marRight w:val="0"/>
          <w:marTop w:val="0"/>
          <w:marBottom w:val="0"/>
          <w:divBdr>
            <w:top w:val="none" w:sz="0" w:space="0" w:color="auto"/>
            <w:left w:val="none" w:sz="0" w:space="0" w:color="auto"/>
            <w:bottom w:val="none" w:sz="0" w:space="0" w:color="auto"/>
            <w:right w:val="none" w:sz="0" w:space="0" w:color="auto"/>
          </w:divBdr>
        </w:div>
        <w:div w:id="1241790224">
          <w:marLeft w:val="0"/>
          <w:marRight w:val="0"/>
          <w:marTop w:val="0"/>
          <w:marBottom w:val="0"/>
          <w:divBdr>
            <w:top w:val="none" w:sz="0" w:space="0" w:color="auto"/>
            <w:left w:val="none" w:sz="0" w:space="0" w:color="auto"/>
            <w:bottom w:val="none" w:sz="0" w:space="0" w:color="auto"/>
            <w:right w:val="none" w:sz="0" w:space="0" w:color="auto"/>
          </w:divBdr>
        </w:div>
        <w:div w:id="1905409000">
          <w:marLeft w:val="0"/>
          <w:marRight w:val="0"/>
          <w:marTop w:val="0"/>
          <w:marBottom w:val="0"/>
          <w:divBdr>
            <w:top w:val="none" w:sz="0" w:space="0" w:color="auto"/>
            <w:left w:val="none" w:sz="0" w:space="0" w:color="auto"/>
            <w:bottom w:val="none" w:sz="0" w:space="0" w:color="auto"/>
            <w:right w:val="none" w:sz="0" w:space="0" w:color="auto"/>
          </w:divBdr>
        </w:div>
        <w:div w:id="1936284449">
          <w:marLeft w:val="0"/>
          <w:marRight w:val="0"/>
          <w:marTop w:val="0"/>
          <w:marBottom w:val="0"/>
          <w:divBdr>
            <w:top w:val="none" w:sz="0" w:space="0" w:color="auto"/>
            <w:left w:val="none" w:sz="0" w:space="0" w:color="auto"/>
            <w:bottom w:val="none" w:sz="0" w:space="0" w:color="auto"/>
            <w:right w:val="none" w:sz="0" w:space="0" w:color="auto"/>
          </w:divBdr>
        </w:div>
      </w:divsChild>
    </w:div>
    <w:div w:id="1162625120">
      <w:bodyDiv w:val="1"/>
      <w:marLeft w:val="0"/>
      <w:marRight w:val="0"/>
      <w:marTop w:val="0"/>
      <w:marBottom w:val="0"/>
      <w:divBdr>
        <w:top w:val="none" w:sz="0" w:space="0" w:color="auto"/>
        <w:left w:val="none" w:sz="0" w:space="0" w:color="auto"/>
        <w:bottom w:val="none" w:sz="0" w:space="0" w:color="auto"/>
        <w:right w:val="none" w:sz="0" w:space="0" w:color="auto"/>
      </w:divBdr>
    </w:div>
    <w:div w:id="1165123275">
      <w:bodyDiv w:val="1"/>
      <w:marLeft w:val="0"/>
      <w:marRight w:val="0"/>
      <w:marTop w:val="0"/>
      <w:marBottom w:val="0"/>
      <w:divBdr>
        <w:top w:val="none" w:sz="0" w:space="0" w:color="auto"/>
        <w:left w:val="none" w:sz="0" w:space="0" w:color="auto"/>
        <w:bottom w:val="none" w:sz="0" w:space="0" w:color="auto"/>
        <w:right w:val="none" w:sz="0" w:space="0" w:color="auto"/>
      </w:divBdr>
      <w:divsChild>
        <w:div w:id="21707745">
          <w:marLeft w:val="0"/>
          <w:marRight w:val="0"/>
          <w:marTop w:val="0"/>
          <w:marBottom w:val="0"/>
          <w:divBdr>
            <w:top w:val="none" w:sz="0" w:space="0" w:color="auto"/>
            <w:left w:val="none" w:sz="0" w:space="0" w:color="auto"/>
            <w:bottom w:val="none" w:sz="0" w:space="0" w:color="auto"/>
            <w:right w:val="none" w:sz="0" w:space="0" w:color="auto"/>
          </w:divBdr>
        </w:div>
        <w:div w:id="562958060">
          <w:marLeft w:val="0"/>
          <w:marRight w:val="0"/>
          <w:marTop w:val="0"/>
          <w:marBottom w:val="0"/>
          <w:divBdr>
            <w:top w:val="none" w:sz="0" w:space="0" w:color="auto"/>
            <w:left w:val="none" w:sz="0" w:space="0" w:color="auto"/>
            <w:bottom w:val="none" w:sz="0" w:space="0" w:color="auto"/>
            <w:right w:val="none" w:sz="0" w:space="0" w:color="auto"/>
          </w:divBdr>
        </w:div>
        <w:div w:id="1203205577">
          <w:marLeft w:val="0"/>
          <w:marRight w:val="0"/>
          <w:marTop w:val="0"/>
          <w:marBottom w:val="0"/>
          <w:divBdr>
            <w:top w:val="none" w:sz="0" w:space="0" w:color="auto"/>
            <w:left w:val="none" w:sz="0" w:space="0" w:color="auto"/>
            <w:bottom w:val="none" w:sz="0" w:space="0" w:color="auto"/>
            <w:right w:val="none" w:sz="0" w:space="0" w:color="auto"/>
          </w:divBdr>
        </w:div>
        <w:div w:id="1465074267">
          <w:marLeft w:val="0"/>
          <w:marRight w:val="0"/>
          <w:marTop w:val="0"/>
          <w:marBottom w:val="0"/>
          <w:divBdr>
            <w:top w:val="none" w:sz="0" w:space="0" w:color="auto"/>
            <w:left w:val="none" w:sz="0" w:space="0" w:color="auto"/>
            <w:bottom w:val="none" w:sz="0" w:space="0" w:color="auto"/>
            <w:right w:val="none" w:sz="0" w:space="0" w:color="auto"/>
          </w:divBdr>
        </w:div>
        <w:div w:id="1816145203">
          <w:marLeft w:val="0"/>
          <w:marRight w:val="0"/>
          <w:marTop w:val="0"/>
          <w:marBottom w:val="0"/>
          <w:divBdr>
            <w:top w:val="none" w:sz="0" w:space="0" w:color="auto"/>
            <w:left w:val="none" w:sz="0" w:space="0" w:color="auto"/>
            <w:bottom w:val="none" w:sz="0" w:space="0" w:color="auto"/>
            <w:right w:val="none" w:sz="0" w:space="0" w:color="auto"/>
          </w:divBdr>
        </w:div>
      </w:divsChild>
    </w:div>
    <w:div w:id="1182279498">
      <w:bodyDiv w:val="1"/>
      <w:marLeft w:val="0"/>
      <w:marRight w:val="0"/>
      <w:marTop w:val="0"/>
      <w:marBottom w:val="0"/>
      <w:divBdr>
        <w:top w:val="none" w:sz="0" w:space="0" w:color="auto"/>
        <w:left w:val="none" w:sz="0" w:space="0" w:color="auto"/>
        <w:bottom w:val="none" w:sz="0" w:space="0" w:color="auto"/>
        <w:right w:val="none" w:sz="0" w:space="0" w:color="auto"/>
      </w:divBdr>
      <w:divsChild>
        <w:div w:id="255553582">
          <w:marLeft w:val="0"/>
          <w:marRight w:val="0"/>
          <w:marTop w:val="0"/>
          <w:marBottom w:val="0"/>
          <w:divBdr>
            <w:top w:val="none" w:sz="0" w:space="0" w:color="auto"/>
            <w:left w:val="none" w:sz="0" w:space="0" w:color="auto"/>
            <w:bottom w:val="none" w:sz="0" w:space="0" w:color="auto"/>
            <w:right w:val="none" w:sz="0" w:space="0" w:color="auto"/>
          </w:divBdr>
        </w:div>
        <w:div w:id="1293704924">
          <w:marLeft w:val="0"/>
          <w:marRight w:val="0"/>
          <w:marTop w:val="0"/>
          <w:marBottom w:val="0"/>
          <w:divBdr>
            <w:top w:val="none" w:sz="0" w:space="0" w:color="auto"/>
            <w:left w:val="none" w:sz="0" w:space="0" w:color="auto"/>
            <w:bottom w:val="none" w:sz="0" w:space="0" w:color="auto"/>
            <w:right w:val="none" w:sz="0" w:space="0" w:color="auto"/>
          </w:divBdr>
        </w:div>
        <w:div w:id="1882788695">
          <w:marLeft w:val="0"/>
          <w:marRight w:val="0"/>
          <w:marTop w:val="0"/>
          <w:marBottom w:val="0"/>
          <w:divBdr>
            <w:top w:val="none" w:sz="0" w:space="0" w:color="auto"/>
            <w:left w:val="none" w:sz="0" w:space="0" w:color="auto"/>
            <w:bottom w:val="none" w:sz="0" w:space="0" w:color="auto"/>
            <w:right w:val="none" w:sz="0" w:space="0" w:color="auto"/>
          </w:divBdr>
        </w:div>
        <w:div w:id="2095470245">
          <w:marLeft w:val="0"/>
          <w:marRight w:val="0"/>
          <w:marTop w:val="0"/>
          <w:marBottom w:val="0"/>
          <w:divBdr>
            <w:top w:val="none" w:sz="0" w:space="0" w:color="auto"/>
            <w:left w:val="none" w:sz="0" w:space="0" w:color="auto"/>
            <w:bottom w:val="none" w:sz="0" w:space="0" w:color="auto"/>
            <w:right w:val="none" w:sz="0" w:space="0" w:color="auto"/>
          </w:divBdr>
        </w:div>
      </w:divsChild>
    </w:div>
    <w:div w:id="1214922376">
      <w:bodyDiv w:val="1"/>
      <w:marLeft w:val="0"/>
      <w:marRight w:val="0"/>
      <w:marTop w:val="0"/>
      <w:marBottom w:val="0"/>
      <w:divBdr>
        <w:top w:val="none" w:sz="0" w:space="0" w:color="auto"/>
        <w:left w:val="none" w:sz="0" w:space="0" w:color="auto"/>
        <w:bottom w:val="none" w:sz="0" w:space="0" w:color="auto"/>
        <w:right w:val="none" w:sz="0" w:space="0" w:color="auto"/>
      </w:divBdr>
      <w:divsChild>
        <w:div w:id="432482438">
          <w:marLeft w:val="0"/>
          <w:marRight w:val="0"/>
          <w:marTop w:val="0"/>
          <w:marBottom w:val="0"/>
          <w:divBdr>
            <w:top w:val="none" w:sz="0" w:space="0" w:color="auto"/>
            <w:left w:val="none" w:sz="0" w:space="0" w:color="auto"/>
            <w:bottom w:val="none" w:sz="0" w:space="0" w:color="auto"/>
            <w:right w:val="none" w:sz="0" w:space="0" w:color="auto"/>
          </w:divBdr>
        </w:div>
        <w:div w:id="577594684">
          <w:marLeft w:val="0"/>
          <w:marRight w:val="0"/>
          <w:marTop w:val="0"/>
          <w:marBottom w:val="0"/>
          <w:divBdr>
            <w:top w:val="none" w:sz="0" w:space="0" w:color="auto"/>
            <w:left w:val="none" w:sz="0" w:space="0" w:color="auto"/>
            <w:bottom w:val="none" w:sz="0" w:space="0" w:color="auto"/>
            <w:right w:val="none" w:sz="0" w:space="0" w:color="auto"/>
          </w:divBdr>
        </w:div>
        <w:div w:id="1173109466">
          <w:marLeft w:val="0"/>
          <w:marRight w:val="0"/>
          <w:marTop w:val="0"/>
          <w:marBottom w:val="0"/>
          <w:divBdr>
            <w:top w:val="none" w:sz="0" w:space="0" w:color="auto"/>
            <w:left w:val="none" w:sz="0" w:space="0" w:color="auto"/>
            <w:bottom w:val="none" w:sz="0" w:space="0" w:color="auto"/>
            <w:right w:val="none" w:sz="0" w:space="0" w:color="auto"/>
          </w:divBdr>
        </w:div>
        <w:div w:id="1267805486">
          <w:marLeft w:val="0"/>
          <w:marRight w:val="0"/>
          <w:marTop w:val="0"/>
          <w:marBottom w:val="0"/>
          <w:divBdr>
            <w:top w:val="none" w:sz="0" w:space="0" w:color="auto"/>
            <w:left w:val="none" w:sz="0" w:space="0" w:color="auto"/>
            <w:bottom w:val="none" w:sz="0" w:space="0" w:color="auto"/>
            <w:right w:val="none" w:sz="0" w:space="0" w:color="auto"/>
          </w:divBdr>
        </w:div>
        <w:div w:id="1477144398">
          <w:marLeft w:val="0"/>
          <w:marRight w:val="0"/>
          <w:marTop w:val="0"/>
          <w:marBottom w:val="0"/>
          <w:divBdr>
            <w:top w:val="none" w:sz="0" w:space="0" w:color="auto"/>
            <w:left w:val="none" w:sz="0" w:space="0" w:color="auto"/>
            <w:bottom w:val="none" w:sz="0" w:space="0" w:color="auto"/>
            <w:right w:val="none" w:sz="0" w:space="0" w:color="auto"/>
          </w:divBdr>
        </w:div>
        <w:div w:id="1588536491">
          <w:marLeft w:val="0"/>
          <w:marRight w:val="0"/>
          <w:marTop w:val="0"/>
          <w:marBottom w:val="0"/>
          <w:divBdr>
            <w:top w:val="none" w:sz="0" w:space="0" w:color="auto"/>
            <w:left w:val="none" w:sz="0" w:space="0" w:color="auto"/>
            <w:bottom w:val="none" w:sz="0" w:space="0" w:color="auto"/>
            <w:right w:val="none" w:sz="0" w:space="0" w:color="auto"/>
          </w:divBdr>
        </w:div>
        <w:div w:id="1638026170">
          <w:marLeft w:val="0"/>
          <w:marRight w:val="0"/>
          <w:marTop w:val="0"/>
          <w:marBottom w:val="0"/>
          <w:divBdr>
            <w:top w:val="none" w:sz="0" w:space="0" w:color="auto"/>
            <w:left w:val="none" w:sz="0" w:space="0" w:color="auto"/>
            <w:bottom w:val="none" w:sz="0" w:space="0" w:color="auto"/>
            <w:right w:val="none" w:sz="0" w:space="0" w:color="auto"/>
          </w:divBdr>
        </w:div>
      </w:divsChild>
    </w:div>
    <w:div w:id="1217160562">
      <w:bodyDiv w:val="1"/>
      <w:marLeft w:val="0"/>
      <w:marRight w:val="0"/>
      <w:marTop w:val="0"/>
      <w:marBottom w:val="0"/>
      <w:divBdr>
        <w:top w:val="none" w:sz="0" w:space="0" w:color="auto"/>
        <w:left w:val="none" w:sz="0" w:space="0" w:color="auto"/>
        <w:bottom w:val="none" w:sz="0" w:space="0" w:color="auto"/>
        <w:right w:val="none" w:sz="0" w:space="0" w:color="auto"/>
      </w:divBdr>
      <w:divsChild>
        <w:div w:id="57900238">
          <w:marLeft w:val="0"/>
          <w:marRight w:val="0"/>
          <w:marTop w:val="0"/>
          <w:marBottom w:val="0"/>
          <w:divBdr>
            <w:top w:val="none" w:sz="0" w:space="0" w:color="auto"/>
            <w:left w:val="none" w:sz="0" w:space="0" w:color="auto"/>
            <w:bottom w:val="none" w:sz="0" w:space="0" w:color="auto"/>
            <w:right w:val="none" w:sz="0" w:space="0" w:color="auto"/>
          </w:divBdr>
        </w:div>
        <w:div w:id="142432148">
          <w:marLeft w:val="0"/>
          <w:marRight w:val="0"/>
          <w:marTop w:val="0"/>
          <w:marBottom w:val="0"/>
          <w:divBdr>
            <w:top w:val="none" w:sz="0" w:space="0" w:color="auto"/>
            <w:left w:val="none" w:sz="0" w:space="0" w:color="auto"/>
            <w:bottom w:val="none" w:sz="0" w:space="0" w:color="auto"/>
            <w:right w:val="none" w:sz="0" w:space="0" w:color="auto"/>
          </w:divBdr>
        </w:div>
        <w:div w:id="258217474">
          <w:marLeft w:val="0"/>
          <w:marRight w:val="0"/>
          <w:marTop w:val="0"/>
          <w:marBottom w:val="0"/>
          <w:divBdr>
            <w:top w:val="none" w:sz="0" w:space="0" w:color="auto"/>
            <w:left w:val="none" w:sz="0" w:space="0" w:color="auto"/>
            <w:bottom w:val="none" w:sz="0" w:space="0" w:color="auto"/>
            <w:right w:val="none" w:sz="0" w:space="0" w:color="auto"/>
          </w:divBdr>
        </w:div>
        <w:div w:id="412968752">
          <w:marLeft w:val="0"/>
          <w:marRight w:val="0"/>
          <w:marTop w:val="0"/>
          <w:marBottom w:val="0"/>
          <w:divBdr>
            <w:top w:val="none" w:sz="0" w:space="0" w:color="auto"/>
            <w:left w:val="none" w:sz="0" w:space="0" w:color="auto"/>
            <w:bottom w:val="none" w:sz="0" w:space="0" w:color="auto"/>
            <w:right w:val="none" w:sz="0" w:space="0" w:color="auto"/>
          </w:divBdr>
        </w:div>
        <w:div w:id="618874128">
          <w:marLeft w:val="0"/>
          <w:marRight w:val="0"/>
          <w:marTop w:val="0"/>
          <w:marBottom w:val="0"/>
          <w:divBdr>
            <w:top w:val="none" w:sz="0" w:space="0" w:color="auto"/>
            <w:left w:val="none" w:sz="0" w:space="0" w:color="auto"/>
            <w:bottom w:val="none" w:sz="0" w:space="0" w:color="auto"/>
            <w:right w:val="none" w:sz="0" w:space="0" w:color="auto"/>
          </w:divBdr>
        </w:div>
        <w:div w:id="1234775218">
          <w:marLeft w:val="0"/>
          <w:marRight w:val="0"/>
          <w:marTop w:val="0"/>
          <w:marBottom w:val="0"/>
          <w:divBdr>
            <w:top w:val="none" w:sz="0" w:space="0" w:color="auto"/>
            <w:left w:val="none" w:sz="0" w:space="0" w:color="auto"/>
            <w:bottom w:val="none" w:sz="0" w:space="0" w:color="auto"/>
            <w:right w:val="none" w:sz="0" w:space="0" w:color="auto"/>
          </w:divBdr>
        </w:div>
        <w:div w:id="1494565773">
          <w:marLeft w:val="0"/>
          <w:marRight w:val="0"/>
          <w:marTop w:val="0"/>
          <w:marBottom w:val="0"/>
          <w:divBdr>
            <w:top w:val="none" w:sz="0" w:space="0" w:color="auto"/>
            <w:left w:val="none" w:sz="0" w:space="0" w:color="auto"/>
            <w:bottom w:val="none" w:sz="0" w:space="0" w:color="auto"/>
            <w:right w:val="none" w:sz="0" w:space="0" w:color="auto"/>
          </w:divBdr>
        </w:div>
        <w:div w:id="1720133835">
          <w:marLeft w:val="0"/>
          <w:marRight w:val="0"/>
          <w:marTop w:val="0"/>
          <w:marBottom w:val="0"/>
          <w:divBdr>
            <w:top w:val="none" w:sz="0" w:space="0" w:color="auto"/>
            <w:left w:val="none" w:sz="0" w:space="0" w:color="auto"/>
            <w:bottom w:val="none" w:sz="0" w:space="0" w:color="auto"/>
            <w:right w:val="none" w:sz="0" w:space="0" w:color="auto"/>
          </w:divBdr>
        </w:div>
      </w:divsChild>
    </w:div>
    <w:div w:id="1219705295">
      <w:bodyDiv w:val="1"/>
      <w:marLeft w:val="0"/>
      <w:marRight w:val="0"/>
      <w:marTop w:val="0"/>
      <w:marBottom w:val="0"/>
      <w:divBdr>
        <w:top w:val="none" w:sz="0" w:space="0" w:color="auto"/>
        <w:left w:val="none" w:sz="0" w:space="0" w:color="auto"/>
        <w:bottom w:val="none" w:sz="0" w:space="0" w:color="auto"/>
        <w:right w:val="none" w:sz="0" w:space="0" w:color="auto"/>
      </w:divBdr>
      <w:divsChild>
        <w:div w:id="646667997">
          <w:marLeft w:val="0"/>
          <w:marRight w:val="0"/>
          <w:marTop w:val="0"/>
          <w:marBottom w:val="0"/>
          <w:divBdr>
            <w:top w:val="none" w:sz="0" w:space="0" w:color="auto"/>
            <w:left w:val="none" w:sz="0" w:space="0" w:color="auto"/>
            <w:bottom w:val="none" w:sz="0" w:space="0" w:color="auto"/>
            <w:right w:val="none" w:sz="0" w:space="0" w:color="auto"/>
          </w:divBdr>
        </w:div>
        <w:div w:id="1822116599">
          <w:marLeft w:val="0"/>
          <w:marRight w:val="0"/>
          <w:marTop w:val="0"/>
          <w:marBottom w:val="0"/>
          <w:divBdr>
            <w:top w:val="none" w:sz="0" w:space="0" w:color="auto"/>
            <w:left w:val="none" w:sz="0" w:space="0" w:color="auto"/>
            <w:bottom w:val="none" w:sz="0" w:space="0" w:color="auto"/>
            <w:right w:val="none" w:sz="0" w:space="0" w:color="auto"/>
          </w:divBdr>
        </w:div>
        <w:div w:id="2121952028">
          <w:marLeft w:val="0"/>
          <w:marRight w:val="0"/>
          <w:marTop w:val="0"/>
          <w:marBottom w:val="0"/>
          <w:divBdr>
            <w:top w:val="none" w:sz="0" w:space="0" w:color="auto"/>
            <w:left w:val="none" w:sz="0" w:space="0" w:color="auto"/>
            <w:bottom w:val="none" w:sz="0" w:space="0" w:color="auto"/>
            <w:right w:val="none" w:sz="0" w:space="0" w:color="auto"/>
          </w:divBdr>
        </w:div>
      </w:divsChild>
    </w:div>
    <w:div w:id="1254515994">
      <w:bodyDiv w:val="1"/>
      <w:marLeft w:val="0"/>
      <w:marRight w:val="0"/>
      <w:marTop w:val="0"/>
      <w:marBottom w:val="0"/>
      <w:divBdr>
        <w:top w:val="none" w:sz="0" w:space="0" w:color="auto"/>
        <w:left w:val="none" w:sz="0" w:space="0" w:color="auto"/>
        <w:bottom w:val="none" w:sz="0" w:space="0" w:color="auto"/>
        <w:right w:val="none" w:sz="0" w:space="0" w:color="auto"/>
      </w:divBdr>
      <w:divsChild>
        <w:div w:id="121732047">
          <w:marLeft w:val="0"/>
          <w:marRight w:val="0"/>
          <w:marTop w:val="0"/>
          <w:marBottom w:val="0"/>
          <w:divBdr>
            <w:top w:val="none" w:sz="0" w:space="0" w:color="auto"/>
            <w:left w:val="none" w:sz="0" w:space="0" w:color="auto"/>
            <w:bottom w:val="none" w:sz="0" w:space="0" w:color="auto"/>
            <w:right w:val="none" w:sz="0" w:space="0" w:color="auto"/>
          </w:divBdr>
        </w:div>
        <w:div w:id="421487401">
          <w:marLeft w:val="0"/>
          <w:marRight w:val="0"/>
          <w:marTop w:val="0"/>
          <w:marBottom w:val="0"/>
          <w:divBdr>
            <w:top w:val="none" w:sz="0" w:space="0" w:color="auto"/>
            <w:left w:val="none" w:sz="0" w:space="0" w:color="auto"/>
            <w:bottom w:val="none" w:sz="0" w:space="0" w:color="auto"/>
            <w:right w:val="none" w:sz="0" w:space="0" w:color="auto"/>
          </w:divBdr>
        </w:div>
        <w:div w:id="1635988654">
          <w:marLeft w:val="0"/>
          <w:marRight w:val="0"/>
          <w:marTop w:val="0"/>
          <w:marBottom w:val="0"/>
          <w:divBdr>
            <w:top w:val="none" w:sz="0" w:space="0" w:color="auto"/>
            <w:left w:val="none" w:sz="0" w:space="0" w:color="auto"/>
            <w:bottom w:val="none" w:sz="0" w:space="0" w:color="auto"/>
            <w:right w:val="none" w:sz="0" w:space="0" w:color="auto"/>
          </w:divBdr>
        </w:div>
      </w:divsChild>
    </w:div>
    <w:div w:id="1318418131">
      <w:bodyDiv w:val="1"/>
      <w:marLeft w:val="0"/>
      <w:marRight w:val="0"/>
      <w:marTop w:val="0"/>
      <w:marBottom w:val="0"/>
      <w:divBdr>
        <w:top w:val="none" w:sz="0" w:space="0" w:color="auto"/>
        <w:left w:val="none" w:sz="0" w:space="0" w:color="auto"/>
        <w:bottom w:val="none" w:sz="0" w:space="0" w:color="auto"/>
        <w:right w:val="none" w:sz="0" w:space="0" w:color="auto"/>
      </w:divBdr>
      <w:divsChild>
        <w:div w:id="522136427">
          <w:marLeft w:val="0"/>
          <w:marRight w:val="0"/>
          <w:marTop w:val="0"/>
          <w:marBottom w:val="0"/>
          <w:divBdr>
            <w:top w:val="none" w:sz="0" w:space="0" w:color="auto"/>
            <w:left w:val="none" w:sz="0" w:space="0" w:color="auto"/>
            <w:bottom w:val="none" w:sz="0" w:space="0" w:color="auto"/>
            <w:right w:val="none" w:sz="0" w:space="0" w:color="auto"/>
          </w:divBdr>
        </w:div>
        <w:div w:id="1192916375">
          <w:marLeft w:val="0"/>
          <w:marRight w:val="0"/>
          <w:marTop w:val="0"/>
          <w:marBottom w:val="0"/>
          <w:divBdr>
            <w:top w:val="none" w:sz="0" w:space="0" w:color="auto"/>
            <w:left w:val="none" w:sz="0" w:space="0" w:color="auto"/>
            <w:bottom w:val="none" w:sz="0" w:space="0" w:color="auto"/>
            <w:right w:val="none" w:sz="0" w:space="0" w:color="auto"/>
          </w:divBdr>
        </w:div>
        <w:div w:id="1594892941">
          <w:marLeft w:val="0"/>
          <w:marRight w:val="0"/>
          <w:marTop w:val="0"/>
          <w:marBottom w:val="0"/>
          <w:divBdr>
            <w:top w:val="none" w:sz="0" w:space="0" w:color="auto"/>
            <w:left w:val="none" w:sz="0" w:space="0" w:color="auto"/>
            <w:bottom w:val="none" w:sz="0" w:space="0" w:color="auto"/>
            <w:right w:val="none" w:sz="0" w:space="0" w:color="auto"/>
          </w:divBdr>
        </w:div>
        <w:div w:id="1604846494">
          <w:marLeft w:val="0"/>
          <w:marRight w:val="0"/>
          <w:marTop w:val="0"/>
          <w:marBottom w:val="0"/>
          <w:divBdr>
            <w:top w:val="none" w:sz="0" w:space="0" w:color="auto"/>
            <w:left w:val="none" w:sz="0" w:space="0" w:color="auto"/>
            <w:bottom w:val="none" w:sz="0" w:space="0" w:color="auto"/>
            <w:right w:val="none" w:sz="0" w:space="0" w:color="auto"/>
          </w:divBdr>
        </w:div>
      </w:divsChild>
    </w:div>
    <w:div w:id="1330402864">
      <w:bodyDiv w:val="1"/>
      <w:marLeft w:val="0"/>
      <w:marRight w:val="0"/>
      <w:marTop w:val="0"/>
      <w:marBottom w:val="0"/>
      <w:divBdr>
        <w:top w:val="none" w:sz="0" w:space="0" w:color="auto"/>
        <w:left w:val="none" w:sz="0" w:space="0" w:color="auto"/>
        <w:bottom w:val="none" w:sz="0" w:space="0" w:color="auto"/>
        <w:right w:val="none" w:sz="0" w:space="0" w:color="auto"/>
      </w:divBdr>
      <w:divsChild>
        <w:div w:id="377170138">
          <w:marLeft w:val="0"/>
          <w:marRight w:val="0"/>
          <w:marTop w:val="0"/>
          <w:marBottom w:val="0"/>
          <w:divBdr>
            <w:top w:val="none" w:sz="0" w:space="0" w:color="auto"/>
            <w:left w:val="none" w:sz="0" w:space="0" w:color="auto"/>
            <w:bottom w:val="none" w:sz="0" w:space="0" w:color="auto"/>
            <w:right w:val="none" w:sz="0" w:space="0" w:color="auto"/>
          </w:divBdr>
        </w:div>
        <w:div w:id="587614583">
          <w:marLeft w:val="0"/>
          <w:marRight w:val="0"/>
          <w:marTop w:val="0"/>
          <w:marBottom w:val="0"/>
          <w:divBdr>
            <w:top w:val="none" w:sz="0" w:space="0" w:color="auto"/>
            <w:left w:val="none" w:sz="0" w:space="0" w:color="auto"/>
            <w:bottom w:val="none" w:sz="0" w:space="0" w:color="auto"/>
            <w:right w:val="none" w:sz="0" w:space="0" w:color="auto"/>
          </w:divBdr>
        </w:div>
        <w:div w:id="1009912853">
          <w:marLeft w:val="0"/>
          <w:marRight w:val="0"/>
          <w:marTop w:val="0"/>
          <w:marBottom w:val="0"/>
          <w:divBdr>
            <w:top w:val="none" w:sz="0" w:space="0" w:color="auto"/>
            <w:left w:val="none" w:sz="0" w:space="0" w:color="auto"/>
            <w:bottom w:val="none" w:sz="0" w:space="0" w:color="auto"/>
            <w:right w:val="none" w:sz="0" w:space="0" w:color="auto"/>
          </w:divBdr>
        </w:div>
        <w:div w:id="2110541878">
          <w:marLeft w:val="0"/>
          <w:marRight w:val="0"/>
          <w:marTop w:val="0"/>
          <w:marBottom w:val="0"/>
          <w:divBdr>
            <w:top w:val="none" w:sz="0" w:space="0" w:color="auto"/>
            <w:left w:val="none" w:sz="0" w:space="0" w:color="auto"/>
            <w:bottom w:val="none" w:sz="0" w:space="0" w:color="auto"/>
            <w:right w:val="none" w:sz="0" w:space="0" w:color="auto"/>
          </w:divBdr>
        </w:div>
      </w:divsChild>
    </w:div>
    <w:div w:id="1330912258">
      <w:bodyDiv w:val="1"/>
      <w:marLeft w:val="0"/>
      <w:marRight w:val="0"/>
      <w:marTop w:val="0"/>
      <w:marBottom w:val="0"/>
      <w:divBdr>
        <w:top w:val="none" w:sz="0" w:space="0" w:color="auto"/>
        <w:left w:val="none" w:sz="0" w:space="0" w:color="auto"/>
        <w:bottom w:val="none" w:sz="0" w:space="0" w:color="auto"/>
        <w:right w:val="none" w:sz="0" w:space="0" w:color="auto"/>
      </w:divBdr>
      <w:divsChild>
        <w:div w:id="136848185">
          <w:marLeft w:val="0"/>
          <w:marRight w:val="0"/>
          <w:marTop w:val="0"/>
          <w:marBottom w:val="0"/>
          <w:divBdr>
            <w:top w:val="none" w:sz="0" w:space="0" w:color="auto"/>
            <w:left w:val="none" w:sz="0" w:space="0" w:color="auto"/>
            <w:bottom w:val="none" w:sz="0" w:space="0" w:color="auto"/>
            <w:right w:val="none" w:sz="0" w:space="0" w:color="auto"/>
          </w:divBdr>
        </w:div>
        <w:div w:id="770861189">
          <w:marLeft w:val="0"/>
          <w:marRight w:val="0"/>
          <w:marTop w:val="0"/>
          <w:marBottom w:val="0"/>
          <w:divBdr>
            <w:top w:val="none" w:sz="0" w:space="0" w:color="auto"/>
            <w:left w:val="none" w:sz="0" w:space="0" w:color="auto"/>
            <w:bottom w:val="none" w:sz="0" w:space="0" w:color="auto"/>
            <w:right w:val="none" w:sz="0" w:space="0" w:color="auto"/>
          </w:divBdr>
        </w:div>
        <w:div w:id="1358308057">
          <w:marLeft w:val="0"/>
          <w:marRight w:val="0"/>
          <w:marTop w:val="0"/>
          <w:marBottom w:val="0"/>
          <w:divBdr>
            <w:top w:val="none" w:sz="0" w:space="0" w:color="auto"/>
            <w:left w:val="none" w:sz="0" w:space="0" w:color="auto"/>
            <w:bottom w:val="none" w:sz="0" w:space="0" w:color="auto"/>
            <w:right w:val="none" w:sz="0" w:space="0" w:color="auto"/>
          </w:divBdr>
        </w:div>
        <w:div w:id="1456676324">
          <w:marLeft w:val="0"/>
          <w:marRight w:val="0"/>
          <w:marTop w:val="0"/>
          <w:marBottom w:val="0"/>
          <w:divBdr>
            <w:top w:val="none" w:sz="0" w:space="0" w:color="auto"/>
            <w:left w:val="none" w:sz="0" w:space="0" w:color="auto"/>
            <w:bottom w:val="none" w:sz="0" w:space="0" w:color="auto"/>
            <w:right w:val="none" w:sz="0" w:space="0" w:color="auto"/>
          </w:divBdr>
        </w:div>
        <w:div w:id="1783069091">
          <w:marLeft w:val="0"/>
          <w:marRight w:val="0"/>
          <w:marTop w:val="0"/>
          <w:marBottom w:val="0"/>
          <w:divBdr>
            <w:top w:val="none" w:sz="0" w:space="0" w:color="auto"/>
            <w:left w:val="none" w:sz="0" w:space="0" w:color="auto"/>
            <w:bottom w:val="none" w:sz="0" w:space="0" w:color="auto"/>
            <w:right w:val="none" w:sz="0" w:space="0" w:color="auto"/>
          </w:divBdr>
        </w:div>
      </w:divsChild>
    </w:div>
    <w:div w:id="1353994586">
      <w:bodyDiv w:val="1"/>
      <w:marLeft w:val="0"/>
      <w:marRight w:val="0"/>
      <w:marTop w:val="0"/>
      <w:marBottom w:val="0"/>
      <w:divBdr>
        <w:top w:val="none" w:sz="0" w:space="0" w:color="auto"/>
        <w:left w:val="none" w:sz="0" w:space="0" w:color="auto"/>
        <w:bottom w:val="none" w:sz="0" w:space="0" w:color="auto"/>
        <w:right w:val="none" w:sz="0" w:space="0" w:color="auto"/>
      </w:divBdr>
      <w:divsChild>
        <w:div w:id="264001197">
          <w:marLeft w:val="0"/>
          <w:marRight w:val="0"/>
          <w:marTop w:val="0"/>
          <w:marBottom w:val="0"/>
          <w:divBdr>
            <w:top w:val="none" w:sz="0" w:space="0" w:color="auto"/>
            <w:left w:val="none" w:sz="0" w:space="0" w:color="auto"/>
            <w:bottom w:val="none" w:sz="0" w:space="0" w:color="auto"/>
            <w:right w:val="none" w:sz="0" w:space="0" w:color="auto"/>
          </w:divBdr>
        </w:div>
        <w:div w:id="1338388158">
          <w:marLeft w:val="0"/>
          <w:marRight w:val="0"/>
          <w:marTop w:val="0"/>
          <w:marBottom w:val="0"/>
          <w:divBdr>
            <w:top w:val="none" w:sz="0" w:space="0" w:color="auto"/>
            <w:left w:val="none" w:sz="0" w:space="0" w:color="auto"/>
            <w:bottom w:val="none" w:sz="0" w:space="0" w:color="auto"/>
            <w:right w:val="none" w:sz="0" w:space="0" w:color="auto"/>
          </w:divBdr>
        </w:div>
        <w:div w:id="1796213995">
          <w:marLeft w:val="0"/>
          <w:marRight w:val="0"/>
          <w:marTop w:val="0"/>
          <w:marBottom w:val="0"/>
          <w:divBdr>
            <w:top w:val="none" w:sz="0" w:space="0" w:color="auto"/>
            <w:left w:val="none" w:sz="0" w:space="0" w:color="auto"/>
            <w:bottom w:val="none" w:sz="0" w:space="0" w:color="auto"/>
            <w:right w:val="none" w:sz="0" w:space="0" w:color="auto"/>
          </w:divBdr>
        </w:div>
      </w:divsChild>
    </w:div>
    <w:div w:id="1366906801">
      <w:bodyDiv w:val="1"/>
      <w:marLeft w:val="0"/>
      <w:marRight w:val="0"/>
      <w:marTop w:val="0"/>
      <w:marBottom w:val="0"/>
      <w:divBdr>
        <w:top w:val="none" w:sz="0" w:space="0" w:color="auto"/>
        <w:left w:val="none" w:sz="0" w:space="0" w:color="auto"/>
        <w:bottom w:val="none" w:sz="0" w:space="0" w:color="auto"/>
        <w:right w:val="none" w:sz="0" w:space="0" w:color="auto"/>
      </w:divBdr>
      <w:divsChild>
        <w:div w:id="908921889">
          <w:marLeft w:val="0"/>
          <w:marRight w:val="0"/>
          <w:marTop w:val="0"/>
          <w:marBottom w:val="0"/>
          <w:divBdr>
            <w:top w:val="none" w:sz="0" w:space="0" w:color="auto"/>
            <w:left w:val="none" w:sz="0" w:space="0" w:color="auto"/>
            <w:bottom w:val="none" w:sz="0" w:space="0" w:color="auto"/>
            <w:right w:val="none" w:sz="0" w:space="0" w:color="auto"/>
          </w:divBdr>
        </w:div>
        <w:div w:id="1121194837">
          <w:marLeft w:val="0"/>
          <w:marRight w:val="0"/>
          <w:marTop w:val="0"/>
          <w:marBottom w:val="0"/>
          <w:divBdr>
            <w:top w:val="none" w:sz="0" w:space="0" w:color="auto"/>
            <w:left w:val="none" w:sz="0" w:space="0" w:color="auto"/>
            <w:bottom w:val="none" w:sz="0" w:space="0" w:color="auto"/>
            <w:right w:val="none" w:sz="0" w:space="0" w:color="auto"/>
          </w:divBdr>
        </w:div>
      </w:divsChild>
    </w:div>
    <w:div w:id="1400245914">
      <w:bodyDiv w:val="1"/>
      <w:marLeft w:val="0"/>
      <w:marRight w:val="0"/>
      <w:marTop w:val="0"/>
      <w:marBottom w:val="0"/>
      <w:divBdr>
        <w:top w:val="none" w:sz="0" w:space="0" w:color="auto"/>
        <w:left w:val="none" w:sz="0" w:space="0" w:color="auto"/>
        <w:bottom w:val="none" w:sz="0" w:space="0" w:color="auto"/>
        <w:right w:val="none" w:sz="0" w:space="0" w:color="auto"/>
      </w:divBdr>
    </w:div>
    <w:div w:id="1406758068">
      <w:bodyDiv w:val="1"/>
      <w:marLeft w:val="0"/>
      <w:marRight w:val="0"/>
      <w:marTop w:val="0"/>
      <w:marBottom w:val="0"/>
      <w:divBdr>
        <w:top w:val="none" w:sz="0" w:space="0" w:color="auto"/>
        <w:left w:val="none" w:sz="0" w:space="0" w:color="auto"/>
        <w:bottom w:val="none" w:sz="0" w:space="0" w:color="auto"/>
        <w:right w:val="none" w:sz="0" w:space="0" w:color="auto"/>
      </w:divBdr>
      <w:divsChild>
        <w:div w:id="446315022">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552811810">
          <w:marLeft w:val="0"/>
          <w:marRight w:val="0"/>
          <w:marTop w:val="0"/>
          <w:marBottom w:val="0"/>
          <w:divBdr>
            <w:top w:val="none" w:sz="0" w:space="0" w:color="auto"/>
            <w:left w:val="none" w:sz="0" w:space="0" w:color="auto"/>
            <w:bottom w:val="none" w:sz="0" w:space="0" w:color="auto"/>
            <w:right w:val="none" w:sz="0" w:space="0" w:color="auto"/>
          </w:divBdr>
        </w:div>
        <w:div w:id="1726566778">
          <w:marLeft w:val="0"/>
          <w:marRight w:val="0"/>
          <w:marTop w:val="0"/>
          <w:marBottom w:val="0"/>
          <w:divBdr>
            <w:top w:val="none" w:sz="0" w:space="0" w:color="auto"/>
            <w:left w:val="none" w:sz="0" w:space="0" w:color="auto"/>
            <w:bottom w:val="none" w:sz="0" w:space="0" w:color="auto"/>
            <w:right w:val="none" w:sz="0" w:space="0" w:color="auto"/>
          </w:divBdr>
        </w:div>
      </w:divsChild>
    </w:div>
    <w:div w:id="1427775135">
      <w:bodyDiv w:val="1"/>
      <w:marLeft w:val="0"/>
      <w:marRight w:val="0"/>
      <w:marTop w:val="0"/>
      <w:marBottom w:val="0"/>
      <w:divBdr>
        <w:top w:val="none" w:sz="0" w:space="0" w:color="auto"/>
        <w:left w:val="none" w:sz="0" w:space="0" w:color="auto"/>
        <w:bottom w:val="none" w:sz="0" w:space="0" w:color="auto"/>
        <w:right w:val="none" w:sz="0" w:space="0" w:color="auto"/>
      </w:divBdr>
    </w:div>
    <w:div w:id="1444616371">
      <w:bodyDiv w:val="1"/>
      <w:marLeft w:val="0"/>
      <w:marRight w:val="0"/>
      <w:marTop w:val="0"/>
      <w:marBottom w:val="0"/>
      <w:divBdr>
        <w:top w:val="none" w:sz="0" w:space="0" w:color="auto"/>
        <w:left w:val="none" w:sz="0" w:space="0" w:color="auto"/>
        <w:bottom w:val="none" w:sz="0" w:space="0" w:color="auto"/>
        <w:right w:val="none" w:sz="0" w:space="0" w:color="auto"/>
      </w:divBdr>
      <w:divsChild>
        <w:div w:id="15428467">
          <w:marLeft w:val="0"/>
          <w:marRight w:val="0"/>
          <w:marTop w:val="0"/>
          <w:marBottom w:val="0"/>
          <w:divBdr>
            <w:top w:val="none" w:sz="0" w:space="0" w:color="auto"/>
            <w:left w:val="none" w:sz="0" w:space="0" w:color="auto"/>
            <w:bottom w:val="none" w:sz="0" w:space="0" w:color="auto"/>
            <w:right w:val="none" w:sz="0" w:space="0" w:color="auto"/>
          </w:divBdr>
        </w:div>
        <w:div w:id="798569139">
          <w:marLeft w:val="0"/>
          <w:marRight w:val="0"/>
          <w:marTop w:val="0"/>
          <w:marBottom w:val="0"/>
          <w:divBdr>
            <w:top w:val="none" w:sz="0" w:space="0" w:color="auto"/>
            <w:left w:val="none" w:sz="0" w:space="0" w:color="auto"/>
            <w:bottom w:val="none" w:sz="0" w:space="0" w:color="auto"/>
            <w:right w:val="none" w:sz="0" w:space="0" w:color="auto"/>
          </w:divBdr>
        </w:div>
        <w:div w:id="1249343478">
          <w:marLeft w:val="0"/>
          <w:marRight w:val="0"/>
          <w:marTop w:val="0"/>
          <w:marBottom w:val="0"/>
          <w:divBdr>
            <w:top w:val="none" w:sz="0" w:space="0" w:color="auto"/>
            <w:left w:val="none" w:sz="0" w:space="0" w:color="auto"/>
            <w:bottom w:val="none" w:sz="0" w:space="0" w:color="auto"/>
            <w:right w:val="none" w:sz="0" w:space="0" w:color="auto"/>
          </w:divBdr>
        </w:div>
        <w:div w:id="1787774311">
          <w:marLeft w:val="0"/>
          <w:marRight w:val="0"/>
          <w:marTop w:val="0"/>
          <w:marBottom w:val="0"/>
          <w:divBdr>
            <w:top w:val="none" w:sz="0" w:space="0" w:color="auto"/>
            <w:left w:val="none" w:sz="0" w:space="0" w:color="auto"/>
            <w:bottom w:val="none" w:sz="0" w:space="0" w:color="auto"/>
            <w:right w:val="none" w:sz="0" w:space="0" w:color="auto"/>
          </w:divBdr>
        </w:div>
      </w:divsChild>
    </w:div>
    <w:div w:id="1445464610">
      <w:bodyDiv w:val="1"/>
      <w:marLeft w:val="0"/>
      <w:marRight w:val="0"/>
      <w:marTop w:val="0"/>
      <w:marBottom w:val="0"/>
      <w:divBdr>
        <w:top w:val="none" w:sz="0" w:space="0" w:color="auto"/>
        <w:left w:val="none" w:sz="0" w:space="0" w:color="auto"/>
        <w:bottom w:val="none" w:sz="0" w:space="0" w:color="auto"/>
        <w:right w:val="none" w:sz="0" w:space="0" w:color="auto"/>
      </w:divBdr>
      <w:divsChild>
        <w:div w:id="43869060">
          <w:marLeft w:val="0"/>
          <w:marRight w:val="0"/>
          <w:marTop w:val="0"/>
          <w:marBottom w:val="0"/>
          <w:divBdr>
            <w:top w:val="none" w:sz="0" w:space="0" w:color="auto"/>
            <w:left w:val="none" w:sz="0" w:space="0" w:color="auto"/>
            <w:bottom w:val="none" w:sz="0" w:space="0" w:color="auto"/>
            <w:right w:val="none" w:sz="0" w:space="0" w:color="auto"/>
          </w:divBdr>
        </w:div>
        <w:div w:id="786657084">
          <w:marLeft w:val="0"/>
          <w:marRight w:val="0"/>
          <w:marTop w:val="0"/>
          <w:marBottom w:val="0"/>
          <w:divBdr>
            <w:top w:val="none" w:sz="0" w:space="0" w:color="auto"/>
            <w:left w:val="none" w:sz="0" w:space="0" w:color="auto"/>
            <w:bottom w:val="none" w:sz="0" w:space="0" w:color="auto"/>
            <w:right w:val="none" w:sz="0" w:space="0" w:color="auto"/>
          </w:divBdr>
        </w:div>
        <w:div w:id="2117673903">
          <w:marLeft w:val="0"/>
          <w:marRight w:val="0"/>
          <w:marTop w:val="0"/>
          <w:marBottom w:val="0"/>
          <w:divBdr>
            <w:top w:val="none" w:sz="0" w:space="0" w:color="auto"/>
            <w:left w:val="none" w:sz="0" w:space="0" w:color="auto"/>
            <w:bottom w:val="none" w:sz="0" w:space="0" w:color="auto"/>
            <w:right w:val="none" w:sz="0" w:space="0" w:color="auto"/>
          </w:divBdr>
        </w:div>
      </w:divsChild>
    </w:div>
    <w:div w:id="1534346680">
      <w:bodyDiv w:val="1"/>
      <w:marLeft w:val="0"/>
      <w:marRight w:val="0"/>
      <w:marTop w:val="0"/>
      <w:marBottom w:val="0"/>
      <w:divBdr>
        <w:top w:val="none" w:sz="0" w:space="0" w:color="auto"/>
        <w:left w:val="none" w:sz="0" w:space="0" w:color="auto"/>
        <w:bottom w:val="none" w:sz="0" w:space="0" w:color="auto"/>
        <w:right w:val="none" w:sz="0" w:space="0" w:color="auto"/>
      </w:divBdr>
      <w:divsChild>
        <w:div w:id="158467168">
          <w:marLeft w:val="0"/>
          <w:marRight w:val="0"/>
          <w:marTop w:val="0"/>
          <w:marBottom w:val="0"/>
          <w:divBdr>
            <w:top w:val="none" w:sz="0" w:space="0" w:color="auto"/>
            <w:left w:val="none" w:sz="0" w:space="0" w:color="auto"/>
            <w:bottom w:val="none" w:sz="0" w:space="0" w:color="auto"/>
            <w:right w:val="none" w:sz="0" w:space="0" w:color="auto"/>
          </w:divBdr>
        </w:div>
        <w:div w:id="290943501">
          <w:marLeft w:val="0"/>
          <w:marRight w:val="0"/>
          <w:marTop w:val="0"/>
          <w:marBottom w:val="0"/>
          <w:divBdr>
            <w:top w:val="none" w:sz="0" w:space="0" w:color="auto"/>
            <w:left w:val="none" w:sz="0" w:space="0" w:color="auto"/>
            <w:bottom w:val="none" w:sz="0" w:space="0" w:color="auto"/>
            <w:right w:val="none" w:sz="0" w:space="0" w:color="auto"/>
          </w:divBdr>
        </w:div>
        <w:div w:id="952398651">
          <w:marLeft w:val="0"/>
          <w:marRight w:val="0"/>
          <w:marTop w:val="0"/>
          <w:marBottom w:val="0"/>
          <w:divBdr>
            <w:top w:val="none" w:sz="0" w:space="0" w:color="auto"/>
            <w:left w:val="none" w:sz="0" w:space="0" w:color="auto"/>
            <w:bottom w:val="none" w:sz="0" w:space="0" w:color="auto"/>
            <w:right w:val="none" w:sz="0" w:space="0" w:color="auto"/>
          </w:divBdr>
        </w:div>
        <w:div w:id="1336565827">
          <w:marLeft w:val="0"/>
          <w:marRight w:val="0"/>
          <w:marTop w:val="0"/>
          <w:marBottom w:val="0"/>
          <w:divBdr>
            <w:top w:val="none" w:sz="0" w:space="0" w:color="auto"/>
            <w:left w:val="none" w:sz="0" w:space="0" w:color="auto"/>
            <w:bottom w:val="none" w:sz="0" w:space="0" w:color="auto"/>
            <w:right w:val="none" w:sz="0" w:space="0" w:color="auto"/>
          </w:divBdr>
        </w:div>
      </w:divsChild>
    </w:div>
    <w:div w:id="1547983122">
      <w:bodyDiv w:val="1"/>
      <w:marLeft w:val="0"/>
      <w:marRight w:val="0"/>
      <w:marTop w:val="0"/>
      <w:marBottom w:val="0"/>
      <w:divBdr>
        <w:top w:val="none" w:sz="0" w:space="0" w:color="auto"/>
        <w:left w:val="none" w:sz="0" w:space="0" w:color="auto"/>
        <w:bottom w:val="none" w:sz="0" w:space="0" w:color="auto"/>
        <w:right w:val="none" w:sz="0" w:space="0" w:color="auto"/>
      </w:divBdr>
    </w:div>
    <w:div w:id="15762789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0849451">
      <w:bodyDiv w:val="1"/>
      <w:marLeft w:val="0"/>
      <w:marRight w:val="0"/>
      <w:marTop w:val="0"/>
      <w:marBottom w:val="0"/>
      <w:divBdr>
        <w:top w:val="none" w:sz="0" w:space="0" w:color="auto"/>
        <w:left w:val="none" w:sz="0" w:space="0" w:color="auto"/>
        <w:bottom w:val="none" w:sz="0" w:space="0" w:color="auto"/>
        <w:right w:val="none" w:sz="0" w:space="0" w:color="auto"/>
      </w:divBdr>
    </w:div>
    <w:div w:id="1624264881">
      <w:bodyDiv w:val="1"/>
      <w:marLeft w:val="0"/>
      <w:marRight w:val="0"/>
      <w:marTop w:val="0"/>
      <w:marBottom w:val="0"/>
      <w:divBdr>
        <w:top w:val="none" w:sz="0" w:space="0" w:color="auto"/>
        <w:left w:val="none" w:sz="0" w:space="0" w:color="auto"/>
        <w:bottom w:val="none" w:sz="0" w:space="0" w:color="auto"/>
        <w:right w:val="none" w:sz="0" w:space="0" w:color="auto"/>
      </w:divBdr>
      <w:divsChild>
        <w:div w:id="705180054">
          <w:marLeft w:val="0"/>
          <w:marRight w:val="0"/>
          <w:marTop w:val="0"/>
          <w:marBottom w:val="0"/>
          <w:divBdr>
            <w:top w:val="none" w:sz="0" w:space="0" w:color="auto"/>
            <w:left w:val="none" w:sz="0" w:space="0" w:color="auto"/>
            <w:bottom w:val="none" w:sz="0" w:space="0" w:color="auto"/>
            <w:right w:val="none" w:sz="0" w:space="0" w:color="auto"/>
          </w:divBdr>
        </w:div>
        <w:div w:id="811563121">
          <w:marLeft w:val="0"/>
          <w:marRight w:val="0"/>
          <w:marTop w:val="0"/>
          <w:marBottom w:val="0"/>
          <w:divBdr>
            <w:top w:val="none" w:sz="0" w:space="0" w:color="auto"/>
            <w:left w:val="none" w:sz="0" w:space="0" w:color="auto"/>
            <w:bottom w:val="none" w:sz="0" w:space="0" w:color="auto"/>
            <w:right w:val="none" w:sz="0" w:space="0" w:color="auto"/>
          </w:divBdr>
        </w:div>
        <w:div w:id="1397896714">
          <w:marLeft w:val="0"/>
          <w:marRight w:val="0"/>
          <w:marTop w:val="0"/>
          <w:marBottom w:val="0"/>
          <w:divBdr>
            <w:top w:val="none" w:sz="0" w:space="0" w:color="auto"/>
            <w:left w:val="none" w:sz="0" w:space="0" w:color="auto"/>
            <w:bottom w:val="none" w:sz="0" w:space="0" w:color="auto"/>
            <w:right w:val="none" w:sz="0" w:space="0" w:color="auto"/>
          </w:divBdr>
        </w:div>
      </w:divsChild>
    </w:div>
    <w:div w:id="1645742093">
      <w:bodyDiv w:val="1"/>
      <w:marLeft w:val="0"/>
      <w:marRight w:val="0"/>
      <w:marTop w:val="0"/>
      <w:marBottom w:val="0"/>
      <w:divBdr>
        <w:top w:val="none" w:sz="0" w:space="0" w:color="auto"/>
        <w:left w:val="none" w:sz="0" w:space="0" w:color="auto"/>
        <w:bottom w:val="none" w:sz="0" w:space="0" w:color="auto"/>
        <w:right w:val="none" w:sz="0" w:space="0" w:color="auto"/>
      </w:divBdr>
      <w:divsChild>
        <w:div w:id="30762761">
          <w:marLeft w:val="0"/>
          <w:marRight w:val="0"/>
          <w:marTop w:val="0"/>
          <w:marBottom w:val="0"/>
          <w:divBdr>
            <w:top w:val="none" w:sz="0" w:space="0" w:color="auto"/>
            <w:left w:val="none" w:sz="0" w:space="0" w:color="auto"/>
            <w:bottom w:val="none" w:sz="0" w:space="0" w:color="auto"/>
            <w:right w:val="none" w:sz="0" w:space="0" w:color="auto"/>
          </w:divBdr>
        </w:div>
        <w:div w:id="755172702">
          <w:marLeft w:val="0"/>
          <w:marRight w:val="0"/>
          <w:marTop w:val="0"/>
          <w:marBottom w:val="0"/>
          <w:divBdr>
            <w:top w:val="none" w:sz="0" w:space="0" w:color="auto"/>
            <w:left w:val="none" w:sz="0" w:space="0" w:color="auto"/>
            <w:bottom w:val="none" w:sz="0" w:space="0" w:color="auto"/>
            <w:right w:val="none" w:sz="0" w:space="0" w:color="auto"/>
          </w:divBdr>
        </w:div>
        <w:div w:id="1895771936">
          <w:marLeft w:val="0"/>
          <w:marRight w:val="0"/>
          <w:marTop w:val="0"/>
          <w:marBottom w:val="0"/>
          <w:divBdr>
            <w:top w:val="none" w:sz="0" w:space="0" w:color="auto"/>
            <w:left w:val="none" w:sz="0" w:space="0" w:color="auto"/>
            <w:bottom w:val="none" w:sz="0" w:space="0" w:color="auto"/>
            <w:right w:val="none" w:sz="0" w:space="0" w:color="auto"/>
          </w:divBdr>
        </w:div>
        <w:div w:id="1901477685">
          <w:marLeft w:val="0"/>
          <w:marRight w:val="0"/>
          <w:marTop w:val="0"/>
          <w:marBottom w:val="0"/>
          <w:divBdr>
            <w:top w:val="none" w:sz="0" w:space="0" w:color="auto"/>
            <w:left w:val="none" w:sz="0" w:space="0" w:color="auto"/>
            <w:bottom w:val="none" w:sz="0" w:space="0" w:color="auto"/>
            <w:right w:val="none" w:sz="0" w:space="0" w:color="auto"/>
          </w:divBdr>
        </w:div>
        <w:div w:id="1948274069">
          <w:marLeft w:val="0"/>
          <w:marRight w:val="0"/>
          <w:marTop w:val="0"/>
          <w:marBottom w:val="0"/>
          <w:divBdr>
            <w:top w:val="none" w:sz="0" w:space="0" w:color="auto"/>
            <w:left w:val="none" w:sz="0" w:space="0" w:color="auto"/>
            <w:bottom w:val="none" w:sz="0" w:space="0" w:color="auto"/>
            <w:right w:val="none" w:sz="0" w:space="0" w:color="auto"/>
          </w:divBdr>
        </w:div>
      </w:divsChild>
    </w:div>
    <w:div w:id="1651014310">
      <w:bodyDiv w:val="1"/>
      <w:marLeft w:val="0"/>
      <w:marRight w:val="0"/>
      <w:marTop w:val="0"/>
      <w:marBottom w:val="0"/>
      <w:divBdr>
        <w:top w:val="none" w:sz="0" w:space="0" w:color="auto"/>
        <w:left w:val="none" w:sz="0" w:space="0" w:color="auto"/>
        <w:bottom w:val="none" w:sz="0" w:space="0" w:color="auto"/>
        <w:right w:val="none" w:sz="0" w:space="0" w:color="auto"/>
      </w:divBdr>
      <w:divsChild>
        <w:div w:id="283081192">
          <w:marLeft w:val="0"/>
          <w:marRight w:val="0"/>
          <w:marTop w:val="0"/>
          <w:marBottom w:val="0"/>
          <w:divBdr>
            <w:top w:val="none" w:sz="0" w:space="0" w:color="auto"/>
            <w:left w:val="none" w:sz="0" w:space="0" w:color="auto"/>
            <w:bottom w:val="none" w:sz="0" w:space="0" w:color="auto"/>
            <w:right w:val="none" w:sz="0" w:space="0" w:color="auto"/>
          </w:divBdr>
        </w:div>
        <w:div w:id="1288008008">
          <w:marLeft w:val="0"/>
          <w:marRight w:val="0"/>
          <w:marTop w:val="0"/>
          <w:marBottom w:val="0"/>
          <w:divBdr>
            <w:top w:val="none" w:sz="0" w:space="0" w:color="auto"/>
            <w:left w:val="none" w:sz="0" w:space="0" w:color="auto"/>
            <w:bottom w:val="none" w:sz="0" w:space="0" w:color="auto"/>
            <w:right w:val="none" w:sz="0" w:space="0" w:color="auto"/>
          </w:divBdr>
        </w:div>
        <w:div w:id="1921089415">
          <w:marLeft w:val="0"/>
          <w:marRight w:val="0"/>
          <w:marTop w:val="0"/>
          <w:marBottom w:val="0"/>
          <w:divBdr>
            <w:top w:val="none" w:sz="0" w:space="0" w:color="auto"/>
            <w:left w:val="none" w:sz="0" w:space="0" w:color="auto"/>
            <w:bottom w:val="none" w:sz="0" w:space="0" w:color="auto"/>
            <w:right w:val="none" w:sz="0" w:space="0" w:color="auto"/>
          </w:divBdr>
        </w:div>
      </w:divsChild>
    </w:div>
    <w:div w:id="1697732254">
      <w:bodyDiv w:val="1"/>
      <w:marLeft w:val="0"/>
      <w:marRight w:val="0"/>
      <w:marTop w:val="0"/>
      <w:marBottom w:val="0"/>
      <w:divBdr>
        <w:top w:val="none" w:sz="0" w:space="0" w:color="auto"/>
        <w:left w:val="none" w:sz="0" w:space="0" w:color="auto"/>
        <w:bottom w:val="none" w:sz="0" w:space="0" w:color="auto"/>
        <w:right w:val="none" w:sz="0" w:space="0" w:color="auto"/>
      </w:divBdr>
      <w:divsChild>
        <w:div w:id="683018704">
          <w:marLeft w:val="0"/>
          <w:marRight w:val="0"/>
          <w:marTop w:val="0"/>
          <w:marBottom w:val="0"/>
          <w:divBdr>
            <w:top w:val="none" w:sz="0" w:space="0" w:color="auto"/>
            <w:left w:val="none" w:sz="0" w:space="0" w:color="auto"/>
            <w:bottom w:val="none" w:sz="0" w:space="0" w:color="auto"/>
            <w:right w:val="none" w:sz="0" w:space="0" w:color="auto"/>
          </w:divBdr>
        </w:div>
        <w:div w:id="1262253818">
          <w:marLeft w:val="0"/>
          <w:marRight w:val="0"/>
          <w:marTop w:val="0"/>
          <w:marBottom w:val="0"/>
          <w:divBdr>
            <w:top w:val="none" w:sz="0" w:space="0" w:color="auto"/>
            <w:left w:val="none" w:sz="0" w:space="0" w:color="auto"/>
            <w:bottom w:val="none" w:sz="0" w:space="0" w:color="auto"/>
            <w:right w:val="none" w:sz="0" w:space="0" w:color="auto"/>
          </w:divBdr>
        </w:div>
        <w:div w:id="1342780134">
          <w:marLeft w:val="0"/>
          <w:marRight w:val="0"/>
          <w:marTop w:val="0"/>
          <w:marBottom w:val="0"/>
          <w:divBdr>
            <w:top w:val="none" w:sz="0" w:space="0" w:color="auto"/>
            <w:left w:val="none" w:sz="0" w:space="0" w:color="auto"/>
            <w:bottom w:val="none" w:sz="0" w:space="0" w:color="auto"/>
            <w:right w:val="none" w:sz="0" w:space="0" w:color="auto"/>
          </w:divBdr>
        </w:div>
        <w:div w:id="1844853210">
          <w:marLeft w:val="0"/>
          <w:marRight w:val="0"/>
          <w:marTop w:val="0"/>
          <w:marBottom w:val="0"/>
          <w:divBdr>
            <w:top w:val="none" w:sz="0" w:space="0" w:color="auto"/>
            <w:left w:val="none" w:sz="0" w:space="0" w:color="auto"/>
            <w:bottom w:val="none" w:sz="0" w:space="0" w:color="auto"/>
            <w:right w:val="none" w:sz="0" w:space="0" w:color="auto"/>
          </w:divBdr>
        </w:div>
        <w:div w:id="1874074474">
          <w:marLeft w:val="0"/>
          <w:marRight w:val="0"/>
          <w:marTop w:val="0"/>
          <w:marBottom w:val="0"/>
          <w:divBdr>
            <w:top w:val="none" w:sz="0" w:space="0" w:color="auto"/>
            <w:left w:val="none" w:sz="0" w:space="0" w:color="auto"/>
            <w:bottom w:val="none" w:sz="0" w:space="0" w:color="auto"/>
            <w:right w:val="none" w:sz="0" w:space="0" w:color="auto"/>
          </w:divBdr>
        </w:div>
        <w:div w:id="1947539493">
          <w:marLeft w:val="0"/>
          <w:marRight w:val="0"/>
          <w:marTop w:val="0"/>
          <w:marBottom w:val="0"/>
          <w:divBdr>
            <w:top w:val="none" w:sz="0" w:space="0" w:color="auto"/>
            <w:left w:val="none" w:sz="0" w:space="0" w:color="auto"/>
            <w:bottom w:val="none" w:sz="0" w:space="0" w:color="auto"/>
            <w:right w:val="none" w:sz="0" w:space="0" w:color="auto"/>
          </w:divBdr>
        </w:div>
      </w:divsChild>
    </w:div>
    <w:div w:id="1723746292">
      <w:bodyDiv w:val="1"/>
      <w:marLeft w:val="0"/>
      <w:marRight w:val="0"/>
      <w:marTop w:val="0"/>
      <w:marBottom w:val="0"/>
      <w:divBdr>
        <w:top w:val="none" w:sz="0" w:space="0" w:color="auto"/>
        <w:left w:val="none" w:sz="0" w:space="0" w:color="auto"/>
        <w:bottom w:val="none" w:sz="0" w:space="0" w:color="auto"/>
        <w:right w:val="none" w:sz="0" w:space="0" w:color="auto"/>
      </w:divBdr>
      <w:divsChild>
        <w:div w:id="7101284">
          <w:marLeft w:val="0"/>
          <w:marRight w:val="0"/>
          <w:marTop w:val="0"/>
          <w:marBottom w:val="0"/>
          <w:divBdr>
            <w:top w:val="none" w:sz="0" w:space="0" w:color="auto"/>
            <w:left w:val="none" w:sz="0" w:space="0" w:color="auto"/>
            <w:bottom w:val="none" w:sz="0" w:space="0" w:color="auto"/>
            <w:right w:val="none" w:sz="0" w:space="0" w:color="auto"/>
          </w:divBdr>
        </w:div>
        <w:div w:id="559054069">
          <w:marLeft w:val="0"/>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4247236">
      <w:bodyDiv w:val="1"/>
      <w:marLeft w:val="0"/>
      <w:marRight w:val="0"/>
      <w:marTop w:val="0"/>
      <w:marBottom w:val="0"/>
      <w:divBdr>
        <w:top w:val="none" w:sz="0" w:space="0" w:color="auto"/>
        <w:left w:val="none" w:sz="0" w:space="0" w:color="auto"/>
        <w:bottom w:val="none" w:sz="0" w:space="0" w:color="auto"/>
        <w:right w:val="none" w:sz="0" w:space="0" w:color="auto"/>
      </w:divBdr>
      <w:divsChild>
        <w:div w:id="116993203">
          <w:marLeft w:val="0"/>
          <w:marRight w:val="0"/>
          <w:marTop w:val="0"/>
          <w:marBottom w:val="0"/>
          <w:divBdr>
            <w:top w:val="none" w:sz="0" w:space="0" w:color="auto"/>
            <w:left w:val="none" w:sz="0" w:space="0" w:color="auto"/>
            <w:bottom w:val="none" w:sz="0" w:space="0" w:color="auto"/>
            <w:right w:val="none" w:sz="0" w:space="0" w:color="auto"/>
          </w:divBdr>
        </w:div>
        <w:div w:id="751632670">
          <w:marLeft w:val="0"/>
          <w:marRight w:val="0"/>
          <w:marTop w:val="0"/>
          <w:marBottom w:val="0"/>
          <w:divBdr>
            <w:top w:val="none" w:sz="0" w:space="0" w:color="auto"/>
            <w:left w:val="none" w:sz="0" w:space="0" w:color="auto"/>
            <w:bottom w:val="none" w:sz="0" w:space="0" w:color="auto"/>
            <w:right w:val="none" w:sz="0" w:space="0" w:color="auto"/>
          </w:divBdr>
        </w:div>
        <w:div w:id="1581674869">
          <w:marLeft w:val="0"/>
          <w:marRight w:val="0"/>
          <w:marTop w:val="0"/>
          <w:marBottom w:val="0"/>
          <w:divBdr>
            <w:top w:val="none" w:sz="0" w:space="0" w:color="auto"/>
            <w:left w:val="none" w:sz="0" w:space="0" w:color="auto"/>
            <w:bottom w:val="none" w:sz="0" w:space="0" w:color="auto"/>
            <w:right w:val="none" w:sz="0" w:space="0" w:color="auto"/>
          </w:divBdr>
        </w:div>
        <w:div w:id="1634016051">
          <w:marLeft w:val="0"/>
          <w:marRight w:val="0"/>
          <w:marTop w:val="0"/>
          <w:marBottom w:val="0"/>
          <w:divBdr>
            <w:top w:val="none" w:sz="0" w:space="0" w:color="auto"/>
            <w:left w:val="none" w:sz="0" w:space="0" w:color="auto"/>
            <w:bottom w:val="none" w:sz="0" w:space="0" w:color="auto"/>
            <w:right w:val="none" w:sz="0" w:space="0" w:color="auto"/>
          </w:divBdr>
        </w:div>
      </w:divsChild>
    </w:div>
    <w:div w:id="1982224952">
      <w:bodyDiv w:val="1"/>
      <w:marLeft w:val="0"/>
      <w:marRight w:val="0"/>
      <w:marTop w:val="0"/>
      <w:marBottom w:val="0"/>
      <w:divBdr>
        <w:top w:val="none" w:sz="0" w:space="0" w:color="auto"/>
        <w:left w:val="none" w:sz="0" w:space="0" w:color="auto"/>
        <w:bottom w:val="none" w:sz="0" w:space="0" w:color="auto"/>
        <w:right w:val="none" w:sz="0" w:space="0" w:color="auto"/>
      </w:divBdr>
      <w:divsChild>
        <w:div w:id="9843403">
          <w:marLeft w:val="0"/>
          <w:marRight w:val="0"/>
          <w:marTop w:val="0"/>
          <w:marBottom w:val="0"/>
          <w:divBdr>
            <w:top w:val="none" w:sz="0" w:space="0" w:color="auto"/>
            <w:left w:val="none" w:sz="0" w:space="0" w:color="auto"/>
            <w:bottom w:val="none" w:sz="0" w:space="0" w:color="auto"/>
            <w:right w:val="none" w:sz="0" w:space="0" w:color="auto"/>
          </w:divBdr>
        </w:div>
        <w:div w:id="506941475">
          <w:marLeft w:val="0"/>
          <w:marRight w:val="0"/>
          <w:marTop w:val="0"/>
          <w:marBottom w:val="0"/>
          <w:divBdr>
            <w:top w:val="none" w:sz="0" w:space="0" w:color="auto"/>
            <w:left w:val="none" w:sz="0" w:space="0" w:color="auto"/>
            <w:bottom w:val="none" w:sz="0" w:space="0" w:color="auto"/>
            <w:right w:val="none" w:sz="0" w:space="0" w:color="auto"/>
          </w:divBdr>
        </w:div>
        <w:div w:id="1594776169">
          <w:marLeft w:val="0"/>
          <w:marRight w:val="0"/>
          <w:marTop w:val="0"/>
          <w:marBottom w:val="0"/>
          <w:divBdr>
            <w:top w:val="none" w:sz="0" w:space="0" w:color="auto"/>
            <w:left w:val="none" w:sz="0" w:space="0" w:color="auto"/>
            <w:bottom w:val="none" w:sz="0" w:space="0" w:color="auto"/>
            <w:right w:val="none" w:sz="0" w:space="0" w:color="auto"/>
          </w:divBdr>
        </w:div>
      </w:divsChild>
    </w:div>
    <w:div w:id="2006737355">
      <w:bodyDiv w:val="1"/>
      <w:marLeft w:val="0"/>
      <w:marRight w:val="0"/>
      <w:marTop w:val="0"/>
      <w:marBottom w:val="0"/>
      <w:divBdr>
        <w:top w:val="none" w:sz="0" w:space="0" w:color="auto"/>
        <w:left w:val="none" w:sz="0" w:space="0" w:color="auto"/>
        <w:bottom w:val="none" w:sz="0" w:space="0" w:color="auto"/>
        <w:right w:val="none" w:sz="0" w:space="0" w:color="auto"/>
      </w:divBdr>
      <w:divsChild>
        <w:div w:id="673650202">
          <w:marLeft w:val="0"/>
          <w:marRight w:val="0"/>
          <w:marTop w:val="0"/>
          <w:marBottom w:val="0"/>
          <w:divBdr>
            <w:top w:val="none" w:sz="0" w:space="0" w:color="auto"/>
            <w:left w:val="none" w:sz="0" w:space="0" w:color="auto"/>
            <w:bottom w:val="none" w:sz="0" w:space="0" w:color="auto"/>
            <w:right w:val="none" w:sz="0" w:space="0" w:color="auto"/>
          </w:divBdr>
        </w:div>
        <w:div w:id="1089423626">
          <w:marLeft w:val="0"/>
          <w:marRight w:val="0"/>
          <w:marTop w:val="0"/>
          <w:marBottom w:val="0"/>
          <w:divBdr>
            <w:top w:val="none" w:sz="0" w:space="0" w:color="auto"/>
            <w:left w:val="none" w:sz="0" w:space="0" w:color="auto"/>
            <w:bottom w:val="none" w:sz="0" w:space="0" w:color="auto"/>
            <w:right w:val="none" w:sz="0" w:space="0" w:color="auto"/>
          </w:divBdr>
        </w:div>
      </w:divsChild>
    </w:div>
    <w:div w:id="2035111023">
      <w:bodyDiv w:val="1"/>
      <w:marLeft w:val="0"/>
      <w:marRight w:val="0"/>
      <w:marTop w:val="0"/>
      <w:marBottom w:val="0"/>
      <w:divBdr>
        <w:top w:val="none" w:sz="0" w:space="0" w:color="auto"/>
        <w:left w:val="none" w:sz="0" w:space="0" w:color="auto"/>
        <w:bottom w:val="none" w:sz="0" w:space="0" w:color="auto"/>
        <w:right w:val="none" w:sz="0" w:space="0" w:color="auto"/>
      </w:divBdr>
      <w:divsChild>
        <w:div w:id="761343156">
          <w:marLeft w:val="0"/>
          <w:marRight w:val="0"/>
          <w:marTop w:val="0"/>
          <w:marBottom w:val="0"/>
          <w:divBdr>
            <w:top w:val="none" w:sz="0" w:space="0" w:color="auto"/>
            <w:left w:val="none" w:sz="0" w:space="0" w:color="auto"/>
            <w:bottom w:val="none" w:sz="0" w:space="0" w:color="auto"/>
            <w:right w:val="none" w:sz="0" w:space="0" w:color="auto"/>
          </w:divBdr>
        </w:div>
        <w:div w:id="960303924">
          <w:marLeft w:val="0"/>
          <w:marRight w:val="0"/>
          <w:marTop w:val="0"/>
          <w:marBottom w:val="0"/>
          <w:divBdr>
            <w:top w:val="none" w:sz="0" w:space="0" w:color="auto"/>
            <w:left w:val="none" w:sz="0" w:space="0" w:color="auto"/>
            <w:bottom w:val="none" w:sz="0" w:space="0" w:color="auto"/>
            <w:right w:val="none" w:sz="0" w:space="0" w:color="auto"/>
          </w:divBdr>
        </w:div>
        <w:div w:id="1429616799">
          <w:marLeft w:val="0"/>
          <w:marRight w:val="0"/>
          <w:marTop w:val="0"/>
          <w:marBottom w:val="0"/>
          <w:divBdr>
            <w:top w:val="none" w:sz="0" w:space="0" w:color="auto"/>
            <w:left w:val="none" w:sz="0" w:space="0" w:color="auto"/>
            <w:bottom w:val="none" w:sz="0" w:space="0" w:color="auto"/>
            <w:right w:val="none" w:sz="0" w:space="0" w:color="auto"/>
          </w:divBdr>
        </w:div>
      </w:divsChild>
    </w:div>
    <w:div w:id="2048410755">
      <w:bodyDiv w:val="1"/>
      <w:marLeft w:val="0"/>
      <w:marRight w:val="0"/>
      <w:marTop w:val="0"/>
      <w:marBottom w:val="0"/>
      <w:divBdr>
        <w:top w:val="none" w:sz="0" w:space="0" w:color="auto"/>
        <w:left w:val="none" w:sz="0" w:space="0" w:color="auto"/>
        <w:bottom w:val="none" w:sz="0" w:space="0" w:color="auto"/>
        <w:right w:val="none" w:sz="0" w:space="0" w:color="auto"/>
      </w:divBdr>
      <w:divsChild>
        <w:div w:id="390926351">
          <w:marLeft w:val="0"/>
          <w:marRight w:val="0"/>
          <w:marTop w:val="0"/>
          <w:marBottom w:val="0"/>
          <w:divBdr>
            <w:top w:val="none" w:sz="0" w:space="0" w:color="auto"/>
            <w:left w:val="none" w:sz="0" w:space="0" w:color="auto"/>
            <w:bottom w:val="none" w:sz="0" w:space="0" w:color="auto"/>
            <w:right w:val="none" w:sz="0" w:space="0" w:color="auto"/>
          </w:divBdr>
        </w:div>
        <w:div w:id="651909730">
          <w:marLeft w:val="0"/>
          <w:marRight w:val="0"/>
          <w:marTop w:val="0"/>
          <w:marBottom w:val="0"/>
          <w:divBdr>
            <w:top w:val="none" w:sz="0" w:space="0" w:color="auto"/>
            <w:left w:val="none" w:sz="0" w:space="0" w:color="auto"/>
            <w:bottom w:val="none" w:sz="0" w:space="0" w:color="auto"/>
            <w:right w:val="none" w:sz="0" w:space="0" w:color="auto"/>
          </w:divBdr>
        </w:div>
        <w:div w:id="730032465">
          <w:marLeft w:val="0"/>
          <w:marRight w:val="0"/>
          <w:marTop w:val="0"/>
          <w:marBottom w:val="0"/>
          <w:divBdr>
            <w:top w:val="none" w:sz="0" w:space="0" w:color="auto"/>
            <w:left w:val="none" w:sz="0" w:space="0" w:color="auto"/>
            <w:bottom w:val="none" w:sz="0" w:space="0" w:color="auto"/>
            <w:right w:val="none" w:sz="0" w:space="0" w:color="auto"/>
          </w:divBdr>
        </w:div>
        <w:div w:id="1410493202">
          <w:marLeft w:val="0"/>
          <w:marRight w:val="0"/>
          <w:marTop w:val="0"/>
          <w:marBottom w:val="0"/>
          <w:divBdr>
            <w:top w:val="none" w:sz="0" w:space="0" w:color="auto"/>
            <w:left w:val="none" w:sz="0" w:space="0" w:color="auto"/>
            <w:bottom w:val="none" w:sz="0" w:space="0" w:color="auto"/>
            <w:right w:val="none" w:sz="0" w:space="0" w:color="auto"/>
          </w:divBdr>
        </w:div>
        <w:div w:id="2070421325">
          <w:marLeft w:val="0"/>
          <w:marRight w:val="0"/>
          <w:marTop w:val="0"/>
          <w:marBottom w:val="0"/>
          <w:divBdr>
            <w:top w:val="none" w:sz="0" w:space="0" w:color="auto"/>
            <w:left w:val="none" w:sz="0" w:space="0" w:color="auto"/>
            <w:bottom w:val="none" w:sz="0" w:space="0" w:color="auto"/>
            <w:right w:val="none" w:sz="0" w:space="0" w:color="auto"/>
          </w:divBdr>
        </w:div>
      </w:divsChild>
    </w:div>
    <w:div w:id="2048872007">
      <w:bodyDiv w:val="1"/>
      <w:marLeft w:val="0"/>
      <w:marRight w:val="0"/>
      <w:marTop w:val="0"/>
      <w:marBottom w:val="0"/>
      <w:divBdr>
        <w:top w:val="none" w:sz="0" w:space="0" w:color="auto"/>
        <w:left w:val="none" w:sz="0" w:space="0" w:color="auto"/>
        <w:bottom w:val="none" w:sz="0" w:space="0" w:color="auto"/>
        <w:right w:val="none" w:sz="0" w:space="0" w:color="auto"/>
      </w:divBdr>
      <w:divsChild>
        <w:div w:id="113523442">
          <w:marLeft w:val="0"/>
          <w:marRight w:val="0"/>
          <w:marTop w:val="0"/>
          <w:marBottom w:val="0"/>
          <w:divBdr>
            <w:top w:val="none" w:sz="0" w:space="0" w:color="auto"/>
            <w:left w:val="none" w:sz="0" w:space="0" w:color="auto"/>
            <w:bottom w:val="none" w:sz="0" w:space="0" w:color="auto"/>
            <w:right w:val="none" w:sz="0" w:space="0" w:color="auto"/>
          </w:divBdr>
        </w:div>
        <w:div w:id="643586441">
          <w:marLeft w:val="0"/>
          <w:marRight w:val="0"/>
          <w:marTop w:val="0"/>
          <w:marBottom w:val="0"/>
          <w:divBdr>
            <w:top w:val="none" w:sz="0" w:space="0" w:color="auto"/>
            <w:left w:val="none" w:sz="0" w:space="0" w:color="auto"/>
            <w:bottom w:val="none" w:sz="0" w:space="0" w:color="auto"/>
            <w:right w:val="none" w:sz="0" w:space="0" w:color="auto"/>
          </w:divBdr>
        </w:div>
        <w:div w:id="1579437933">
          <w:marLeft w:val="0"/>
          <w:marRight w:val="0"/>
          <w:marTop w:val="0"/>
          <w:marBottom w:val="0"/>
          <w:divBdr>
            <w:top w:val="none" w:sz="0" w:space="0" w:color="auto"/>
            <w:left w:val="none" w:sz="0" w:space="0" w:color="auto"/>
            <w:bottom w:val="none" w:sz="0" w:space="0" w:color="auto"/>
            <w:right w:val="none" w:sz="0" w:space="0" w:color="auto"/>
          </w:divBdr>
        </w:div>
      </w:divsChild>
    </w:div>
    <w:div w:id="2069956716">
      <w:bodyDiv w:val="1"/>
      <w:marLeft w:val="0"/>
      <w:marRight w:val="0"/>
      <w:marTop w:val="0"/>
      <w:marBottom w:val="0"/>
      <w:divBdr>
        <w:top w:val="none" w:sz="0" w:space="0" w:color="auto"/>
        <w:left w:val="none" w:sz="0" w:space="0" w:color="auto"/>
        <w:bottom w:val="none" w:sz="0" w:space="0" w:color="auto"/>
        <w:right w:val="none" w:sz="0" w:space="0" w:color="auto"/>
      </w:divBdr>
      <w:divsChild>
        <w:div w:id="679968371">
          <w:marLeft w:val="0"/>
          <w:marRight w:val="0"/>
          <w:marTop w:val="0"/>
          <w:marBottom w:val="0"/>
          <w:divBdr>
            <w:top w:val="none" w:sz="0" w:space="0" w:color="auto"/>
            <w:left w:val="none" w:sz="0" w:space="0" w:color="auto"/>
            <w:bottom w:val="none" w:sz="0" w:space="0" w:color="auto"/>
            <w:right w:val="none" w:sz="0" w:space="0" w:color="auto"/>
          </w:divBdr>
        </w:div>
        <w:div w:id="782304373">
          <w:marLeft w:val="0"/>
          <w:marRight w:val="0"/>
          <w:marTop w:val="0"/>
          <w:marBottom w:val="0"/>
          <w:divBdr>
            <w:top w:val="none" w:sz="0" w:space="0" w:color="auto"/>
            <w:left w:val="none" w:sz="0" w:space="0" w:color="auto"/>
            <w:bottom w:val="none" w:sz="0" w:space="0" w:color="auto"/>
            <w:right w:val="none" w:sz="0" w:space="0" w:color="auto"/>
          </w:divBdr>
        </w:div>
        <w:div w:id="1105492955">
          <w:marLeft w:val="0"/>
          <w:marRight w:val="0"/>
          <w:marTop w:val="0"/>
          <w:marBottom w:val="0"/>
          <w:divBdr>
            <w:top w:val="none" w:sz="0" w:space="0" w:color="auto"/>
            <w:left w:val="none" w:sz="0" w:space="0" w:color="auto"/>
            <w:bottom w:val="none" w:sz="0" w:space="0" w:color="auto"/>
            <w:right w:val="none" w:sz="0" w:space="0" w:color="auto"/>
          </w:divBdr>
        </w:div>
      </w:divsChild>
    </w:div>
    <w:div w:id="2073427999">
      <w:bodyDiv w:val="1"/>
      <w:marLeft w:val="0"/>
      <w:marRight w:val="0"/>
      <w:marTop w:val="0"/>
      <w:marBottom w:val="0"/>
      <w:divBdr>
        <w:top w:val="none" w:sz="0" w:space="0" w:color="auto"/>
        <w:left w:val="none" w:sz="0" w:space="0" w:color="auto"/>
        <w:bottom w:val="none" w:sz="0" w:space="0" w:color="auto"/>
        <w:right w:val="none" w:sz="0" w:space="0" w:color="auto"/>
      </w:divBdr>
      <w:divsChild>
        <w:div w:id="814490259">
          <w:marLeft w:val="0"/>
          <w:marRight w:val="0"/>
          <w:marTop w:val="0"/>
          <w:marBottom w:val="0"/>
          <w:divBdr>
            <w:top w:val="none" w:sz="0" w:space="0" w:color="auto"/>
            <w:left w:val="none" w:sz="0" w:space="0" w:color="auto"/>
            <w:bottom w:val="none" w:sz="0" w:space="0" w:color="auto"/>
            <w:right w:val="none" w:sz="0" w:space="0" w:color="auto"/>
          </w:divBdr>
        </w:div>
        <w:div w:id="1929996155">
          <w:marLeft w:val="0"/>
          <w:marRight w:val="0"/>
          <w:marTop w:val="0"/>
          <w:marBottom w:val="0"/>
          <w:divBdr>
            <w:top w:val="none" w:sz="0" w:space="0" w:color="auto"/>
            <w:left w:val="none" w:sz="0" w:space="0" w:color="auto"/>
            <w:bottom w:val="none" w:sz="0" w:space="0" w:color="auto"/>
            <w:right w:val="none" w:sz="0" w:space="0" w:color="auto"/>
          </w:divBdr>
        </w:div>
        <w:div w:id="1971741542">
          <w:marLeft w:val="0"/>
          <w:marRight w:val="0"/>
          <w:marTop w:val="0"/>
          <w:marBottom w:val="0"/>
          <w:divBdr>
            <w:top w:val="none" w:sz="0" w:space="0" w:color="auto"/>
            <w:left w:val="none" w:sz="0" w:space="0" w:color="auto"/>
            <w:bottom w:val="none" w:sz="0" w:space="0" w:color="auto"/>
            <w:right w:val="none" w:sz="0" w:space="0" w:color="auto"/>
          </w:divBdr>
        </w:div>
      </w:divsChild>
    </w:div>
    <w:div w:id="2086535611">
      <w:bodyDiv w:val="1"/>
      <w:marLeft w:val="0"/>
      <w:marRight w:val="0"/>
      <w:marTop w:val="0"/>
      <w:marBottom w:val="0"/>
      <w:divBdr>
        <w:top w:val="none" w:sz="0" w:space="0" w:color="auto"/>
        <w:left w:val="none" w:sz="0" w:space="0" w:color="auto"/>
        <w:bottom w:val="none" w:sz="0" w:space="0" w:color="auto"/>
        <w:right w:val="none" w:sz="0" w:space="0" w:color="auto"/>
      </w:divBdr>
      <w:divsChild>
        <w:div w:id="474370267">
          <w:marLeft w:val="0"/>
          <w:marRight w:val="0"/>
          <w:marTop w:val="0"/>
          <w:marBottom w:val="0"/>
          <w:divBdr>
            <w:top w:val="none" w:sz="0" w:space="0" w:color="auto"/>
            <w:left w:val="none" w:sz="0" w:space="0" w:color="auto"/>
            <w:bottom w:val="none" w:sz="0" w:space="0" w:color="auto"/>
            <w:right w:val="none" w:sz="0" w:space="0" w:color="auto"/>
          </w:divBdr>
        </w:div>
        <w:div w:id="1085107531">
          <w:marLeft w:val="0"/>
          <w:marRight w:val="0"/>
          <w:marTop w:val="0"/>
          <w:marBottom w:val="0"/>
          <w:divBdr>
            <w:top w:val="none" w:sz="0" w:space="0" w:color="auto"/>
            <w:left w:val="none" w:sz="0" w:space="0" w:color="auto"/>
            <w:bottom w:val="none" w:sz="0" w:space="0" w:color="auto"/>
            <w:right w:val="none" w:sz="0" w:space="0" w:color="auto"/>
          </w:divBdr>
        </w:div>
        <w:div w:id="1971784449">
          <w:marLeft w:val="0"/>
          <w:marRight w:val="0"/>
          <w:marTop w:val="0"/>
          <w:marBottom w:val="0"/>
          <w:divBdr>
            <w:top w:val="none" w:sz="0" w:space="0" w:color="auto"/>
            <w:left w:val="none" w:sz="0" w:space="0" w:color="auto"/>
            <w:bottom w:val="none" w:sz="0" w:space="0" w:color="auto"/>
            <w:right w:val="none" w:sz="0" w:space="0" w:color="auto"/>
          </w:divBdr>
        </w:div>
      </w:divsChild>
    </w:div>
    <w:div w:id="2098212883">
      <w:bodyDiv w:val="1"/>
      <w:marLeft w:val="0"/>
      <w:marRight w:val="0"/>
      <w:marTop w:val="0"/>
      <w:marBottom w:val="0"/>
      <w:divBdr>
        <w:top w:val="none" w:sz="0" w:space="0" w:color="auto"/>
        <w:left w:val="none" w:sz="0" w:space="0" w:color="auto"/>
        <w:bottom w:val="none" w:sz="0" w:space="0" w:color="auto"/>
        <w:right w:val="none" w:sz="0" w:space="0" w:color="auto"/>
      </w:divBdr>
      <w:divsChild>
        <w:div w:id="117183750">
          <w:marLeft w:val="0"/>
          <w:marRight w:val="0"/>
          <w:marTop w:val="0"/>
          <w:marBottom w:val="0"/>
          <w:divBdr>
            <w:top w:val="none" w:sz="0" w:space="0" w:color="auto"/>
            <w:left w:val="none" w:sz="0" w:space="0" w:color="auto"/>
            <w:bottom w:val="none" w:sz="0" w:space="0" w:color="auto"/>
            <w:right w:val="none" w:sz="0" w:space="0" w:color="auto"/>
          </w:divBdr>
        </w:div>
        <w:div w:id="596251064">
          <w:marLeft w:val="0"/>
          <w:marRight w:val="0"/>
          <w:marTop w:val="0"/>
          <w:marBottom w:val="0"/>
          <w:divBdr>
            <w:top w:val="none" w:sz="0" w:space="0" w:color="auto"/>
            <w:left w:val="none" w:sz="0" w:space="0" w:color="auto"/>
            <w:bottom w:val="none" w:sz="0" w:space="0" w:color="auto"/>
            <w:right w:val="none" w:sz="0" w:space="0" w:color="auto"/>
          </w:divBdr>
        </w:div>
        <w:div w:id="1004357493">
          <w:marLeft w:val="0"/>
          <w:marRight w:val="0"/>
          <w:marTop w:val="0"/>
          <w:marBottom w:val="0"/>
          <w:divBdr>
            <w:top w:val="none" w:sz="0" w:space="0" w:color="auto"/>
            <w:left w:val="none" w:sz="0" w:space="0" w:color="auto"/>
            <w:bottom w:val="none" w:sz="0" w:space="0" w:color="auto"/>
            <w:right w:val="none" w:sz="0" w:space="0" w:color="auto"/>
          </w:divBdr>
        </w:div>
        <w:div w:id="1277519191">
          <w:marLeft w:val="0"/>
          <w:marRight w:val="0"/>
          <w:marTop w:val="0"/>
          <w:marBottom w:val="0"/>
          <w:divBdr>
            <w:top w:val="none" w:sz="0" w:space="0" w:color="auto"/>
            <w:left w:val="none" w:sz="0" w:space="0" w:color="auto"/>
            <w:bottom w:val="none" w:sz="0" w:space="0" w:color="auto"/>
            <w:right w:val="none" w:sz="0" w:space="0" w:color="auto"/>
          </w:divBdr>
        </w:div>
        <w:div w:id="1535728831">
          <w:marLeft w:val="0"/>
          <w:marRight w:val="0"/>
          <w:marTop w:val="0"/>
          <w:marBottom w:val="0"/>
          <w:divBdr>
            <w:top w:val="none" w:sz="0" w:space="0" w:color="auto"/>
            <w:left w:val="none" w:sz="0" w:space="0" w:color="auto"/>
            <w:bottom w:val="none" w:sz="0" w:space="0" w:color="auto"/>
            <w:right w:val="none" w:sz="0" w:space="0" w:color="auto"/>
          </w:divBdr>
        </w:div>
      </w:divsChild>
    </w:div>
    <w:div w:id="2117599911">
      <w:bodyDiv w:val="1"/>
      <w:marLeft w:val="0"/>
      <w:marRight w:val="0"/>
      <w:marTop w:val="0"/>
      <w:marBottom w:val="0"/>
      <w:divBdr>
        <w:top w:val="none" w:sz="0" w:space="0" w:color="auto"/>
        <w:left w:val="none" w:sz="0" w:space="0" w:color="auto"/>
        <w:bottom w:val="none" w:sz="0" w:space="0" w:color="auto"/>
        <w:right w:val="none" w:sz="0" w:space="0" w:color="auto"/>
      </w:divBdr>
    </w:div>
    <w:div w:id="2119177546">
      <w:bodyDiv w:val="1"/>
      <w:marLeft w:val="0"/>
      <w:marRight w:val="0"/>
      <w:marTop w:val="0"/>
      <w:marBottom w:val="0"/>
      <w:divBdr>
        <w:top w:val="none" w:sz="0" w:space="0" w:color="auto"/>
        <w:left w:val="none" w:sz="0" w:space="0" w:color="auto"/>
        <w:bottom w:val="none" w:sz="0" w:space="0" w:color="auto"/>
        <w:right w:val="none" w:sz="0" w:space="0" w:color="auto"/>
      </w:divBdr>
      <w:divsChild>
        <w:div w:id="216936403">
          <w:marLeft w:val="0"/>
          <w:marRight w:val="0"/>
          <w:marTop w:val="0"/>
          <w:marBottom w:val="0"/>
          <w:divBdr>
            <w:top w:val="none" w:sz="0" w:space="0" w:color="auto"/>
            <w:left w:val="none" w:sz="0" w:space="0" w:color="auto"/>
            <w:bottom w:val="none" w:sz="0" w:space="0" w:color="auto"/>
            <w:right w:val="none" w:sz="0" w:space="0" w:color="auto"/>
          </w:divBdr>
        </w:div>
        <w:div w:id="218594465">
          <w:marLeft w:val="0"/>
          <w:marRight w:val="0"/>
          <w:marTop w:val="0"/>
          <w:marBottom w:val="0"/>
          <w:divBdr>
            <w:top w:val="none" w:sz="0" w:space="0" w:color="auto"/>
            <w:left w:val="none" w:sz="0" w:space="0" w:color="auto"/>
            <w:bottom w:val="none" w:sz="0" w:space="0" w:color="auto"/>
            <w:right w:val="none" w:sz="0" w:space="0" w:color="auto"/>
          </w:divBdr>
        </w:div>
        <w:div w:id="1285885770">
          <w:marLeft w:val="0"/>
          <w:marRight w:val="0"/>
          <w:marTop w:val="0"/>
          <w:marBottom w:val="0"/>
          <w:divBdr>
            <w:top w:val="none" w:sz="0" w:space="0" w:color="auto"/>
            <w:left w:val="none" w:sz="0" w:space="0" w:color="auto"/>
            <w:bottom w:val="none" w:sz="0" w:space="0" w:color="auto"/>
            <w:right w:val="none" w:sz="0" w:space="0" w:color="auto"/>
          </w:divBdr>
        </w:div>
        <w:div w:id="1502504734">
          <w:marLeft w:val="0"/>
          <w:marRight w:val="0"/>
          <w:marTop w:val="0"/>
          <w:marBottom w:val="0"/>
          <w:divBdr>
            <w:top w:val="none" w:sz="0" w:space="0" w:color="auto"/>
            <w:left w:val="none" w:sz="0" w:space="0" w:color="auto"/>
            <w:bottom w:val="none" w:sz="0" w:space="0" w:color="auto"/>
            <w:right w:val="none" w:sz="0" w:space="0" w:color="auto"/>
          </w:divBdr>
        </w:div>
        <w:div w:id="1865897927">
          <w:marLeft w:val="0"/>
          <w:marRight w:val="0"/>
          <w:marTop w:val="0"/>
          <w:marBottom w:val="0"/>
          <w:divBdr>
            <w:top w:val="none" w:sz="0" w:space="0" w:color="auto"/>
            <w:left w:val="none" w:sz="0" w:space="0" w:color="auto"/>
            <w:bottom w:val="none" w:sz="0" w:space="0" w:color="auto"/>
            <w:right w:val="none" w:sz="0" w:space="0" w:color="auto"/>
          </w:divBdr>
        </w:div>
      </w:divsChild>
    </w:div>
    <w:div w:id="2129733949">
      <w:bodyDiv w:val="1"/>
      <w:marLeft w:val="0"/>
      <w:marRight w:val="0"/>
      <w:marTop w:val="0"/>
      <w:marBottom w:val="0"/>
      <w:divBdr>
        <w:top w:val="none" w:sz="0" w:space="0" w:color="auto"/>
        <w:left w:val="none" w:sz="0" w:space="0" w:color="auto"/>
        <w:bottom w:val="none" w:sz="0" w:space="0" w:color="auto"/>
        <w:right w:val="none" w:sz="0" w:space="0" w:color="auto"/>
      </w:divBdr>
      <w:divsChild>
        <w:div w:id="1576933891">
          <w:marLeft w:val="0"/>
          <w:marRight w:val="0"/>
          <w:marTop w:val="0"/>
          <w:marBottom w:val="0"/>
          <w:divBdr>
            <w:top w:val="none" w:sz="0" w:space="0" w:color="auto"/>
            <w:left w:val="none" w:sz="0" w:space="0" w:color="auto"/>
            <w:bottom w:val="none" w:sz="0" w:space="0" w:color="auto"/>
            <w:right w:val="none" w:sz="0" w:space="0" w:color="auto"/>
          </w:divBdr>
        </w:div>
        <w:div w:id="1726635695">
          <w:marLeft w:val="0"/>
          <w:marRight w:val="0"/>
          <w:marTop w:val="0"/>
          <w:marBottom w:val="0"/>
          <w:divBdr>
            <w:top w:val="none" w:sz="0" w:space="0" w:color="auto"/>
            <w:left w:val="none" w:sz="0" w:space="0" w:color="auto"/>
            <w:bottom w:val="none" w:sz="0" w:space="0" w:color="auto"/>
            <w:right w:val="none" w:sz="0" w:space="0" w:color="auto"/>
          </w:divBdr>
        </w:div>
        <w:div w:id="1928532722">
          <w:marLeft w:val="0"/>
          <w:marRight w:val="0"/>
          <w:marTop w:val="0"/>
          <w:marBottom w:val="0"/>
          <w:divBdr>
            <w:top w:val="none" w:sz="0" w:space="0" w:color="auto"/>
            <w:left w:val="none" w:sz="0" w:space="0" w:color="auto"/>
            <w:bottom w:val="none" w:sz="0" w:space="0" w:color="auto"/>
            <w:right w:val="none" w:sz="0" w:space="0" w:color="auto"/>
          </w:divBdr>
        </w:div>
        <w:div w:id="2004430276">
          <w:marLeft w:val="0"/>
          <w:marRight w:val="0"/>
          <w:marTop w:val="0"/>
          <w:marBottom w:val="0"/>
          <w:divBdr>
            <w:top w:val="none" w:sz="0" w:space="0" w:color="auto"/>
            <w:left w:val="none" w:sz="0" w:space="0" w:color="auto"/>
            <w:bottom w:val="none" w:sz="0" w:space="0" w:color="auto"/>
            <w:right w:val="none" w:sz="0" w:space="0" w:color="auto"/>
          </w:divBdr>
        </w:div>
      </w:divsChild>
    </w:div>
    <w:div w:id="2135439561">
      <w:bodyDiv w:val="1"/>
      <w:marLeft w:val="0"/>
      <w:marRight w:val="0"/>
      <w:marTop w:val="0"/>
      <w:marBottom w:val="0"/>
      <w:divBdr>
        <w:top w:val="none" w:sz="0" w:space="0" w:color="auto"/>
        <w:left w:val="none" w:sz="0" w:space="0" w:color="auto"/>
        <w:bottom w:val="none" w:sz="0" w:space="0" w:color="auto"/>
        <w:right w:val="none" w:sz="0" w:space="0" w:color="auto"/>
      </w:divBdr>
      <w:divsChild>
        <w:div w:id="356347441">
          <w:marLeft w:val="0"/>
          <w:marRight w:val="0"/>
          <w:marTop w:val="0"/>
          <w:marBottom w:val="0"/>
          <w:divBdr>
            <w:top w:val="none" w:sz="0" w:space="0" w:color="auto"/>
            <w:left w:val="none" w:sz="0" w:space="0" w:color="auto"/>
            <w:bottom w:val="none" w:sz="0" w:space="0" w:color="auto"/>
            <w:right w:val="none" w:sz="0" w:space="0" w:color="auto"/>
          </w:divBdr>
        </w:div>
        <w:div w:id="594830554">
          <w:marLeft w:val="0"/>
          <w:marRight w:val="0"/>
          <w:marTop w:val="0"/>
          <w:marBottom w:val="0"/>
          <w:divBdr>
            <w:top w:val="none" w:sz="0" w:space="0" w:color="auto"/>
            <w:left w:val="none" w:sz="0" w:space="0" w:color="auto"/>
            <w:bottom w:val="none" w:sz="0" w:space="0" w:color="auto"/>
            <w:right w:val="none" w:sz="0" w:space="0" w:color="auto"/>
          </w:divBdr>
        </w:div>
        <w:div w:id="732587343">
          <w:marLeft w:val="0"/>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Decisions/12.COM/13" TargetMode="External"/><Relationship Id="rId18" Type="http://schemas.openxmlformats.org/officeDocument/2006/relationships/header" Target="header3.xml"/><Relationship Id="rId26" Type="http://schemas.openxmlformats.org/officeDocument/2006/relationships/hyperlink" Target="https://ich.unesco.org/doc/src/ITH-18-7.GA-6-FR.docx" TargetMode="External"/><Relationship Id="rId39" Type="http://schemas.openxmlformats.org/officeDocument/2006/relationships/hyperlink" Target="https://ich.unesco.org/fr/reglement-ag" TargetMode="External"/><Relationship Id="rId21" Type="http://schemas.openxmlformats.org/officeDocument/2006/relationships/hyperlink" Target="https://ich.unesco.org/fr/Resolutions/6.GA/7" TargetMode="External"/><Relationship Id="rId34" Type="http://schemas.openxmlformats.org/officeDocument/2006/relationships/hyperlink" Target="http://unesdoc.unesco.org/images/0025/002590/259081f.pdf" TargetMode="External"/><Relationship Id="rId42" Type="http://schemas.openxmlformats.org/officeDocument/2006/relationships/hyperlink" Target="https://ich.unesco.org/fr/Decisions/12.COM/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ich.unesco.org/fr/regl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3" TargetMode="External"/><Relationship Id="rId24" Type="http://schemas.openxmlformats.org/officeDocument/2006/relationships/hyperlink" Target="https://ich.unesco.org/doc/src/ITH-18-7.GA-2-FR.docx" TargetMode="External"/><Relationship Id="rId32" Type="http://schemas.openxmlformats.org/officeDocument/2006/relationships/hyperlink" Target="https://ich.unesco.org/fr/reglement-ag" TargetMode="External"/><Relationship Id="rId37" Type="http://schemas.openxmlformats.org/officeDocument/2006/relationships/hyperlink" Target="https://ich.unesco.org/fr/reglement-com" TargetMode="External"/><Relationship Id="rId40" Type="http://schemas.openxmlformats.org/officeDocument/2006/relationships/hyperlink" Target="https://ich.unesco.org/fr/reglement-com"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ch.unesco.org/fr/Resolutions/6.GA/11" TargetMode="External"/><Relationship Id="rId23" Type="http://schemas.openxmlformats.org/officeDocument/2006/relationships/hyperlink" Target="https://ich.unesco.org/fr/reglement-com" TargetMode="External"/><Relationship Id="rId28" Type="http://schemas.openxmlformats.org/officeDocument/2006/relationships/hyperlink" Target="https://ich.unesco.org/fr/reglement-ag" TargetMode="External"/><Relationship Id="rId36" Type="http://schemas.openxmlformats.org/officeDocument/2006/relationships/hyperlink" Target="https://ich.unesco.org/fr/reglement-com" TargetMode="External"/><Relationship Id="rId10" Type="http://schemas.openxmlformats.org/officeDocument/2006/relationships/hyperlink" Target="https://ich.unesco.org/fr/Decisions/12.COM/16" TargetMode="External"/><Relationship Id="rId19" Type="http://schemas.openxmlformats.org/officeDocument/2006/relationships/hyperlink" Target="https://ich.unesco.org/frconvention" TargetMode="External"/><Relationship Id="rId31" Type="http://schemas.openxmlformats.org/officeDocument/2006/relationships/hyperlink" Target="https://ich.unesco.org/fr/reglement-ag" TargetMode="External"/><Relationship Id="rId44" Type="http://schemas.openxmlformats.org/officeDocument/2006/relationships/hyperlink" Target="https://ich.unesco.org/doc/src/ITH-18-7.GA-13-FR.docx" TargetMode="External"/><Relationship Id="rId4" Type="http://schemas.openxmlformats.org/officeDocument/2006/relationships/settings" Target="settings.xml"/><Relationship Id="rId9" Type="http://schemas.openxmlformats.org/officeDocument/2006/relationships/hyperlink" Target="http://unesdoc.unesco.org/images/0026/002600/260089f.pdf" TargetMode="External"/><Relationship Id="rId14" Type="http://schemas.openxmlformats.org/officeDocument/2006/relationships/hyperlink" Target="https://ich.unesco.org/fr/Decisions/12.COM/16" TargetMode="External"/><Relationship Id="rId22" Type="http://schemas.openxmlformats.org/officeDocument/2006/relationships/hyperlink" Target="https://ich.unesco.org/frconvention" TargetMode="External"/><Relationship Id="rId27" Type="http://schemas.openxmlformats.org/officeDocument/2006/relationships/hyperlink" Target="https://ich.unesco.org/fr/Decisions/12.COM/13" TargetMode="External"/><Relationship Id="rId30" Type="http://schemas.openxmlformats.org/officeDocument/2006/relationships/hyperlink" Target="https://ich.unesco.org/fr/reglement-com" TargetMode="External"/><Relationship Id="rId35" Type="http://schemas.openxmlformats.org/officeDocument/2006/relationships/hyperlink" Target="https://ich.unesco.org/fr/Decisions/12.COM/16" TargetMode="External"/><Relationship Id="rId43" Type="http://schemas.openxmlformats.org/officeDocument/2006/relationships/hyperlink" Target="https://ich.unesco.org/fr/Resolutions/6.GA/11" TargetMode="External"/><Relationship Id="rId8" Type="http://schemas.openxmlformats.org/officeDocument/2006/relationships/hyperlink" Target="http://unesdoc.unesco.org/images/0025/002590/259081f.pdf" TargetMode="External"/><Relationship Id="rId3" Type="http://schemas.openxmlformats.org/officeDocument/2006/relationships/styles" Target="styles.xml"/><Relationship Id="rId12" Type="http://schemas.openxmlformats.org/officeDocument/2006/relationships/hyperlink" Target="https://ich.unesco.org/fr/Decisions/11.COM/7" TargetMode="External"/><Relationship Id="rId17" Type="http://schemas.openxmlformats.org/officeDocument/2006/relationships/header" Target="header2.xml"/><Relationship Id="rId25" Type="http://schemas.openxmlformats.org/officeDocument/2006/relationships/hyperlink" Target="https://ich.unesco.org/frconvention" TargetMode="External"/><Relationship Id="rId33" Type="http://schemas.openxmlformats.org/officeDocument/2006/relationships/hyperlink" Target="https://ich.unesco.org/fr/reglement-com" TargetMode="External"/><Relationship Id="rId38" Type="http://schemas.openxmlformats.org/officeDocument/2006/relationships/hyperlink" Target="https://ich.unesco.org/fr/reglement-ag" TargetMode="External"/><Relationship Id="rId46" Type="http://schemas.openxmlformats.org/officeDocument/2006/relationships/fontTable" Target="fontTable.xml"/><Relationship Id="rId20" Type="http://schemas.openxmlformats.org/officeDocument/2006/relationships/hyperlink" Target="https://ich.unesco.org/frconvention" TargetMode="External"/><Relationship Id="rId41" Type="http://schemas.openxmlformats.org/officeDocument/2006/relationships/hyperlink" Target="https://ich.unesco.org/doc/src/ITH-17-12.COM-7-FR.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00/260089f.pdf" TargetMode="External"/><Relationship Id="rId1" Type="http://schemas.openxmlformats.org/officeDocument/2006/relationships/hyperlink" Target="http://unesdoc.unesco.org/images/0025/002590/259081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17D1-EA44-4E8A-A0CD-BE46D927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21</TotalTime>
  <Pages>12</Pages>
  <Words>4633</Words>
  <Characters>26411</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9</cp:revision>
  <cp:lastPrinted>2018-04-20T15:15:00Z</cp:lastPrinted>
  <dcterms:created xsi:type="dcterms:W3CDTF">2018-05-03T12:43:00Z</dcterms:created>
  <dcterms:modified xsi:type="dcterms:W3CDTF">2018-05-04T18:02:00Z</dcterms:modified>
</cp:coreProperties>
</file>