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54E" w:rsidRPr="000C3818" w:rsidRDefault="0068554E" w:rsidP="0068554E">
      <w:pPr>
        <w:spacing w:before="1440"/>
        <w:jc w:val="center"/>
        <w:rPr>
          <w:rFonts w:ascii="Arial" w:hAnsi="Arial" w:cs="Arial"/>
          <w:b/>
          <w:sz w:val="22"/>
          <w:szCs w:val="22"/>
        </w:rPr>
      </w:pPr>
      <w:r>
        <w:rPr>
          <w:rFonts w:ascii="Arial" w:hAnsi="Arial"/>
          <w:b/>
          <w:sz w:val="22"/>
        </w:rPr>
        <w:t xml:space="preserve">CONVENCIÓN PARA LA SALVAGUARDIA DEL </w:t>
      </w:r>
      <w:r>
        <w:br/>
      </w:r>
      <w:r>
        <w:rPr>
          <w:rFonts w:ascii="Arial" w:hAnsi="Arial"/>
          <w:b/>
          <w:sz w:val="22"/>
        </w:rPr>
        <w:t>PATRIMONIO CULTURAL INMATERIAL</w:t>
      </w:r>
    </w:p>
    <w:p w:rsidR="0068554E" w:rsidRPr="000C3818" w:rsidRDefault="0068554E" w:rsidP="0068554E">
      <w:pPr>
        <w:spacing w:before="1200"/>
        <w:jc w:val="center"/>
        <w:rPr>
          <w:rFonts w:ascii="Arial" w:hAnsi="Arial" w:cs="Arial"/>
          <w:b/>
          <w:sz w:val="22"/>
          <w:szCs w:val="22"/>
        </w:rPr>
      </w:pPr>
      <w:r>
        <w:rPr>
          <w:rFonts w:ascii="Arial" w:hAnsi="Arial"/>
          <w:b/>
          <w:sz w:val="22"/>
        </w:rPr>
        <w:t>ASAMBLEA GENERAL DE LOS ESTADOS PARTES EN LA CONVENCIÓN</w:t>
      </w:r>
    </w:p>
    <w:p w:rsidR="0068554E" w:rsidRPr="000C3818" w:rsidRDefault="0068554E" w:rsidP="0068554E">
      <w:pPr>
        <w:spacing w:before="840"/>
        <w:jc w:val="center"/>
        <w:rPr>
          <w:rFonts w:ascii="Arial" w:hAnsi="Arial" w:cs="Arial"/>
          <w:b/>
          <w:sz w:val="22"/>
          <w:szCs w:val="22"/>
        </w:rPr>
      </w:pPr>
      <w:r>
        <w:rPr>
          <w:rFonts w:ascii="Arial" w:hAnsi="Arial"/>
          <w:b/>
          <w:sz w:val="22"/>
        </w:rPr>
        <w:t>Séptima reunión</w:t>
      </w:r>
    </w:p>
    <w:p w:rsidR="0068554E" w:rsidRPr="000C3818" w:rsidRDefault="0068554E" w:rsidP="0068554E">
      <w:pPr>
        <w:jc w:val="center"/>
        <w:rPr>
          <w:rFonts w:ascii="Arial" w:hAnsi="Arial" w:cs="Arial"/>
          <w:b/>
          <w:sz w:val="22"/>
          <w:szCs w:val="22"/>
        </w:rPr>
      </w:pPr>
      <w:r>
        <w:rPr>
          <w:rFonts w:ascii="Arial" w:hAnsi="Arial"/>
          <w:b/>
          <w:sz w:val="22"/>
        </w:rPr>
        <w:t>Sede de la UNESCO, Sala II</w:t>
      </w:r>
    </w:p>
    <w:p w:rsidR="0068554E" w:rsidRPr="000C3818" w:rsidRDefault="0068554E" w:rsidP="0068554E">
      <w:pPr>
        <w:jc w:val="center"/>
        <w:rPr>
          <w:rFonts w:ascii="Arial" w:hAnsi="Arial" w:cs="Arial"/>
          <w:b/>
          <w:sz w:val="22"/>
          <w:szCs w:val="22"/>
        </w:rPr>
      </w:pPr>
      <w:r>
        <w:rPr>
          <w:rFonts w:ascii="Arial" w:hAnsi="Arial"/>
          <w:b/>
          <w:sz w:val="22"/>
        </w:rPr>
        <w:t>4 al 6 de junio de 2018</w:t>
      </w:r>
    </w:p>
    <w:p w:rsidR="0068554E" w:rsidRPr="000C3818" w:rsidRDefault="0068554E" w:rsidP="0068554E">
      <w:pPr>
        <w:pStyle w:val="Sansinterligne2"/>
        <w:spacing w:before="1200"/>
        <w:jc w:val="center"/>
        <w:rPr>
          <w:rFonts w:ascii="Arial" w:hAnsi="Arial" w:cs="Arial"/>
          <w:b/>
          <w:sz w:val="22"/>
          <w:szCs w:val="22"/>
        </w:rPr>
      </w:pPr>
      <w:r>
        <w:rPr>
          <w:rFonts w:ascii="Arial" w:hAnsi="Arial"/>
          <w:b/>
          <w:sz w:val="22"/>
          <w:u w:val="single"/>
        </w:rPr>
        <w:t>Punto 8 del Orden del día provisional:</w:t>
      </w:r>
    </w:p>
    <w:p w:rsidR="0068554E" w:rsidRPr="000C3818" w:rsidRDefault="0068554E" w:rsidP="0068554E">
      <w:pPr>
        <w:pStyle w:val="Sansinterligne2"/>
        <w:spacing w:after="1200"/>
        <w:jc w:val="center"/>
        <w:rPr>
          <w:rFonts w:ascii="Arial" w:hAnsi="Arial" w:cs="Arial"/>
          <w:b/>
          <w:sz w:val="22"/>
          <w:szCs w:val="22"/>
        </w:rPr>
      </w:pPr>
      <w:r>
        <w:rPr>
          <w:rFonts w:ascii="Arial" w:hAnsi="Arial"/>
          <w:b/>
          <w:sz w:val="22"/>
        </w:rPr>
        <w:t>Utilización de los recursos del Fondo del Patrimonio Cultural Inmaterial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8554E" w:rsidRPr="000C3818" w:rsidTr="0068554E">
        <w:trPr>
          <w:jc w:val="center"/>
        </w:trPr>
        <w:tc>
          <w:tcPr>
            <w:tcW w:w="5670" w:type="dxa"/>
            <w:vAlign w:val="center"/>
          </w:tcPr>
          <w:p w:rsidR="0068554E" w:rsidRPr="000C3818" w:rsidRDefault="0068554E" w:rsidP="0068554E">
            <w:pPr>
              <w:pStyle w:val="Sansinterligne1"/>
              <w:spacing w:before="200" w:after="200"/>
              <w:jc w:val="center"/>
              <w:rPr>
                <w:rFonts w:ascii="Arial" w:hAnsi="Arial" w:cs="Arial"/>
                <w:b/>
                <w:sz w:val="22"/>
                <w:szCs w:val="22"/>
              </w:rPr>
            </w:pPr>
            <w:r>
              <w:rPr>
                <w:rFonts w:ascii="Arial" w:hAnsi="Arial"/>
                <w:b/>
                <w:sz w:val="22"/>
              </w:rPr>
              <w:t>Resumen</w:t>
            </w:r>
          </w:p>
          <w:p w:rsidR="0068554E" w:rsidRPr="000264F8" w:rsidRDefault="0068554E" w:rsidP="0068554E">
            <w:pPr>
              <w:pStyle w:val="Sansinterligne2"/>
              <w:spacing w:after="120"/>
              <w:jc w:val="both"/>
              <w:rPr>
                <w:rFonts w:ascii="Arial" w:hAnsi="Arial" w:cs="Arial"/>
                <w:sz w:val="22"/>
                <w:szCs w:val="22"/>
              </w:rPr>
            </w:pPr>
            <w:r>
              <w:rPr>
                <w:rFonts w:ascii="Arial" w:hAnsi="Arial"/>
                <w:sz w:val="22"/>
              </w:rPr>
              <w:t xml:space="preserve">El Artículo 7(c) de la Convención establece que el Comité debe preparar un proyecto de plan </w:t>
            </w:r>
            <w:r w:rsidR="00CF0853">
              <w:rPr>
                <w:rFonts w:ascii="Arial" w:hAnsi="Arial"/>
                <w:sz w:val="22"/>
              </w:rPr>
              <w:t>para la</w:t>
            </w:r>
            <w:r>
              <w:rPr>
                <w:rFonts w:ascii="Arial" w:hAnsi="Arial"/>
                <w:sz w:val="22"/>
              </w:rPr>
              <w:t xml:space="preserve"> utilización de los recursos del Fondo y someterlo</w:t>
            </w:r>
            <w:r w:rsidR="00CF0853">
              <w:rPr>
                <w:rFonts w:ascii="Arial" w:hAnsi="Arial"/>
                <w:sz w:val="22"/>
              </w:rPr>
              <w:t xml:space="preserve"> </w:t>
            </w:r>
            <w:proofErr w:type="gramStart"/>
            <w:r w:rsidR="00CF0853">
              <w:rPr>
                <w:rFonts w:ascii="Arial" w:hAnsi="Arial"/>
                <w:sz w:val="22"/>
              </w:rPr>
              <w:t xml:space="preserve">para </w:t>
            </w:r>
            <w:r>
              <w:rPr>
                <w:rFonts w:ascii="Arial" w:hAnsi="Arial"/>
                <w:sz w:val="22"/>
              </w:rPr>
              <w:t xml:space="preserve"> la</w:t>
            </w:r>
            <w:proofErr w:type="gramEnd"/>
            <w:r>
              <w:rPr>
                <w:rFonts w:ascii="Arial" w:hAnsi="Arial"/>
                <w:sz w:val="22"/>
              </w:rPr>
              <w:t xml:space="preserve"> aprobación de la Asamblea General. El actual documento presenta este proyecto de plan</w:t>
            </w:r>
            <w:r w:rsidR="00CF0853">
              <w:rPr>
                <w:rFonts w:ascii="Arial" w:hAnsi="Arial"/>
                <w:sz w:val="22"/>
              </w:rPr>
              <w:t>,</w:t>
            </w:r>
            <w:r>
              <w:rPr>
                <w:rFonts w:ascii="Arial" w:hAnsi="Arial"/>
                <w:sz w:val="22"/>
              </w:rPr>
              <w:t xml:space="preserve"> </w:t>
            </w:r>
            <w:r w:rsidR="00CF0853">
              <w:rPr>
                <w:rFonts w:ascii="Arial" w:hAnsi="Arial"/>
                <w:sz w:val="22"/>
              </w:rPr>
              <w:t xml:space="preserve">como fue </w:t>
            </w:r>
            <w:r>
              <w:rPr>
                <w:rFonts w:ascii="Arial" w:hAnsi="Arial"/>
                <w:sz w:val="22"/>
              </w:rPr>
              <w:t xml:space="preserve">recomendado por el Comité para el periodo 2018-2019 y para el primer semestre de 2020 </w:t>
            </w:r>
            <w:r w:rsidRPr="000264F8">
              <w:rPr>
                <w:rFonts w:ascii="Arial" w:hAnsi="Arial"/>
                <w:sz w:val="22"/>
              </w:rPr>
              <w:t>(Anexo).</w:t>
            </w:r>
          </w:p>
          <w:p w:rsidR="0068554E" w:rsidRPr="000C3818" w:rsidRDefault="0068554E">
            <w:pPr>
              <w:pStyle w:val="Sansinterligne2"/>
              <w:spacing w:after="120"/>
              <w:jc w:val="both"/>
              <w:rPr>
                <w:rFonts w:ascii="Arial" w:hAnsi="Arial" w:cs="Arial"/>
                <w:b/>
                <w:sz w:val="22"/>
                <w:szCs w:val="22"/>
              </w:rPr>
            </w:pPr>
            <w:r w:rsidRPr="000264F8">
              <w:rPr>
                <w:rFonts w:ascii="Arial" w:hAnsi="Arial"/>
                <w:b/>
                <w:sz w:val="22"/>
              </w:rPr>
              <w:t xml:space="preserve">Se requiere una decisión: </w:t>
            </w:r>
            <w:r w:rsidRPr="000264F8">
              <w:rPr>
                <w:rFonts w:ascii="Arial" w:hAnsi="Arial"/>
                <w:sz w:val="22"/>
              </w:rPr>
              <w:t>párrafo 28</w:t>
            </w:r>
          </w:p>
        </w:tc>
      </w:tr>
    </w:tbl>
    <w:p w:rsidR="0068554E" w:rsidRPr="000C3818" w:rsidRDefault="0068554E" w:rsidP="0068554E">
      <w:pPr>
        <w:pStyle w:val="GAPara"/>
        <w:jc w:val="both"/>
      </w:pPr>
      <w:r>
        <w:br w:type="page"/>
      </w:r>
    </w:p>
    <w:p w:rsidR="0068554E" w:rsidRPr="009C30D7" w:rsidRDefault="0068554E" w:rsidP="0068554E">
      <w:pPr>
        <w:pStyle w:val="5GAparabodytext"/>
        <w:numPr>
          <w:ilvl w:val="0"/>
          <w:numId w:val="52"/>
        </w:numPr>
        <w:tabs>
          <w:tab w:val="clear" w:pos="567"/>
          <w:tab w:val="left" w:pos="709"/>
        </w:tabs>
        <w:spacing w:before="360"/>
        <w:ind w:left="567" w:hanging="567"/>
        <w:rPr>
          <w:b/>
          <w:bCs/>
        </w:rPr>
      </w:pPr>
      <w:r>
        <w:rPr>
          <w:b/>
          <w:snapToGrid/>
        </w:rPr>
        <w:lastRenderedPageBreak/>
        <w:t>Contexto</w:t>
      </w:r>
    </w:p>
    <w:p w:rsidR="0068554E" w:rsidRPr="000264F8" w:rsidRDefault="0068554E" w:rsidP="0068554E">
      <w:pPr>
        <w:pStyle w:val="5GAparabodytext"/>
        <w:tabs>
          <w:tab w:val="clear" w:pos="567"/>
          <w:tab w:val="left" w:pos="709"/>
        </w:tabs>
        <w:ind w:left="567" w:hanging="567"/>
      </w:pPr>
      <w:r>
        <w:rPr>
          <w:snapToGrid/>
        </w:rPr>
        <w:t xml:space="preserve">El Artículo 7(c) de la Convención establece que el Comité debe preparar un proyecto de plan </w:t>
      </w:r>
      <w:r w:rsidR="00CF0853">
        <w:rPr>
          <w:snapToGrid/>
        </w:rPr>
        <w:t>para la</w:t>
      </w:r>
      <w:r>
        <w:rPr>
          <w:snapToGrid/>
        </w:rPr>
        <w:t xml:space="preserve"> utilización de los recursos del Fondo del Patrimonio Cultural Inmaterial (en adelante, el "Fondo") y someterlo</w:t>
      </w:r>
      <w:r w:rsidR="00CF0853">
        <w:rPr>
          <w:snapToGrid/>
        </w:rPr>
        <w:t xml:space="preserve"> para</w:t>
      </w:r>
      <w:r>
        <w:rPr>
          <w:snapToGrid/>
        </w:rPr>
        <w:t xml:space="preserve"> la aprobación de la Asamblea General según lo establecido por el Artículo 25 de la Convención. Las directrices para la utilización de los recursos del Fondo se encuentran en el Capítulo II.1 de las Directrices Operativas para la aplicación de la Convención. El proyecto de plan (en adelante, el «Plan») presentado por el Comité en su </w:t>
      </w:r>
      <w:hyperlink r:id="rId8" w:history="1">
        <w:r>
          <w:rPr>
            <w:rStyle w:val="Hyperlink"/>
          </w:rPr>
          <w:t>Decisión 12.COM 7</w:t>
        </w:r>
      </w:hyperlink>
      <w:r>
        <w:rPr>
          <w:snapToGrid/>
        </w:rPr>
        <w:t xml:space="preserve">, anexo a este documento, fue preparado siguiendo estas directrices y se basó en la experiencia de la implementación del Plan </w:t>
      </w:r>
      <w:r w:rsidR="00CF0853">
        <w:rPr>
          <w:snapToGrid/>
        </w:rPr>
        <w:t>de anteriores bienios</w:t>
      </w:r>
      <w:r>
        <w:rPr>
          <w:snapToGrid/>
        </w:rPr>
        <w:t xml:space="preserve">. El informe financiero </w:t>
      </w:r>
      <w:r w:rsidR="00CF0853">
        <w:rPr>
          <w:snapToGrid/>
        </w:rPr>
        <w:t>d</w:t>
      </w:r>
      <w:r>
        <w:rPr>
          <w:snapToGrid/>
        </w:rPr>
        <w:t xml:space="preserve">el periodo comprendido entre el 1 de enero de 2016 y el 31 de diciembre de 2017 se encuentra disponible en el documento </w:t>
      </w:r>
      <w:hyperlink r:id="rId9" w:history="1">
        <w:r w:rsidRPr="000264F8">
          <w:rPr>
            <w:rStyle w:val="Hyperlink"/>
            <w:snapToGrid/>
          </w:rPr>
          <w:t>ITH/18/7.GA/INF.8</w:t>
        </w:r>
      </w:hyperlink>
      <w:r w:rsidRPr="000264F8">
        <w:rPr>
          <w:snapToGrid/>
        </w:rPr>
        <w:t>, junto con una nota explicativa.</w:t>
      </w:r>
    </w:p>
    <w:p w:rsidR="0068554E" w:rsidRPr="000C3818" w:rsidRDefault="0068554E" w:rsidP="0068554E">
      <w:pPr>
        <w:pStyle w:val="5GAparabodytext"/>
        <w:tabs>
          <w:tab w:val="clear" w:pos="567"/>
          <w:tab w:val="left" w:pos="709"/>
        </w:tabs>
        <w:ind w:left="567" w:hanging="567"/>
      </w:pPr>
      <w:r>
        <w:rPr>
          <w:snapToGrid/>
        </w:rPr>
        <w:t xml:space="preserve">De conformidad con el artículo 2 del Reglamento Financiero del Fondo, </w:t>
      </w:r>
      <w:r w:rsidR="00735252">
        <w:rPr>
          <w:snapToGrid/>
        </w:rPr>
        <w:t>“</w:t>
      </w:r>
      <w:r>
        <w:rPr>
          <w:snapToGrid/>
        </w:rPr>
        <w:t>el ejercicio financiero del Fondo corresponderá al de la UNESCO</w:t>
      </w:r>
      <w:r w:rsidR="00735252">
        <w:rPr>
          <w:snapToGrid/>
        </w:rPr>
        <w:t>”</w:t>
      </w:r>
      <w:r>
        <w:rPr>
          <w:snapToGrid/>
        </w:rPr>
        <w:t>. Ahora bien, la Asamblea General de los Estados Partes en la Convención</w:t>
      </w:r>
      <w:r w:rsidR="00735252">
        <w:rPr>
          <w:snapToGrid/>
        </w:rPr>
        <w:t xml:space="preserve"> se congrega en</w:t>
      </w:r>
      <w:r>
        <w:rPr>
          <w:snapToGrid/>
        </w:rPr>
        <w:t xml:space="preserve"> reuniones ordinarias los años pares, unos seis meses después del inicio del ejercicio financiero de la UNESCO. Por consiguiente, se solicita la aprobación del Plan para el ejercicio del 1 de enero de 2018 al 31 de diciembre de 2019 y, de manera provisional, para los primeros seis meses del siguiente ejercicio financiero, del 1 de enero de 2020 al 30 de junio de 2020. El presupuesto provisional para el primer semestre de 2018 adoptado en la sexta reunión de la Asamblea General (</w:t>
      </w:r>
      <w:hyperlink r:id="rId10" w:history="1">
        <w:r>
          <w:rPr>
            <w:rStyle w:val="Hyperlink"/>
          </w:rPr>
          <w:t>Resolución 6.GA 9</w:t>
        </w:r>
      </w:hyperlink>
      <w:r>
        <w:rPr>
          <w:snapToGrid/>
        </w:rPr>
        <w:t>) será suplantado por el presente Plan una vez que sea adoptado en la actual reunión de la Asamblea General.</w:t>
      </w:r>
    </w:p>
    <w:p w:rsidR="0068554E" w:rsidRPr="00BE0838" w:rsidRDefault="0068554E" w:rsidP="0068554E">
      <w:pPr>
        <w:pStyle w:val="5GAparabodytext"/>
        <w:ind w:left="567" w:hanging="567"/>
      </w:pPr>
      <w:r>
        <w:rPr>
          <w:snapToGrid/>
        </w:rPr>
        <w:t>El Plan presentado por el Comité se basa en el saldo de libre disposición del Fondo a</w:t>
      </w:r>
      <w:r w:rsidR="00BB4E73">
        <w:rPr>
          <w:snapToGrid/>
        </w:rPr>
        <w:t>l</w:t>
      </w:r>
      <w:r>
        <w:rPr>
          <w:snapToGrid/>
        </w:rPr>
        <w:t xml:space="preserve"> 31 de diciembre de </w:t>
      </w:r>
      <w:r w:rsidRPr="000264F8">
        <w:rPr>
          <w:snapToGrid/>
        </w:rPr>
        <w:t xml:space="preserve">2017 (8.590.922 </w:t>
      </w:r>
      <w:r w:rsidR="000F77FB" w:rsidRPr="000264F8">
        <w:rPr>
          <w:snapToGrid/>
        </w:rPr>
        <w:t>d</w:t>
      </w:r>
      <w:r w:rsidR="0049220E" w:rsidRPr="000264F8">
        <w:rPr>
          <w:snapToGrid/>
        </w:rPr>
        <w:t>ólares americanos</w:t>
      </w:r>
      <w:r w:rsidRPr="000264F8">
        <w:rPr>
          <w:snapToGrid/>
        </w:rPr>
        <w:t>).</w:t>
      </w:r>
      <w:r>
        <w:rPr>
          <w:snapToGrid/>
        </w:rPr>
        <w:t xml:space="preserve"> </w:t>
      </w:r>
      <w:r>
        <w:rPr>
          <w:rStyle w:val="hps"/>
        </w:rPr>
        <w:t>E</w:t>
      </w:r>
      <w:r>
        <w:rPr>
          <w:snapToGrid/>
        </w:rPr>
        <w:t>ste monto total excluye tres tipos de fondos de uso restringido: en primer lugar, el Fondo de Reserva que está destinado a la asistencia internacional de urgencia (véase Artículo 6 del Reglamento Financiero del Fondo); en segundo lugar</w:t>
      </w:r>
      <w:r w:rsidRPr="000423EE">
        <w:rPr>
          <w:snapToGrid/>
        </w:rPr>
        <w:t>, las contribuciones reservadas</w:t>
      </w:r>
      <w:r>
        <w:rPr>
          <w:snapToGrid/>
        </w:rPr>
        <w:t xml:space="preserve"> para fines específicos, ligadas a proyectos concretos (véase el Artículo 25.5 de la Convención); y en tercer lugar, los </w:t>
      </w:r>
      <w:proofErr w:type="spellStart"/>
      <w:r>
        <w:rPr>
          <w:snapToGrid/>
        </w:rPr>
        <w:t>subfondos</w:t>
      </w:r>
      <w:proofErr w:type="spellEnd"/>
      <w:r>
        <w:rPr>
          <w:snapToGrid/>
        </w:rPr>
        <w:t xml:space="preserve"> que se utilizan exclusivamente para reforzar las capacidades humanas de la Secretaría según establece la Resolución 3.GA 9.</w:t>
      </w:r>
    </w:p>
    <w:p w:rsidR="0068554E" w:rsidRPr="009C30D7" w:rsidRDefault="0068554E" w:rsidP="0068554E">
      <w:pPr>
        <w:pStyle w:val="5GAparabodytext"/>
        <w:ind w:left="567" w:hanging="567"/>
        <w:rPr>
          <w:bCs/>
        </w:rPr>
      </w:pPr>
      <w:r>
        <w:rPr>
          <w:snapToGrid/>
        </w:rPr>
        <w:t>Se propone que dichos fondos se asignen para cada partida en términos de los porcentajes de los recursos totales disponibles y no en cifras absolutas. Esto permitirá que el Comité utilice cualquier contribución importante voluntaria complementaria</w:t>
      </w:r>
      <w:r w:rsidR="007E2435">
        <w:rPr>
          <w:snapToGrid/>
        </w:rPr>
        <w:t xml:space="preserve"> </w:t>
      </w:r>
      <w:r>
        <w:rPr>
          <w:snapToGrid/>
        </w:rPr>
        <w:t>sin restricciones (tal como se describe en el Artículo 27) que se acrediten al Fondo durante el bienio. En caso de que un donante desee realizar una importante contribución complementaria, se propone que la Asamblea General autorice al Comité, como lo hizo durante sus reuniones previas, a utilizar inmediatamente dicha contribución a su recepción, de conformidad con los porcentajes establecidos en el Plan.</w:t>
      </w:r>
    </w:p>
    <w:p w:rsidR="0068554E" w:rsidRPr="0062665D" w:rsidRDefault="0068554E" w:rsidP="0068554E">
      <w:pPr>
        <w:pStyle w:val="5GAparabodytext"/>
        <w:ind w:left="567" w:hanging="567"/>
      </w:pPr>
      <w:r>
        <w:rPr>
          <w:snapToGrid/>
        </w:rPr>
        <w:t>Asimismo, se propone que, tal como</w:t>
      </w:r>
      <w:r w:rsidR="00EC154A">
        <w:rPr>
          <w:snapToGrid/>
        </w:rPr>
        <w:t xml:space="preserve"> se</w:t>
      </w:r>
      <w:r>
        <w:rPr>
          <w:snapToGrid/>
        </w:rPr>
        <w:t xml:space="preserve"> hizo en reuniones previas, la Asamblea General autorice</w:t>
      </w:r>
      <w:r w:rsidR="00EC154A">
        <w:rPr>
          <w:snapToGrid/>
        </w:rPr>
        <w:t xml:space="preserve"> otra vez</w:t>
      </w:r>
      <w:r>
        <w:rPr>
          <w:snapToGrid/>
        </w:rPr>
        <w:t xml:space="preserve"> al Comité a utilizar de manera inmediata las contribuciones</w:t>
      </w:r>
      <w:r w:rsidR="00EC154A">
        <w:rPr>
          <w:snapToGrid/>
        </w:rPr>
        <w:t xml:space="preserve"> vinculadas</w:t>
      </w:r>
      <w:r>
        <w:rPr>
          <w:snapToGrid/>
        </w:rPr>
        <w:t xml:space="preserve"> a proyectos concretos (</w:t>
      </w:r>
      <w:r w:rsidRPr="002B0BEB">
        <w:rPr>
          <w:snapToGrid/>
        </w:rPr>
        <w:t>contribuciones asignadas</w:t>
      </w:r>
      <w:r>
        <w:rPr>
          <w:snapToGrid/>
        </w:rPr>
        <w:t xml:space="preserve">), siempre y cuando estos proyectos hayan sido aprobados por el Comité antes de la recepción de los fondos. </w:t>
      </w:r>
      <w:r w:rsidR="009A60D4">
        <w:rPr>
          <w:snapToGrid/>
        </w:rPr>
        <w:t>Siguiendo esta misma</w:t>
      </w:r>
      <w:r w:rsidR="00EC154A">
        <w:rPr>
          <w:snapToGrid/>
        </w:rPr>
        <w:t xml:space="preserve"> línea de eficiencia</w:t>
      </w:r>
      <w:r>
        <w:rPr>
          <w:snapToGrid/>
        </w:rPr>
        <w:t>, el Comité tomó una decisión parecida en su duodécima reunión en relación a las dos nuevas prioridades financieras que aprobó para el ejercicio 2018-2021 (</w:t>
      </w:r>
      <w:hyperlink r:id="rId11" w:history="1">
        <w:r>
          <w:rPr>
            <w:rStyle w:val="Hyperlink"/>
          </w:rPr>
          <w:t>Decisión 12.COM 6</w:t>
        </w:r>
      </w:hyperlink>
      <w:r>
        <w:rPr>
          <w:snapToGrid/>
        </w:rPr>
        <w:t>). Estas se denominaron "Fortalecimiento de las capacidades para la salvaguardia del patrimonio cultural inmaterial y la contribución al desarrollo sostenible" y "La salvaguardia del patrimonio cultural inmaterial en la enseñanza formal y no formal".</w:t>
      </w:r>
      <w:r w:rsidR="00486105">
        <w:rPr>
          <w:snapToGrid/>
        </w:rPr>
        <w:t xml:space="preserve"> Aprobando</w:t>
      </w:r>
      <w:r>
        <w:rPr>
          <w:snapToGrid/>
        </w:rPr>
        <w:t xml:space="preserve"> estas prioridades financieras, el Comité autorizó a la Secretaría a utilizar de manera inmediata cualquier contribución voluntaria complementaria que se realice </w:t>
      </w:r>
      <w:r>
        <w:rPr>
          <w:rStyle w:val="hps"/>
        </w:rPr>
        <w:t>entre</w:t>
      </w:r>
      <w:r>
        <w:rPr>
          <w:snapToGrid/>
        </w:rPr>
        <w:t xml:space="preserve"> </w:t>
      </w:r>
      <w:r>
        <w:rPr>
          <w:rStyle w:val="hps"/>
        </w:rPr>
        <w:t>dos reuniones del Comité</w:t>
      </w:r>
      <w:r>
        <w:rPr>
          <w:snapToGrid/>
        </w:rPr>
        <w:t xml:space="preserve"> con el fin de apoyar las actividades dentro del alcance de estas dos prioridades.</w:t>
      </w:r>
    </w:p>
    <w:p w:rsidR="0068554E" w:rsidRDefault="0068554E" w:rsidP="0068554E">
      <w:pPr>
        <w:pStyle w:val="5GAparabodytext"/>
        <w:ind w:left="567" w:hanging="567"/>
      </w:pPr>
      <w:r>
        <w:rPr>
          <w:snapToGrid/>
        </w:rPr>
        <w:t>Asimismo, el Comité solicitó a la Secretaría que informara acerca del progreso de la</w:t>
      </w:r>
      <w:r w:rsidR="00C21A95">
        <w:rPr>
          <w:snapToGrid/>
        </w:rPr>
        <w:t xml:space="preserve"> implementación</w:t>
      </w:r>
      <w:r>
        <w:rPr>
          <w:snapToGrid/>
        </w:rPr>
        <w:t xml:space="preserve"> de cualquier contribución voluntaria complementaria que hubiera recibido desde la última reunión. La lista de estos </w:t>
      </w:r>
      <w:r w:rsidR="00F977B1">
        <w:rPr>
          <w:snapToGrid/>
        </w:rPr>
        <w:t>donantes,</w:t>
      </w:r>
      <w:r>
        <w:rPr>
          <w:snapToGrid/>
        </w:rPr>
        <w:t xml:space="preserve"> así como las cantidades de sus contribuciones se pueden encontrar en el documento informativo </w:t>
      </w:r>
      <w:hyperlink r:id="rId12" w:history="1">
        <w:r w:rsidRPr="000264F8">
          <w:rPr>
            <w:rStyle w:val="Hyperlink"/>
            <w:snapToGrid/>
          </w:rPr>
          <w:t>ITH/18/7.GA/INF.8</w:t>
        </w:r>
      </w:hyperlink>
      <w:r>
        <w:rPr>
          <w:snapToGrid/>
        </w:rPr>
        <w:t xml:space="preserve">. El </w:t>
      </w:r>
      <w:r>
        <w:rPr>
          <w:snapToGrid/>
        </w:rPr>
        <w:lastRenderedPageBreak/>
        <w:t>documento proporciona una lista de las contribuciones voluntarias complementarias recibidas en el período del 1 de enero de 2016 al 31 de diciembre de 2017. De conformidad con el párrafo 77 de las Directrices Operativas, se publicará una lista actualizada de los donantes, por orden alfabético, disponible</w:t>
      </w:r>
      <w:r w:rsidR="00C21A95">
        <w:rPr>
          <w:snapToGrid/>
        </w:rPr>
        <w:t xml:space="preserve"> también</w:t>
      </w:r>
      <w:r>
        <w:rPr>
          <w:snapToGrid/>
        </w:rPr>
        <w:t xml:space="preserve"> en el sitio web de la Convención.</w:t>
      </w:r>
      <w:r>
        <w:rPr>
          <w:rStyle w:val="FootnoteReference"/>
          <w:snapToGrid/>
        </w:rPr>
        <w:footnoteReference w:id="1"/>
      </w:r>
    </w:p>
    <w:p w:rsidR="0068554E" w:rsidRPr="009C30D7" w:rsidRDefault="0068554E" w:rsidP="0068554E">
      <w:pPr>
        <w:pStyle w:val="Default"/>
        <w:keepNext/>
        <w:numPr>
          <w:ilvl w:val="0"/>
          <w:numId w:val="52"/>
        </w:numPr>
        <w:spacing w:before="360" w:after="120"/>
        <w:ind w:left="567" w:hanging="567"/>
        <w:jc w:val="both"/>
        <w:rPr>
          <w:b/>
          <w:bCs/>
        </w:rPr>
      </w:pPr>
      <w:r>
        <w:rPr>
          <w:b/>
          <w:sz w:val="22"/>
        </w:rPr>
        <w:t>Tendencias</w:t>
      </w:r>
    </w:p>
    <w:p w:rsidR="0068554E" w:rsidRPr="007862DF" w:rsidRDefault="0068554E" w:rsidP="0068554E">
      <w:pPr>
        <w:pStyle w:val="5GAparabodytext"/>
        <w:ind w:left="567" w:hanging="567"/>
      </w:pPr>
      <w:r>
        <w:rPr>
          <w:snapToGrid/>
        </w:rPr>
        <w:t xml:space="preserve">Por primera vez, cuando se debatía el Plan para ser presentado a la Asamblea General en su duodécima reunión, el Comité consideró las tendencias en relación al uso del Fondo desde 2010. En particular, el Comité observó que los ingresos del Fondo han superado con creces </w:t>
      </w:r>
      <w:r w:rsidR="007C7810">
        <w:rPr>
          <w:snapToGrid/>
        </w:rPr>
        <w:t>los</w:t>
      </w:r>
      <w:r>
        <w:rPr>
          <w:snapToGrid/>
        </w:rPr>
        <w:t xml:space="preserve"> gasto</w:t>
      </w:r>
      <w:r w:rsidR="007C7810">
        <w:rPr>
          <w:snapToGrid/>
        </w:rPr>
        <w:t>s</w:t>
      </w:r>
      <w:r>
        <w:rPr>
          <w:snapToGrid/>
        </w:rPr>
        <w:t xml:space="preserve"> en cada bienio y que el balance de fondos sin restricciones y</w:t>
      </w:r>
      <w:r w:rsidR="007C7810">
        <w:rPr>
          <w:snapToGrid/>
        </w:rPr>
        <w:t xml:space="preserve"> no utilizados</w:t>
      </w:r>
      <w:r>
        <w:rPr>
          <w:snapToGrid/>
        </w:rPr>
        <w:t xml:space="preserve"> ha aumentado de manera constante. Esta situación se puede explicar en gran medida por la escasa utilización que han hecho los Estados Partes de los mecanismos de Asistencia Internacional. Durante el 38 C/5, </w:t>
      </w:r>
      <w:r w:rsidR="007C7810">
        <w:rPr>
          <w:snapToGrid/>
        </w:rPr>
        <w:t>si</w:t>
      </w:r>
      <w:r w:rsidR="000423EE">
        <w:rPr>
          <w:snapToGrid/>
        </w:rPr>
        <w:t xml:space="preserve"> se</w:t>
      </w:r>
      <w:r w:rsidR="007C7810">
        <w:rPr>
          <w:snapToGrid/>
        </w:rPr>
        <w:t xml:space="preserve"> tiene </w:t>
      </w:r>
      <w:r>
        <w:rPr>
          <w:snapToGrid/>
        </w:rPr>
        <w:t>en cuenta el presupuesto correspondiente a las contribuciones asignadas que se deben realizar cada bienio, el índice de gastos</w:t>
      </w:r>
      <w:r w:rsidR="0057339C">
        <w:rPr>
          <w:snapToGrid/>
        </w:rPr>
        <w:t xml:space="preserve"> alcanzó</w:t>
      </w:r>
      <w:r>
        <w:rPr>
          <w:snapToGrid/>
        </w:rPr>
        <w:t xml:space="preserve"> el </w:t>
      </w:r>
      <w:r w:rsidR="0049220E">
        <w:rPr>
          <w:snapToGrid/>
        </w:rPr>
        <w:t>53</w:t>
      </w:r>
      <w:r>
        <w:rPr>
          <w:snapToGrid/>
        </w:rPr>
        <w:t xml:space="preserve"> % en comparación al 21 % en el 37 C/5. Este resultado positivo</w:t>
      </w:r>
      <w:r w:rsidR="0057339C">
        <w:rPr>
          <w:snapToGrid/>
        </w:rPr>
        <w:t xml:space="preserve"> se debe</w:t>
      </w:r>
      <w:r>
        <w:rPr>
          <w:snapToGrid/>
        </w:rPr>
        <w:t xml:space="preserve"> principalmente gracias a: 1) la decisión que se tomó en la sexta reunión de la Asamblea General de aumentar el límite de las solicitudes de Asistencia Internacional que se pueden presentar a la Mesa de 25.000</w:t>
      </w:r>
      <w:r w:rsidR="00780D6F">
        <w:rPr>
          <w:snapToGrid/>
        </w:rPr>
        <w:t xml:space="preserve"> dólares americanos</w:t>
      </w:r>
      <w:r>
        <w:rPr>
          <w:snapToGrid/>
        </w:rPr>
        <w:t xml:space="preserve">  a 100.000</w:t>
      </w:r>
      <w:r w:rsidR="00780D6F">
        <w:rPr>
          <w:snapToGrid/>
        </w:rPr>
        <w:t xml:space="preserve"> dólares americanos</w:t>
      </w:r>
      <w:r>
        <w:rPr>
          <w:snapToGrid/>
        </w:rPr>
        <w:t xml:space="preserve">  (</w:t>
      </w:r>
      <w:hyperlink r:id="rId13" w:history="1">
        <w:r>
          <w:rPr>
            <w:rStyle w:val="Hyperlink"/>
          </w:rPr>
          <w:t>Resolución 6.GA 7</w:t>
        </w:r>
      </w:hyperlink>
      <w:r>
        <w:rPr>
          <w:snapToGrid/>
        </w:rPr>
        <w:t>); y 2) el aumento de 40 % (en comparación con bienios anteriores) de los casos examinados por la Mesa para solicitudes de Asistencia Internacional menores a 100.000</w:t>
      </w:r>
      <w:r w:rsidR="00780D6F">
        <w:rPr>
          <w:snapToGrid/>
        </w:rPr>
        <w:t xml:space="preserve"> dólares americanos</w:t>
      </w:r>
      <w:r w:rsidR="000423EE">
        <w:rPr>
          <w:snapToGrid/>
        </w:rPr>
        <w:t xml:space="preserve"> </w:t>
      </w:r>
      <w:r>
        <w:rPr>
          <w:snapToGrid/>
        </w:rPr>
        <w:t xml:space="preserve"> (o menores a 25.000 </w:t>
      </w:r>
      <w:r w:rsidR="0049220E">
        <w:rPr>
          <w:snapToGrid/>
        </w:rPr>
        <w:t>dólares americanos</w:t>
      </w:r>
      <w:r>
        <w:rPr>
          <w:snapToGrid/>
        </w:rPr>
        <w:t xml:space="preserve"> antes de junio de 201</w:t>
      </w:r>
      <w:r w:rsidR="00EC1B4D">
        <w:rPr>
          <w:snapToGrid/>
        </w:rPr>
        <w:t>6</w:t>
      </w:r>
      <w:r>
        <w:rPr>
          <w:snapToGrid/>
        </w:rPr>
        <w:t>). A pesar de estos esfuerzos, el índice total de gastos en estas dos partidas presupuestarias sigue siendo proporcionalmente bajo (</w:t>
      </w:r>
      <w:r w:rsidR="0057339C">
        <w:rPr>
          <w:snapToGrid/>
        </w:rPr>
        <w:t xml:space="preserve">de </w:t>
      </w:r>
      <w:r w:rsidR="0049220E">
        <w:rPr>
          <w:snapToGrid/>
        </w:rPr>
        <w:t>26</w:t>
      </w:r>
      <w:r>
        <w:rPr>
          <w:snapToGrid/>
        </w:rPr>
        <w:t xml:space="preserve"> %)</w:t>
      </w:r>
      <w:r w:rsidR="0057339C">
        <w:rPr>
          <w:snapToGrid/>
        </w:rPr>
        <w:t>,</w:t>
      </w:r>
      <w:r>
        <w:rPr>
          <w:snapToGrid/>
        </w:rPr>
        <w:t xml:space="preserve"> tal como se muestra en la Figura 1. Esto se debe al aumento continuo del presupuesto total aprobado en cada bienio. Si esta tendencia continúa, el presupuesto continuará aumentando en futuros ciclos y cada vez será más difícil adecuar los gastos a un nivel que esté en armonía con las contribuciones asignadas al Fondo.</w:t>
      </w:r>
    </w:p>
    <w:p w:rsidR="0068554E" w:rsidRPr="00523273" w:rsidRDefault="0001471B" w:rsidP="0068554E">
      <w:pPr>
        <w:pStyle w:val="5GAparabodytext"/>
        <w:numPr>
          <w:ilvl w:val="0"/>
          <w:numId w:val="0"/>
        </w:numPr>
        <w:ind w:left="567"/>
      </w:pPr>
      <w:r>
        <w:rPr>
          <w:noProof/>
          <w:lang w:val="en-US" w:eastAsia="ko-KR"/>
        </w:rPr>
        <w:drawing>
          <wp:inline distT="0" distB="0" distL="0" distR="0" wp14:anchorId="579BE8C3" wp14:editId="7BD9CF0B">
            <wp:extent cx="5810250" cy="3594100"/>
            <wp:effectExtent l="0" t="0" r="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554E" w:rsidRDefault="009A42D4" w:rsidP="0068554E">
      <w:pPr>
        <w:pStyle w:val="5GAparabodytext"/>
        <w:numPr>
          <w:ilvl w:val="0"/>
          <w:numId w:val="0"/>
        </w:numPr>
        <w:ind w:left="567"/>
        <w:rPr>
          <w:highlight w:val="yellow"/>
        </w:rPr>
      </w:pPr>
      <w:r>
        <w:rPr>
          <w:noProof/>
          <w:lang w:val="en-US" w:eastAsia="ko-KR"/>
        </w:rPr>
        <mc:AlternateContent>
          <mc:Choice Requires="wps">
            <w:drawing>
              <wp:inline distT="0" distB="0" distL="0" distR="0" wp14:anchorId="0D9021CE" wp14:editId="6D6D917B">
                <wp:extent cx="5019675" cy="208280"/>
                <wp:effectExtent l="0" t="0" r="9525" b="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08280"/>
                        </a:xfrm>
                        <a:prstGeom prst="rect">
                          <a:avLst/>
                        </a:prstGeom>
                        <a:solidFill>
                          <a:srgbClr val="FFFFFF"/>
                        </a:solidFill>
                        <a:ln w="9525">
                          <a:noFill/>
                          <a:miter lim="800000"/>
                          <a:headEnd/>
                          <a:tailEnd/>
                        </a:ln>
                      </wps:spPr>
                      <wps:txbx>
                        <w:txbxContent>
                          <w:p w:rsidR="00DA39C3" w:rsidRPr="000B21E2" w:rsidRDefault="00DA39C3" w:rsidP="0068554E">
                            <w:pPr>
                              <w:ind w:right="201"/>
                              <w:rPr>
                                <w:rFonts w:ascii="Arial" w:hAnsi="Arial" w:cs="Arial"/>
                                <w:sz w:val="16"/>
                                <w:szCs w:val="16"/>
                              </w:rPr>
                            </w:pPr>
                            <w:r>
                              <w:rPr>
                                <w:rFonts w:ascii="Arial" w:hAnsi="Arial"/>
                                <w:b/>
                                <w:sz w:val="16"/>
                              </w:rPr>
                              <w:t xml:space="preserve">Figura 1: </w:t>
                            </w:r>
                            <w:r w:rsidR="007D4FA8">
                              <w:rPr>
                                <w:rFonts w:ascii="Arial" w:hAnsi="Arial"/>
                                <w:sz w:val="16"/>
                              </w:rPr>
                              <w:t>Tasa de implementación:</w:t>
                            </w:r>
                            <w:r>
                              <w:rPr>
                                <w:rFonts w:ascii="Arial" w:hAnsi="Arial"/>
                                <w:sz w:val="16"/>
                              </w:rPr>
                              <w:t xml:space="preserve"> Asistencia internacional y preparatoria</w:t>
                            </w:r>
                          </w:p>
                        </w:txbxContent>
                      </wps:txbx>
                      <wps:bodyPr rot="0" vert="horz" wrap="square" lIns="91440" tIns="45720" rIns="91440" bIns="45720" anchor="t" anchorCtr="0">
                        <a:spAutoFit/>
                      </wps:bodyPr>
                    </wps:wsp>
                  </a:graphicData>
                </a:graphic>
              </wp:inline>
            </w:drawing>
          </mc:Choice>
          <mc:Fallback>
            <w:pict>
              <v:shapetype w14:anchorId="0D9021CE" id="_x0000_t202" coordsize="21600,21600" o:spt="202" path="m,l,21600r21600,l21600,xe">
                <v:stroke joinstyle="miter"/>
                <v:path gradientshapeok="t" o:connecttype="rect"/>
              </v:shapetype>
              <v:shape id="Zone de texte 2" o:spid="_x0000_s1026" type="#_x0000_t202" style="width:395.25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QtIwIAACAEAAAOAAAAZHJzL2Uyb0RvYy54bWysU02P2yAQvVfqf0DcGztWsptYcVbbbFNV&#10;2n5I2156I4BjVGAokNjbX78Dzmaj7a2qD4jxDI83bx6rm8FocpQ+KLANnU5KSqTlIJTdN/TH9+27&#10;BSUhMiuYBisb+igDvVm/fbPqXS0r6EAL6QmC2FD3rqFdjK4uisA7aViYgJMWky14wyKGfl8Iz3pE&#10;N7qoyvKq6MEL54HLEPDv3Zik64zftpLHr20bZCS6ocgt5tXndZfWYr1i9d4z1yl+osH+gYVhyuKl&#10;Z6g7Fhk5ePUXlFHcQ4A2TjiYAtpWcZl7wG6m5atuHjrmZO4FxQnuLFP4f7D8y/GbJ0o0dE6JZQZH&#10;9BMHRYQkUQ5RkipJ1LtQY+WDw9o4vIcBR53bDe4e+K9ALGw6Zvfy1nvoO8kEUpymk8XF0REnJJBd&#10;/xkE3sUOETLQ0HqT9ENFCKLjqB7P40EehOPPeTldXl0jT465qlxUizy/gtXPp50P8aMEQ9KmoR7H&#10;n9HZ8T7ExIbVzyXpsgBaia3SOgd+v9toT44MrbLNX27gVZm2pG/ocl7NM7KFdD67yKiIVtbKNHRR&#10;pm80V1LjgxW5JDKlxz0y0fYkT1Jk1CYOuwELk2Y7EI8olIfRsvjEcNOB/0NJj3ZtaPh9YF5Soj9Z&#10;FHs5nc2Sv3Mwm19XGPjLzO4ywyxHqIZGSsbtJuY3kXVwtziUrcp6vTA5cUUbZhlPTyb5/DLOVS8P&#10;e/0EAAD//wMAUEsDBBQABgAIAAAAIQB7MZdo2wAAAAQBAAAPAAAAZHJzL2Rvd25yZXYueG1sTI/B&#10;TsMwEETvSPyDtUjcqNOilhLiVAiJC+qBFg4ct/ESh8TrEDtt+HsWLnAZaTWrmTfFZvKdOtIQm8AG&#10;5rMMFHEVbMO1gdeXx6s1qJiQLXaBycAXRdiU52cF5jaceEfHfaqVhHDM0YBLqc+1jpUjj3EWemLx&#10;3sPgMck51NoOeJJw3+lFlq20x4alwWFPD46qdj96KdnGatyFz4/5ttVvrl3h8tk9GXN5Md3fgUo0&#10;pb9n+MEXdCiF6RBGtlF1BmRI+lXxbm6zJaiDgevFGnRZ6P/w5TcAAAD//wMAUEsBAi0AFAAGAAgA&#10;AAAhALaDOJL+AAAA4QEAABMAAAAAAAAAAAAAAAAAAAAAAFtDb250ZW50X1R5cGVzXS54bWxQSwEC&#10;LQAUAAYACAAAACEAOP0h/9YAAACUAQAACwAAAAAAAAAAAAAAAAAvAQAAX3JlbHMvLnJlbHNQSwEC&#10;LQAUAAYACAAAACEAOtW0LSMCAAAgBAAADgAAAAAAAAAAAAAAAAAuAgAAZHJzL2Uyb0RvYy54bWxQ&#10;SwECLQAUAAYACAAAACEAezGXaNsAAAAEAQAADwAAAAAAAAAAAAAAAAB9BAAAZHJzL2Rvd25yZXYu&#10;eG1sUEsFBgAAAAAEAAQA8wAAAIUFAAAAAA==&#10;" stroked="f">
                <v:textbox style="mso-fit-shape-to-text:t">
                  <w:txbxContent>
                    <w:p w:rsidR="00DA39C3" w:rsidRPr="000B21E2" w:rsidRDefault="00DA39C3" w:rsidP="0068554E">
                      <w:pPr>
                        <w:ind w:right="201"/>
                        <w:rPr>
                          <w:rFonts w:ascii="Arial" w:hAnsi="Arial" w:cs="Arial"/>
                          <w:sz w:val="16"/>
                          <w:szCs w:val="16"/>
                        </w:rPr>
                      </w:pPr>
                      <w:r>
                        <w:rPr>
                          <w:rFonts w:ascii="Arial" w:hAnsi="Arial"/>
                          <w:b/>
                          <w:sz w:val="16"/>
                        </w:rPr>
                        <w:t xml:space="preserve">Figura 1: </w:t>
                      </w:r>
                      <w:r w:rsidR="007D4FA8">
                        <w:rPr>
                          <w:rFonts w:ascii="Arial" w:hAnsi="Arial"/>
                          <w:sz w:val="16"/>
                        </w:rPr>
                        <w:t>Tasa de implementación:</w:t>
                      </w:r>
                      <w:r>
                        <w:rPr>
                          <w:rFonts w:ascii="Arial" w:hAnsi="Arial"/>
                          <w:sz w:val="16"/>
                        </w:rPr>
                        <w:t xml:space="preserve"> Asistencia internacional y preparatoria</w:t>
                      </w:r>
                    </w:p>
                  </w:txbxContent>
                </v:textbox>
                <w10:anchorlock/>
              </v:shape>
            </w:pict>
          </mc:Fallback>
        </mc:AlternateContent>
      </w:r>
    </w:p>
    <w:p w:rsidR="0068554E" w:rsidRDefault="0068554E" w:rsidP="0068554E">
      <w:pPr>
        <w:pStyle w:val="5GAparabodytext"/>
        <w:ind w:left="567" w:hanging="567"/>
      </w:pPr>
      <w:r>
        <w:rPr>
          <w:snapToGrid/>
        </w:rPr>
        <w:t>No se ha explorado el potencial completo de este mecanismo como me</w:t>
      </w:r>
      <w:r w:rsidR="0074146B">
        <w:rPr>
          <w:snapToGrid/>
        </w:rPr>
        <w:t>dio</w:t>
      </w:r>
      <w:r>
        <w:rPr>
          <w:snapToGrid/>
        </w:rPr>
        <w:t xml:space="preserve"> para salvaguardar el patrimonio vivo. En este sentido, se lamenta la infrautilización de estos fondos de</w:t>
      </w:r>
      <w:r w:rsidR="0074146B">
        <w:rPr>
          <w:snapToGrid/>
        </w:rPr>
        <w:t>stinados</w:t>
      </w:r>
      <w:r>
        <w:rPr>
          <w:snapToGrid/>
        </w:rPr>
        <w:t xml:space="preserve"> </w:t>
      </w:r>
      <w:r>
        <w:rPr>
          <w:snapToGrid/>
        </w:rPr>
        <w:lastRenderedPageBreak/>
        <w:t xml:space="preserve">a la Asistencia </w:t>
      </w:r>
      <w:proofErr w:type="gramStart"/>
      <w:r>
        <w:rPr>
          <w:snapToGrid/>
        </w:rPr>
        <w:t>Internacional</w:t>
      </w:r>
      <w:proofErr w:type="gramEnd"/>
      <w:r>
        <w:rPr>
          <w:snapToGrid/>
        </w:rPr>
        <w:t xml:space="preserve"> así como el inadecuado mecanismo de seguimiento</w:t>
      </w:r>
      <w:r w:rsidR="0049220E">
        <w:rPr>
          <w:snapToGrid/>
        </w:rPr>
        <w:t>,</w:t>
      </w:r>
      <w:r>
        <w:rPr>
          <w:snapToGrid/>
        </w:rPr>
        <w:t xml:space="preserve"> en un momento en el que están disminuyendo otras fuentes financiera de apoyo a la Convención y, en particular,</w:t>
      </w:r>
      <w:r w:rsidR="00362A5F">
        <w:rPr>
          <w:snapToGrid/>
        </w:rPr>
        <w:t xml:space="preserve"> para</w:t>
      </w:r>
      <w:r>
        <w:rPr>
          <w:snapToGrid/>
        </w:rPr>
        <w:t xml:space="preserve"> su aplicación a nivel nacional y local, mientras que Estados en vías de desarrollo siguen expresando </w:t>
      </w:r>
      <w:r w:rsidR="0049220E">
        <w:rPr>
          <w:snapToGrid/>
        </w:rPr>
        <w:t>la</w:t>
      </w:r>
      <w:r>
        <w:rPr>
          <w:snapToGrid/>
        </w:rPr>
        <w:t xml:space="preserve"> necesidad de recibir recursos y apoyo para salvaguardar su patrimonio cultural inmaterial.</w:t>
      </w:r>
    </w:p>
    <w:p w:rsidR="0068554E" w:rsidRDefault="0068554E" w:rsidP="0068554E">
      <w:pPr>
        <w:pStyle w:val="Default"/>
        <w:keepNext/>
        <w:numPr>
          <w:ilvl w:val="0"/>
          <w:numId w:val="52"/>
        </w:numPr>
        <w:spacing w:before="360" w:after="120"/>
        <w:ind w:left="567" w:hanging="567"/>
        <w:jc w:val="both"/>
        <w:rPr>
          <w:b/>
          <w:bCs/>
          <w:sz w:val="22"/>
          <w:szCs w:val="22"/>
        </w:rPr>
      </w:pPr>
      <w:r>
        <w:rPr>
          <w:b/>
          <w:sz w:val="22"/>
        </w:rPr>
        <w:t>Partidas presupuestarias y asignaciones propuestas para el 39 C/5</w:t>
      </w:r>
    </w:p>
    <w:p w:rsidR="0068554E" w:rsidRPr="005F1C05" w:rsidRDefault="0068554E" w:rsidP="0068554E">
      <w:pPr>
        <w:pStyle w:val="5GAparabodytext"/>
        <w:ind w:left="567" w:hanging="567"/>
      </w:pPr>
      <w:r>
        <w:rPr>
          <w:snapToGrid/>
        </w:rPr>
        <w:t xml:space="preserve">La propuesta para la asignación de fondos para el 39 C/5 (2018-2019) sigue la estructura basada en las partidas presupuestarias que se ha utilizado para todos los ejercicios equivalentes del pasado. Estas partidas presupuestarias se pueden dividir en cuatro categorías, los gastos relacionados con: a) la Asistencia Internacional; b) "otras funciones" del Comité en el sentido del Artículo 7 de la Convención; c) la participación en reuniones de los órganos rectores y asistencia al Comité; y d) el Fondo de </w:t>
      </w:r>
      <w:r w:rsidR="008145E4">
        <w:rPr>
          <w:snapToGrid/>
        </w:rPr>
        <w:t>r</w:t>
      </w:r>
      <w:r>
        <w:rPr>
          <w:snapToGrid/>
        </w:rPr>
        <w:t>eserva. El porcentaje de asignación expresado para cada partida presupuestaria propuesto en esta ocasión también sigue en gran medida la misma proporcionalidad del pasado bienio, con pequeñas variaciones, tal como se describe a continuación.</w:t>
      </w:r>
    </w:p>
    <w:p w:rsidR="0068554E" w:rsidRPr="007D6EA3" w:rsidRDefault="0068554E" w:rsidP="0068554E">
      <w:pPr>
        <w:pStyle w:val="Default"/>
        <w:keepNext/>
        <w:spacing w:before="240" w:after="120"/>
        <w:jc w:val="both"/>
      </w:pPr>
      <w:r>
        <w:rPr>
          <w:b/>
          <w:sz w:val="22"/>
        </w:rPr>
        <w:t>Asistencia internacional</w:t>
      </w:r>
    </w:p>
    <w:p w:rsidR="0068554E" w:rsidRPr="00BF3230" w:rsidRDefault="009A60D4" w:rsidP="0068554E">
      <w:pPr>
        <w:pStyle w:val="5GAparabodytext"/>
        <w:ind w:left="567" w:hanging="567"/>
      </w:pPr>
      <w:r>
        <w:rPr>
          <w:snapToGrid/>
        </w:rPr>
        <w:t>Conscientes</w:t>
      </w:r>
      <w:r w:rsidR="007D3C4C">
        <w:rPr>
          <w:snapToGrid/>
        </w:rPr>
        <w:t xml:space="preserve"> de que la infrautilización del mecanismo de Asistencia Internacional es un gran desafío para la Convención, e</w:t>
      </w:r>
      <w:r w:rsidR="0068554E">
        <w:rPr>
          <w:snapToGrid/>
        </w:rPr>
        <w:t xml:space="preserve">l Comité en su duodécima reunión deliberó sobre posibles formas para apoyar a los Estados </w:t>
      </w:r>
      <w:r w:rsidR="007D3C4C">
        <w:rPr>
          <w:snapToGrid/>
        </w:rPr>
        <w:t xml:space="preserve">para que </w:t>
      </w:r>
      <w:r w:rsidR="0068554E">
        <w:rPr>
          <w:snapToGrid/>
        </w:rPr>
        <w:t>aprovechen mejor los recursos del Fondo. El debate se centró, en particular, en la posibilidad de</w:t>
      </w:r>
      <w:r w:rsidR="007D3C4C">
        <w:rPr>
          <w:snapToGrid/>
        </w:rPr>
        <w:t xml:space="preserve"> reforzar</w:t>
      </w:r>
      <w:r w:rsidR="0068554E">
        <w:rPr>
          <w:snapToGrid/>
        </w:rPr>
        <w:t xml:space="preserve"> los recursos humanos de la Secretaría a través de la creación de un equipo especializado</w:t>
      </w:r>
      <w:r w:rsidR="007D3C4C">
        <w:rPr>
          <w:snapToGrid/>
        </w:rPr>
        <w:t xml:space="preserve"> que se encargue</w:t>
      </w:r>
      <w:r w:rsidR="0068554E">
        <w:rPr>
          <w:snapToGrid/>
        </w:rPr>
        <w:t xml:space="preserve"> </w:t>
      </w:r>
      <w:r w:rsidR="007D3C4C">
        <w:rPr>
          <w:snapToGrid/>
        </w:rPr>
        <w:t xml:space="preserve">de </w:t>
      </w:r>
      <w:r w:rsidR="0068554E">
        <w:rPr>
          <w:snapToGrid/>
        </w:rPr>
        <w:t>poner en práctica e</w:t>
      </w:r>
      <w:r w:rsidR="007D3C4C">
        <w:rPr>
          <w:snapToGrid/>
        </w:rPr>
        <w:t>ste</w:t>
      </w:r>
      <w:r w:rsidR="0068554E">
        <w:rPr>
          <w:snapToGrid/>
        </w:rPr>
        <w:t xml:space="preserve"> mecanismo,</w:t>
      </w:r>
      <w:r w:rsidR="007D3C4C">
        <w:rPr>
          <w:snapToGrid/>
        </w:rPr>
        <w:t xml:space="preserve"> y sobre todo pueda encargarse de su</w:t>
      </w:r>
      <w:r w:rsidR="0068554E">
        <w:rPr>
          <w:snapToGrid/>
        </w:rPr>
        <w:t xml:space="preserve"> seguimiento efectivo.</w:t>
      </w:r>
    </w:p>
    <w:p w:rsidR="0068554E" w:rsidRPr="00C24505" w:rsidRDefault="0068554E" w:rsidP="00374EDF">
      <w:pPr>
        <w:pStyle w:val="5GAparabodytext"/>
        <w:ind w:left="567" w:hanging="567"/>
      </w:pPr>
      <w:r>
        <w:rPr>
          <w:snapToGrid/>
        </w:rPr>
        <w:t>En la actualidad</w:t>
      </w:r>
      <w:r w:rsidR="007D3C4C">
        <w:rPr>
          <w:snapToGrid/>
        </w:rPr>
        <w:t xml:space="preserve">, </w:t>
      </w:r>
      <w:r>
        <w:rPr>
          <w:snapToGrid/>
        </w:rPr>
        <w:t xml:space="preserve">hay ocho profesionales y cuatro </w:t>
      </w:r>
      <w:r w:rsidR="00FD3628">
        <w:rPr>
          <w:snapToGrid/>
        </w:rPr>
        <w:t xml:space="preserve">empleados generales con puestos </w:t>
      </w:r>
      <w:r w:rsidR="00374EDF">
        <w:rPr>
          <w:snapToGrid/>
        </w:rPr>
        <w:t xml:space="preserve">de plazo fijo </w:t>
      </w:r>
      <w:r>
        <w:rPr>
          <w:snapToGrid/>
        </w:rPr>
        <w:t>que trabajan en la Sección del Patrimonio Cultural Inmaterial, incluyendo el Secretario de la Convención y los Jefes de las dos unidades (</w:t>
      </w:r>
      <w:r w:rsidRPr="00CD3039">
        <w:rPr>
          <w:snapToGrid/>
        </w:rPr>
        <w:t>Unidad de Aplicación del Programa y Unidad de Fortalecimiento de Capacidades y Política Patrimonial</w:t>
      </w:r>
      <w:r>
        <w:rPr>
          <w:snapToGrid/>
        </w:rPr>
        <w:t>). Es importante destacar que esta situación representa una reducción del 20 % en la plantilla desde 2010 (que refleja la situación general de toda la UNESCO en el contexto de la crisis financiera desde 2011), mientras que el número de Estados Partes de la Convención aumentó en un 30 % en el mismo período. Al mismo tiempo, otros mecanismos como la presentación</w:t>
      </w:r>
      <w:r w:rsidR="008145E4">
        <w:rPr>
          <w:snapToGrid/>
        </w:rPr>
        <w:t xml:space="preserve"> de</w:t>
      </w:r>
      <w:r w:rsidR="0042567E">
        <w:rPr>
          <w:snapToGrid/>
        </w:rPr>
        <w:t xml:space="preserve"> </w:t>
      </w:r>
      <w:r>
        <w:rPr>
          <w:snapToGrid/>
        </w:rPr>
        <w:t>informes</w:t>
      </w:r>
      <w:r w:rsidR="0042567E">
        <w:rPr>
          <w:snapToGrid/>
        </w:rPr>
        <w:t xml:space="preserve"> periódicos</w:t>
      </w:r>
      <w:r>
        <w:rPr>
          <w:snapToGrid/>
        </w:rPr>
        <w:t>, la evaluación y la acreditación de organizaciones no gubernamentales (ONG) y el apoyo a la red global de facilitadores para el fortalecimiento de las capacidades requieren más recursos dentro de la Secretaría</w:t>
      </w:r>
      <w:r w:rsidR="008145E4">
        <w:rPr>
          <w:snapToGrid/>
        </w:rPr>
        <w:t>,</w:t>
      </w:r>
      <w:r>
        <w:rPr>
          <w:snapToGrid/>
        </w:rPr>
        <w:t xml:space="preserve"> dado que el alcance de operación para cada uno de ellos se ha vuelto cada vez más complejo y voluminoso.</w:t>
      </w:r>
    </w:p>
    <w:p w:rsidR="0068554E" w:rsidRDefault="0068554E" w:rsidP="0068554E">
      <w:pPr>
        <w:pStyle w:val="5GAparabodytext"/>
        <w:ind w:left="567" w:hanging="567"/>
      </w:pPr>
      <w:r>
        <w:rPr>
          <w:snapToGrid/>
        </w:rPr>
        <w:t>Los puestos actuales del programa</w:t>
      </w:r>
      <w:r w:rsidR="0042567E">
        <w:rPr>
          <w:snapToGrid/>
        </w:rPr>
        <w:t xml:space="preserve"> regular</w:t>
      </w:r>
      <w:r>
        <w:rPr>
          <w:snapToGrid/>
        </w:rPr>
        <w:t xml:space="preserve"> no son suficientes para </w:t>
      </w:r>
      <w:r w:rsidR="0042567E">
        <w:rPr>
          <w:snapToGrid/>
        </w:rPr>
        <w:t>que</w:t>
      </w:r>
      <w:r>
        <w:rPr>
          <w:snapToGrid/>
        </w:rPr>
        <w:t xml:space="preserve"> la Secretaría </w:t>
      </w:r>
      <w:r w:rsidR="0042567E">
        <w:rPr>
          <w:snapToGrid/>
        </w:rPr>
        <w:t xml:space="preserve">pueda </w:t>
      </w:r>
      <w:r>
        <w:rPr>
          <w:snapToGrid/>
        </w:rPr>
        <w:t>respond</w:t>
      </w:r>
      <w:r w:rsidR="0042567E">
        <w:rPr>
          <w:snapToGrid/>
        </w:rPr>
        <w:t>er</w:t>
      </w:r>
      <w:r>
        <w:rPr>
          <w:snapToGrid/>
        </w:rPr>
        <w:t xml:space="preserve"> a todas sus obligaciones estatuarias básicas (</w:t>
      </w:r>
      <w:r w:rsidR="0042567E">
        <w:rPr>
          <w:snapToGrid/>
        </w:rPr>
        <w:t>como las</w:t>
      </w:r>
      <w:r w:rsidR="00AD16F4">
        <w:rPr>
          <w:snapToGrid/>
        </w:rPr>
        <w:t xml:space="preserve"> preparación de </w:t>
      </w:r>
      <w:r>
        <w:rPr>
          <w:snapToGrid/>
        </w:rPr>
        <w:t>las reuniones estatuarias</w:t>
      </w:r>
      <w:r w:rsidR="00AD16F4">
        <w:rPr>
          <w:snapToGrid/>
        </w:rPr>
        <w:t xml:space="preserve"> que incluyen</w:t>
      </w:r>
      <w:r>
        <w:rPr>
          <w:snapToGrid/>
        </w:rPr>
        <w:t xml:space="preserve"> la elaboración de documentos, apoyar al Órgano de </w:t>
      </w:r>
      <w:r w:rsidR="008145E4">
        <w:rPr>
          <w:snapToGrid/>
        </w:rPr>
        <w:t>e</w:t>
      </w:r>
      <w:r>
        <w:rPr>
          <w:snapToGrid/>
        </w:rPr>
        <w:t>valuación en sus tareas, procesar</w:t>
      </w:r>
      <w:r w:rsidR="00AD16F4">
        <w:rPr>
          <w:snapToGrid/>
        </w:rPr>
        <w:t xml:space="preserve"> las</w:t>
      </w:r>
      <w:r>
        <w:rPr>
          <w:snapToGrid/>
        </w:rPr>
        <w:t xml:space="preserve"> candidaturas y las solicitudes de ONG para ser acreditadas y revisar su estado,</w:t>
      </w:r>
      <w:r w:rsidR="00AD16F4">
        <w:rPr>
          <w:snapToGrid/>
        </w:rPr>
        <w:t xml:space="preserve"> </w:t>
      </w:r>
      <w:r>
        <w:rPr>
          <w:snapToGrid/>
        </w:rPr>
        <w:t xml:space="preserve">hacer </w:t>
      </w:r>
      <w:r w:rsidR="00AD16F4">
        <w:rPr>
          <w:snapToGrid/>
        </w:rPr>
        <w:t>el</w:t>
      </w:r>
      <w:r>
        <w:rPr>
          <w:snapToGrid/>
        </w:rPr>
        <w:t xml:space="preserve"> seguimiento de los informes periódicos y desarrollar un marco global de resultados para la Convención) así como otras funciones vitales (funciones</w:t>
      </w:r>
      <w:r w:rsidR="00AD16F4">
        <w:rPr>
          <w:snapToGrid/>
        </w:rPr>
        <w:t xml:space="preserve"> de los responsables</w:t>
      </w:r>
      <w:r>
        <w:rPr>
          <w:snapToGrid/>
        </w:rPr>
        <w:t xml:space="preserve"> regionales,</w:t>
      </w:r>
      <w:r w:rsidR="008145E4">
        <w:rPr>
          <w:snapToGrid/>
        </w:rPr>
        <w:t xml:space="preserve"> el </w:t>
      </w:r>
      <w:r>
        <w:rPr>
          <w:snapToGrid/>
        </w:rPr>
        <w:t xml:space="preserve">programa de fortalecimiento de las capacidades y </w:t>
      </w:r>
      <w:r w:rsidR="008145E4">
        <w:rPr>
          <w:snapToGrid/>
        </w:rPr>
        <w:t xml:space="preserve">el </w:t>
      </w:r>
      <w:r>
        <w:rPr>
          <w:snapToGrid/>
        </w:rPr>
        <w:t>desarrollo de actividades temáticas a petición del Comité). Como resultado, muchas de estas obligaciones básicas recaen en el personal temporal. En la situación actual, las tareas de Asistencia Internacional se dividen y se adjudican a un</w:t>
      </w:r>
      <w:r w:rsidR="00A04080">
        <w:rPr>
          <w:snapToGrid/>
        </w:rPr>
        <w:t xml:space="preserve"> gran</w:t>
      </w:r>
      <w:r>
        <w:rPr>
          <w:snapToGrid/>
        </w:rPr>
        <w:t xml:space="preserve"> número de </w:t>
      </w:r>
      <w:r w:rsidR="00AD16F4">
        <w:rPr>
          <w:snapToGrid/>
        </w:rPr>
        <w:t>empleados</w:t>
      </w:r>
      <w:r w:rsidR="00A04080">
        <w:rPr>
          <w:snapToGrid/>
        </w:rPr>
        <w:t xml:space="preserve">, que además de </w:t>
      </w:r>
      <w:r>
        <w:rPr>
          <w:snapToGrid/>
        </w:rPr>
        <w:t>sus responsabilidades principales</w:t>
      </w:r>
      <w:r w:rsidR="00A04080">
        <w:rPr>
          <w:snapToGrid/>
        </w:rPr>
        <w:t xml:space="preserve"> se les añade esta tarea</w:t>
      </w:r>
      <w:r>
        <w:rPr>
          <w:snapToGrid/>
        </w:rPr>
        <w:t xml:space="preserve">. Sin embargo, para poder corregir la infrautilización de los mecanismos de Asistencia </w:t>
      </w:r>
      <w:proofErr w:type="gramStart"/>
      <w:r>
        <w:rPr>
          <w:snapToGrid/>
        </w:rPr>
        <w:t>Internacional</w:t>
      </w:r>
      <w:proofErr w:type="gramEnd"/>
      <w:r>
        <w:rPr>
          <w:snapToGrid/>
        </w:rPr>
        <w:t xml:space="preserve"> así como el saldo</w:t>
      </w:r>
      <w:r w:rsidR="00A04080">
        <w:rPr>
          <w:snapToGrid/>
        </w:rPr>
        <w:t xml:space="preserve"> disponible</w:t>
      </w:r>
      <w:r>
        <w:rPr>
          <w:snapToGrid/>
        </w:rPr>
        <w:t xml:space="preserve"> cada vez mayor del Fondo, es imprescindible contar con un equipo </w:t>
      </w:r>
      <w:r w:rsidR="00A04080">
        <w:rPr>
          <w:snapToGrid/>
        </w:rPr>
        <w:t>que se dedique a</w:t>
      </w:r>
      <w:r>
        <w:rPr>
          <w:snapToGrid/>
        </w:rPr>
        <w:t xml:space="preserve"> la</w:t>
      </w:r>
      <w:r w:rsidR="00A04080">
        <w:rPr>
          <w:snapToGrid/>
        </w:rPr>
        <w:t xml:space="preserve"> implementación</w:t>
      </w:r>
      <w:r>
        <w:rPr>
          <w:snapToGrid/>
        </w:rPr>
        <w:t xml:space="preserve"> de la Asistencia Internacional.</w:t>
      </w:r>
    </w:p>
    <w:p w:rsidR="0068554E" w:rsidRDefault="0068554E" w:rsidP="00374EDF">
      <w:pPr>
        <w:pStyle w:val="5GAparabodytext"/>
        <w:ind w:left="567" w:hanging="567"/>
      </w:pPr>
      <w:r>
        <w:rPr>
          <w:snapToGrid/>
        </w:rPr>
        <w:t>Por consiguiente, en comparación con los Planes de los bienios anteriores, e</w:t>
      </w:r>
      <w:r w:rsidR="00A04080">
        <w:rPr>
          <w:snapToGrid/>
        </w:rPr>
        <w:t>ste</w:t>
      </w:r>
      <w:r>
        <w:rPr>
          <w:snapToGrid/>
        </w:rPr>
        <w:t xml:space="preserve"> Plan presentado por el Comité propone la creación de una nueva partida presupuestaria (</w:t>
      </w:r>
      <w:r>
        <w:rPr>
          <w:b/>
          <w:snapToGrid/>
        </w:rPr>
        <w:t>partida presupuestaria 1.1</w:t>
      </w:r>
      <w:r>
        <w:rPr>
          <w:snapToGrid/>
        </w:rPr>
        <w:t xml:space="preserve">) que cubrirá los costes bienales de los tres puestos extrapresupuestarios </w:t>
      </w:r>
      <w:r w:rsidR="00374EDF">
        <w:rPr>
          <w:snapToGrid/>
        </w:rPr>
        <w:lastRenderedPageBreak/>
        <w:t xml:space="preserve">de plazo </w:t>
      </w:r>
      <w:r w:rsidR="00FD3628">
        <w:rPr>
          <w:snapToGrid/>
        </w:rPr>
        <w:t xml:space="preserve">fijo </w:t>
      </w:r>
      <w:r>
        <w:rPr>
          <w:snapToGrid/>
        </w:rPr>
        <w:t xml:space="preserve">(un P3, un P2 y un G5). El coste bienal </w:t>
      </w:r>
      <w:r w:rsidR="00A04080">
        <w:rPr>
          <w:snapToGrid/>
        </w:rPr>
        <w:t>del nuevo</w:t>
      </w:r>
      <w:r>
        <w:rPr>
          <w:snapToGrid/>
        </w:rPr>
        <w:t xml:space="preserve"> equipo creado se estima</w:t>
      </w:r>
      <w:r w:rsidR="00A04080">
        <w:rPr>
          <w:snapToGrid/>
        </w:rPr>
        <w:t xml:space="preserve"> cueste </w:t>
      </w:r>
      <w:r>
        <w:rPr>
          <w:snapToGrid/>
        </w:rPr>
        <w:t>e</w:t>
      </w:r>
      <w:r w:rsidR="00A04080">
        <w:rPr>
          <w:snapToGrid/>
        </w:rPr>
        <w:t>l</w:t>
      </w:r>
      <w:r>
        <w:rPr>
          <w:snapToGrid/>
        </w:rPr>
        <w:t xml:space="preserve"> 8,2 % del Fondo, el cual </w:t>
      </w:r>
      <w:r w:rsidR="00C2079C">
        <w:rPr>
          <w:snapToGrid/>
        </w:rPr>
        <w:t xml:space="preserve">será </w:t>
      </w:r>
      <w:r>
        <w:rPr>
          <w:snapToGrid/>
        </w:rPr>
        <w:t>cubierto a través de las reducciones en las partidas presupuestarias 1 y 2 que a su vez se beneficiarán de la creación de estos tres puestos ya que estos se encargarán de</w:t>
      </w:r>
      <w:r w:rsidR="00C2079C">
        <w:rPr>
          <w:snapToGrid/>
        </w:rPr>
        <w:t xml:space="preserve"> su implementación</w:t>
      </w:r>
      <w:r>
        <w:rPr>
          <w:snapToGrid/>
        </w:rPr>
        <w:t>. El equipo especializado en la</w:t>
      </w:r>
      <w:r w:rsidR="00C2079C">
        <w:rPr>
          <w:snapToGrid/>
        </w:rPr>
        <w:t xml:space="preserve"> implementación</w:t>
      </w:r>
      <w:r>
        <w:rPr>
          <w:snapToGrid/>
        </w:rPr>
        <w:t xml:space="preserve"> de la Asistencia Internacional se encargará de establecer y mantener un sistema</w:t>
      </w:r>
      <w:r w:rsidR="00C2079C">
        <w:rPr>
          <w:snapToGrid/>
        </w:rPr>
        <w:t xml:space="preserve"> global</w:t>
      </w:r>
      <w:r>
        <w:rPr>
          <w:snapToGrid/>
        </w:rPr>
        <w:t xml:space="preserve"> </w:t>
      </w:r>
      <w:r w:rsidR="00C2079C">
        <w:rPr>
          <w:snapToGrid/>
        </w:rPr>
        <w:t>para</w:t>
      </w:r>
      <w:r>
        <w:rPr>
          <w:snapToGrid/>
        </w:rPr>
        <w:t xml:space="preserve"> gestionar el mecanismo. La división de tareas dentro del equipo se prevé de tal manera que el titular del puesto P3 será responsable principalmente de establecer el mecanismo mejorado de Asistencia Internacional</w:t>
      </w:r>
      <w:r w:rsidR="008145E4">
        <w:rPr>
          <w:snapToGrid/>
        </w:rPr>
        <w:t>,</w:t>
      </w:r>
      <w:r>
        <w:rPr>
          <w:snapToGrid/>
        </w:rPr>
        <w:t xml:space="preserve"> desde </w:t>
      </w:r>
      <w:r w:rsidR="00C2079C">
        <w:rPr>
          <w:snapToGrid/>
        </w:rPr>
        <w:t xml:space="preserve">un </w:t>
      </w:r>
      <w:r>
        <w:rPr>
          <w:snapToGrid/>
        </w:rPr>
        <w:t>punto</w:t>
      </w:r>
      <w:r w:rsidR="00C2079C">
        <w:rPr>
          <w:snapToGrid/>
        </w:rPr>
        <w:t xml:space="preserve"> </w:t>
      </w:r>
      <w:r>
        <w:rPr>
          <w:snapToGrid/>
        </w:rPr>
        <w:t xml:space="preserve">de vista estratégico, mientras que el titular del puesto P2 gestionará el día a día de la </w:t>
      </w:r>
      <w:r w:rsidR="00C2079C">
        <w:rPr>
          <w:snapToGrid/>
        </w:rPr>
        <w:t>implementación</w:t>
      </w:r>
      <w:r>
        <w:rPr>
          <w:snapToGrid/>
        </w:rPr>
        <w:t xml:space="preserve"> y del seguimiento de cada uno de los proyectos</w:t>
      </w:r>
      <w:r w:rsidR="00B744D0">
        <w:rPr>
          <w:snapToGrid/>
        </w:rPr>
        <w:t>,</w:t>
      </w:r>
      <w:r>
        <w:rPr>
          <w:snapToGrid/>
        </w:rPr>
        <w:t xml:space="preserve"> en coordinación con</w:t>
      </w:r>
      <w:r w:rsidR="00B744D0">
        <w:rPr>
          <w:snapToGrid/>
        </w:rPr>
        <w:t xml:space="preserve"> los</w:t>
      </w:r>
      <w:r>
        <w:rPr>
          <w:snapToGrid/>
        </w:rPr>
        <w:t xml:space="preserve"> otros miembros de la Secretaría de la Convención,</w:t>
      </w:r>
      <w:r w:rsidR="00B744D0">
        <w:rPr>
          <w:snapToGrid/>
        </w:rPr>
        <w:t xml:space="preserve"> las</w:t>
      </w:r>
      <w:r>
        <w:rPr>
          <w:snapToGrid/>
        </w:rPr>
        <w:t xml:space="preserve"> Oficinas</w:t>
      </w:r>
      <w:r w:rsidR="00B744D0">
        <w:rPr>
          <w:snapToGrid/>
        </w:rPr>
        <w:t xml:space="preserve"> de terreno</w:t>
      </w:r>
      <w:r>
        <w:rPr>
          <w:snapToGrid/>
        </w:rPr>
        <w:t xml:space="preserve"> y</w:t>
      </w:r>
      <w:r w:rsidR="00B744D0">
        <w:rPr>
          <w:snapToGrid/>
        </w:rPr>
        <w:t xml:space="preserve"> los</w:t>
      </w:r>
      <w:r>
        <w:rPr>
          <w:snapToGrid/>
        </w:rPr>
        <w:t xml:space="preserve"> otros servicios de la UNESCO; por último, el titular del puesto G5 se encargará de los trámites administrativos como la elaboración de contratos y</w:t>
      </w:r>
      <w:r w:rsidR="008145E4">
        <w:rPr>
          <w:snapToGrid/>
        </w:rPr>
        <w:t xml:space="preserve"> de</w:t>
      </w:r>
      <w:r>
        <w:rPr>
          <w:snapToGrid/>
        </w:rPr>
        <w:t xml:space="preserve"> los pagos.</w:t>
      </w:r>
    </w:p>
    <w:p w:rsidR="0068554E" w:rsidRDefault="0068554E" w:rsidP="0068554E">
      <w:pPr>
        <w:pStyle w:val="5GAparabodytext"/>
        <w:ind w:left="567" w:hanging="567"/>
      </w:pPr>
      <w:r>
        <w:rPr>
          <w:snapToGrid/>
        </w:rPr>
        <w:t>Los proyectos de salvaguardia financiados por el Fondo son cada vez más integrales e incluyen, por ejemplo, la elaboración de inventarios,</w:t>
      </w:r>
      <w:r w:rsidR="00F977B1">
        <w:rPr>
          <w:snapToGrid/>
        </w:rPr>
        <w:t xml:space="preserve"> actividades</w:t>
      </w:r>
      <w:r>
        <w:rPr>
          <w:snapToGrid/>
        </w:rPr>
        <w:t xml:space="preserve"> de sensibilización, transmisión y revitalización, así como el fortalecimiento de las capacidades de comunidades o instituciones nacionales o la inclusión del patrimonio cultural inmaterial en la </w:t>
      </w:r>
      <w:r w:rsidR="008145E4">
        <w:rPr>
          <w:snapToGrid/>
        </w:rPr>
        <w:t>educación</w:t>
      </w:r>
      <w:r>
        <w:rPr>
          <w:snapToGrid/>
        </w:rPr>
        <w:t xml:space="preserve">, entre otros. Estas tareas también se llevan a cabo en distintas partes del mundo por una </w:t>
      </w:r>
      <w:r w:rsidR="00F977B1">
        <w:rPr>
          <w:snapToGrid/>
        </w:rPr>
        <w:t>diversidad</w:t>
      </w:r>
      <w:r>
        <w:rPr>
          <w:snapToGrid/>
        </w:rPr>
        <w:t xml:space="preserve"> de actores. A través de su aplicación, estos proyectos plantean cuestiones pertinentes sobre distintos aspectos de la Convención. En este sentido, la Asistencia Internacional puede ser una importante fuente de información en</w:t>
      </w:r>
      <w:r w:rsidR="00F977B1">
        <w:rPr>
          <w:snapToGrid/>
        </w:rPr>
        <w:t xml:space="preserve"> lo que concierne</w:t>
      </w:r>
      <w:r>
        <w:rPr>
          <w:snapToGrid/>
        </w:rPr>
        <w:t xml:space="preserve"> la aplicación de la Convención a niveles nacionales. Sin embargo, la falta de capacidades humanas de la Secretaría implica que todavía</w:t>
      </w:r>
      <w:r w:rsidR="00F977B1">
        <w:rPr>
          <w:snapToGrid/>
        </w:rPr>
        <w:t xml:space="preserve"> no</w:t>
      </w:r>
      <w:r>
        <w:rPr>
          <w:snapToGrid/>
        </w:rPr>
        <w:t xml:space="preserve"> se tiene explora</w:t>
      </w:r>
      <w:r w:rsidR="00F977B1">
        <w:rPr>
          <w:snapToGrid/>
        </w:rPr>
        <w:t>do</w:t>
      </w:r>
      <w:r>
        <w:rPr>
          <w:snapToGrid/>
        </w:rPr>
        <w:t xml:space="preserve"> el potencial completo de</w:t>
      </w:r>
      <w:r w:rsidR="00F977B1">
        <w:rPr>
          <w:snapToGrid/>
        </w:rPr>
        <w:t xml:space="preserve"> este</w:t>
      </w:r>
      <w:r>
        <w:rPr>
          <w:snapToGrid/>
        </w:rPr>
        <w:t xml:space="preserve"> mecanismo. </w:t>
      </w:r>
      <w:r w:rsidR="002366D9">
        <w:rPr>
          <w:snapToGrid/>
        </w:rPr>
        <w:t>Con el</w:t>
      </w:r>
      <w:r>
        <w:rPr>
          <w:snapToGrid/>
        </w:rPr>
        <w:t xml:space="preserve"> "equipo especializado en la</w:t>
      </w:r>
      <w:r w:rsidR="002366D9">
        <w:rPr>
          <w:snapToGrid/>
        </w:rPr>
        <w:t xml:space="preserve"> implementación</w:t>
      </w:r>
      <w:r>
        <w:rPr>
          <w:snapToGrid/>
        </w:rPr>
        <w:t xml:space="preserve"> de la Asistencia Internacional" </w:t>
      </w:r>
      <w:r w:rsidR="002366D9">
        <w:rPr>
          <w:snapToGrid/>
        </w:rPr>
        <w:t>en</w:t>
      </w:r>
      <w:r>
        <w:rPr>
          <w:snapToGrid/>
        </w:rPr>
        <w:t xml:space="preserve"> la Secretaría, se</w:t>
      </w:r>
      <w:r w:rsidR="002366D9">
        <w:rPr>
          <w:snapToGrid/>
        </w:rPr>
        <w:t xml:space="preserve"> buscará mejorar esto, sobre todo para dar un mejor servicio a </w:t>
      </w:r>
      <w:r>
        <w:rPr>
          <w:snapToGrid/>
        </w:rPr>
        <w:t>los Estados Partes de la Convención.</w:t>
      </w:r>
    </w:p>
    <w:p w:rsidR="0068554E" w:rsidRDefault="0068554E" w:rsidP="0068554E">
      <w:pPr>
        <w:pStyle w:val="5GAparabodytext"/>
        <w:ind w:left="567" w:hanging="567"/>
      </w:pPr>
      <w:r>
        <w:rPr>
          <w:snapToGrid/>
        </w:rPr>
        <w:t>Otro de los objetivos importantes de este sistema es</w:t>
      </w:r>
      <w:r w:rsidR="002366D9">
        <w:rPr>
          <w:snapToGrid/>
        </w:rPr>
        <w:t xml:space="preserve"> poder</w:t>
      </w:r>
      <w:r>
        <w:rPr>
          <w:snapToGrid/>
        </w:rPr>
        <w:t xml:space="preserve"> gestionar la voluminosa carga administrativa</w:t>
      </w:r>
      <w:r w:rsidR="00347F9C">
        <w:rPr>
          <w:snapToGrid/>
        </w:rPr>
        <w:t xml:space="preserve"> cada vez más importante</w:t>
      </w:r>
      <w:r w:rsidR="002366D9">
        <w:rPr>
          <w:snapToGrid/>
        </w:rPr>
        <w:t xml:space="preserve"> y</w:t>
      </w:r>
      <w:r>
        <w:rPr>
          <w:snapToGrid/>
        </w:rPr>
        <w:t xml:space="preserve"> a la vez</w:t>
      </w:r>
      <w:r w:rsidR="002366D9">
        <w:rPr>
          <w:snapToGrid/>
        </w:rPr>
        <w:t xml:space="preserve"> </w:t>
      </w:r>
      <w:proofErr w:type="gramStart"/>
      <w:r w:rsidR="002366D9">
        <w:rPr>
          <w:snapToGrid/>
        </w:rPr>
        <w:t>dar</w:t>
      </w:r>
      <w:r>
        <w:rPr>
          <w:snapToGrid/>
        </w:rPr>
        <w:t xml:space="preserve">  acceso</w:t>
      </w:r>
      <w:proofErr w:type="gramEnd"/>
      <w:r>
        <w:rPr>
          <w:snapToGrid/>
        </w:rPr>
        <w:t xml:space="preserve"> oportuno</w:t>
      </w:r>
      <w:r w:rsidR="002366D9">
        <w:rPr>
          <w:snapToGrid/>
        </w:rPr>
        <w:t xml:space="preserve"> a</w:t>
      </w:r>
      <w:r>
        <w:rPr>
          <w:snapToGrid/>
        </w:rPr>
        <w:t xml:space="preserve"> los Estados Partes a </w:t>
      </w:r>
      <w:r w:rsidR="002366D9">
        <w:rPr>
          <w:snapToGrid/>
        </w:rPr>
        <w:t>esta</w:t>
      </w:r>
      <w:r>
        <w:rPr>
          <w:snapToGrid/>
        </w:rPr>
        <w:t xml:space="preserve"> asistencia</w:t>
      </w:r>
      <w:r w:rsidR="00347F9C">
        <w:rPr>
          <w:snapToGrid/>
        </w:rPr>
        <w:t>, tan</w:t>
      </w:r>
      <w:r w:rsidR="002366D9">
        <w:rPr>
          <w:snapToGrid/>
        </w:rPr>
        <w:t xml:space="preserve"> </w:t>
      </w:r>
      <w:r>
        <w:rPr>
          <w:snapToGrid/>
        </w:rPr>
        <w:t>necesaria y</w:t>
      </w:r>
      <w:r w:rsidR="002366D9">
        <w:rPr>
          <w:snapToGrid/>
        </w:rPr>
        <w:t xml:space="preserve"> que tiene un</w:t>
      </w:r>
      <w:r>
        <w:rPr>
          <w:snapToGrid/>
        </w:rPr>
        <w:t xml:space="preserve"> gran impacto. A</w:t>
      </w:r>
      <w:r w:rsidR="00347F9C">
        <w:rPr>
          <w:snapToGrid/>
        </w:rPr>
        <w:t>demás</w:t>
      </w:r>
      <w:r>
        <w:rPr>
          <w:snapToGrid/>
        </w:rPr>
        <w:t xml:space="preserve"> </w:t>
      </w:r>
      <w:r w:rsidR="00347F9C">
        <w:rPr>
          <w:snapToGrid/>
        </w:rPr>
        <w:t>de</w:t>
      </w:r>
      <w:r>
        <w:rPr>
          <w:snapToGrid/>
        </w:rPr>
        <w:t xml:space="preserve"> contribuir</w:t>
      </w:r>
      <w:r w:rsidR="00347F9C">
        <w:rPr>
          <w:snapToGrid/>
        </w:rPr>
        <w:t xml:space="preserve"> con</w:t>
      </w:r>
      <w:r>
        <w:rPr>
          <w:snapToGrid/>
        </w:rPr>
        <w:t xml:space="preserve"> la</w:t>
      </w:r>
      <w:r w:rsidR="00347F9C">
        <w:rPr>
          <w:snapToGrid/>
        </w:rPr>
        <w:t xml:space="preserve"> </w:t>
      </w:r>
      <w:proofErr w:type="gramStart"/>
      <w:r w:rsidR="00347F9C">
        <w:rPr>
          <w:snapToGrid/>
        </w:rPr>
        <w:t>evaluación</w:t>
      </w:r>
      <w:r>
        <w:rPr>
          <w:snapToGrid/>
        </w:rPr>
        <w:t xml:space="preserve">  técnica</w:t>
      </w:r>
      <w:proofErr w:type="gramEnd"/>
      <w:r>
        <w:rPr>
          <w:snapToGrid/>
        </w:rPr>
        <w:t xml:space="preserve"> de las solicitudes de Asistencia Internacional, el equipo se centrará en la gestión</w:t>
      </w:r>
      <w:r w:rsidR="00347F9C">
        <w:rPr>
          <w:snapToGrid/>
        </w:rPr>
        <w:t xml:space="preserve"> especifica</w:t>
      </w:r>
      <w:r>
        <w:rPr>
          <w:snapToGrid/>
        </w:rPr>
        <w:t xml:space="preserve"> de los proyectos, una vez aprobados</w:t>
      </w:r>
      <w:r w:rsidR="00347F9C">
        <w:rPr>
          <w:snapToGrid/>
        </w:rPr>
        <w:t>,</w:t>
      </w:r>
      <w:r>
        <w:rPr>
          <w:snapToGrid/>
        </w:rPr>
        <w:t xml:space="preserve"> </w:t>
      </w:r>
      <w:r w:rsidR="00347F9C">
        <w:rPr>
          <w:snapToGrid/>
        </w:rPr>
        <w:t>e</w:t>
      </w:r>
      <w:r>
        <w:rPr>
          <w:snapToGrid/>
        </w:rPr>
        <w:t>labora</w:t>
      </w:r>
      <w:r w:rsidR="00347F9C">
        <w:rPr>
          <w:snapToGrid/>
        </w:rPr>
        <w:t>ndo</w:t>
      </w:r>
      <w:r>
        <w:rPr>
          <w:snapToGrid/>
        </w:rPr>
        <w:t xml:space="preserve"> los contratos, </w:t>
      </w:r>
      <w:r w:rsidR="00347F9C">
        <w:rPr>
          <w:snapToGrid/>
        </w:rPr>
        <w:t>procesando</w:t>
      </w:r>
      <w:r>
        <w:rPr>
          <w:snapToGrid/>
        </w:rPr>
        <w:t xml:space="preserve"> los pagos y</w:t>
      </w:r>
      <w:r w:rsidR="00347F9C">
        <w:rPr>
          <w:snapToGrid/>
        </w:rPr>
        <w:t xml:space="preserve"> haciéndose cargo de todos los</w:t>
      </w:r>
      <w:r>
        <w:rPr>
          <w:snapToGrid/>
        </w:rPr>
        <w:t xml:space="preserve"> trámites administrativos</w:t>
      </w:r>
      <w:r w:rsidR="00347F9C">
        <w:rPr>
          <w:snapToGrid/>
        </w:rPr>
        <w:t xml:space="preserve"> en tiempo y forma</w:t>
      </w:r>
      <w:r>
        <w:rPr>
          <w:snapToGrid/>
        </w:rPr>
        <w:t xml:space="preserve">. </w:t>
      </w:r>
      <w:r w:rsidR="00347F9C">
        <w:rPr>
          <w:snapToGrid/>
        </w:rPr>
        <w:t>Será</w:t>
      </w:r>
      <w:r>
        <w:rPr>
          <w:snapToGrid/>
        </w:rPr>
        <w:t xml:space="preserve"> importante llevar a cabo evaluaciones de riesgos para cada una de las solicitudes con vistas </w:t>
      </w:r>
      <w:r w:rsidR="00347F9C">
        <w:rPr>
          <w:snapToGrid/>
        </w:rPr>
        <w:t>de</w:t>
      </w:r>
      <w:r>
        <w:rPr>
          <w:snapToGrid/>
        </w:rPr>
        <w:t xml:space="preserve"> minimizar los riesgos financieros y </w:t>
      </w:r>
      <w:r w:rsidR="00347F9C">
        <w:rPr>
          <w:snapToGrid/>
        </w:rPr>
        <w:t>los</w:t>
      </w:r>
      <w:r>
        <w:rPr>
          <w:snapToGrid/>
        </w:rPr>
        <w:t xml:space="preserve"> fraude</w:t>
      </w:r>
      <w:r w:rsidR="00CD3039">
        <w:rPr>
          <w:snapToGrid/>
        </w:rPr>
        <w:t>,</w:t>
      </w:r>
      <w:r>
        <w:rPr>
          <w:snapToGrid/>
        </w:rPr>
        <w:t xml:space="preserve"> dado que la Asistencia Internacional se ha convertido en una auténtica operación mundial en la que se mueven cantidades </w:t>
      </w:r>
      <w:r w:rsidR="00347F9C">
        <w:rPr>
          <w:snapToGrid/>
        </w:rPr>
        <w:t>importantes</w:t>
      </w:r>
      <w:r>
        <w:rPr>
          <w:snapToGrid/>
        </w:rPr>
        <w:t>.</w:t>
      </w:r>
    </w:p>
    <w:p w:rsidR="0068554E" w:rsidRDefault="0068554E" w:rsidP="0068554E">
      <w:pPr>
        <w:pStyle w:val="5GAparabodytext"/>
        <w:ind w:left="567" w:hanging="567"/>
      </w:pPr>
      <w:r>
        <w:rPr>
          <w:snapToGrid/>
        </w:rPr>
        <w:t xml:space="preserve">Los proyectos financiados por el Fondo </w:t>
      </w:r>
      <w:r w:rsidR="00F6349B">
        <w:rPr>
          <w:snapToGrid/>
        </w:rPr>
        <w:t xml:space="preserve">son </w:t>
      </w:r>
      <w:r>
        <w:rPr>
          <w:snapToGrid/>
        </w:rPr>
        <w:t xml:space="preserve">ejemplos importantes de actividades de salvaguardia. </w:t>
      </w:r>
      <w:r w:rsidR="0046316C">
        <w:rPr>
          <w:snapToGrid/>
        </w:rPr>
        <w:t>Por medio</w:t>
      </w:r>
      <w:r>
        <w:rPr>
          <w:snapToGrid/>
        </w:rPr>
        <w:t xml:space="preserve"> del seguimiento y de la evaluación de los impactos de la</w:t>
      </w:r>
      <w:r w:rsidR="0046316C">
        <w:rPr>
          <w:snapToGrid/>
        </w:rPr>
        <w:t>s</w:t>
      </w:r>
      <w:r>
        <w:rPr>
          <w:snapToGrid/>
        </w:rPr>
        <w:t xml:space="preserve"> asistencia</w:t>
      </w:r>
      <w:r w:rsidR="0046316C">
        <w:rPr>
          <w:snapToGrid/>
        </w:rPr>
        <w:t>s</w:t>
      </w:r>
      <w:r>
        <w:rPr>
          <w:snapToGrid/>
        </w:rPr>
        <w:t xml:space="preserve"> </w:t>
      </w:r>
      <w:r w:rsidR="0046316C">
        <w:rPr>
          <w:snapToGrid/>
        </w:rPr>
        <w:t>financiadas</w:t>
      </w:r>
      <w:r>
        <w:rPr>
          <w:snapToGrid/>
        </w:rPr>
        <w:t xml:space="preserve"> por el Fondo, el equipo especializado también</w:t>
      </w:r>
      <w:r w:rsidR="00CD3039">
        <w:rPr>
          <w:snapToGrid/>
        </w:rPr>
        <w:t xml:space="preserve"> tendrá como misión </w:t>
      </w:r>
      <w:r w:rsidR="0046316C">
        <w:rPr>
          <w:snapToGrid/>
        </w:rPr>
        <w:t>de</w:t>
      </w:r>
      <w:r>
        <w:rPr>
          <w:snapToGrid/>
        </w:rPr>
        <w:t xml:space="preserve"> aprender de cada proyecto y </w:t>
      </w:r>
      <w:r w:rsidR="0046316C">
        <w:rPr>
          <w:snapToGrid/>
        </w:rPr>
        <w:t>posteriormente</w:t>
      </w:r>
      <w:r>
        <w:rPr>
          <w:snapToGrid/>
        </w:rPr>
        <w:t xml:space="preserve"> compartir las</w:t>
      </w:r>
      <w:r w:rsidR="0046316C">
        <w:rPr>
          <w:snapToGrid/>
        </w:rPr>
        <w:t xml:space="preserve"> experiencias y las</w:t>
      </w:r>
      <w:r>
        <w:rPr>
          <w:snapToGrid/>
        </w:rPr>
        <w:t xml:space="preserve"> lecciones aprendidas. En otras palabras, el equipo se esforzará en identificar las buenas prácticas y transmitir estas experiencias por parte de los Estados beneficiarios (y, por extensión, de las comunidades beneficiaras) al</w:t>
      </w:r>
      <w:r w:rsidR="0046316C">
        <w:rPr>
          <w:snapToGrid/>
        </w:rPr>
        <w:t xml:space="preserve"> escenario</w:t>
      </w:r>
      <w:r>
        <w:rPr>
          <w:snapToGrid/>
        </w:rPr>
        <w:t xml:space="preserve"> internacional. Esta información</w:t>
      </w:r>
      <w:r w:rsidR="0046316C">
        <w:rPr>
          <w:snapToGrid/>
        </w:rPr>
        <w:t xml:space="preserve"> también</w:t>
      </w:r>
      <w:r>
        <w:rPr>
          <w:snapToGrid/>
        </w:rPr>
        <w:t xml:space="preserve"> puede ser</w:t>
      </w:r>
      <w:r w:rsidR="0046316C">
        <w:rPr>
          <w:snapToGrid/>
        </w:rPr>
        <w:t>vir</w:t>
      </w:r>
      <w:r w:rsidR="002A02B0">
        <w:rPr>
          <w:snapToGrid/>
        </w:rPr>
        <w:t xml:space="preserve"> como</w:t>
      </w:r>
      <w:r>
        <w:rPr>
          <w:snapToGrid/>
        </w:rPr>
        <w:t xml:space="preserve"> herramienta de comunicación para inspirar a otros Estados a que salvaguarden su patrimonio cultural inmaterial de acuerdo con el espíritu de la Convención.</w:t>
      </w:r>
      <w:r w:rsidR="002A02B0">
        <w:rPr>
          <w:snapToGrid/>
        </w:rPr>
        <w:t xml:space="preserve"> Cuando</w:t>
      </w:r>
      <w:r>
        <w:rPr>
          <w:snapToGrid/>
        </w:rPr>
        <w:t xml:space="preserve"> el sistema esté mejor establecido, se espera que el mecanismo de Asistencia Internacional proporcion</w:t>
      </w:r>
      <w:r w:rsidR="002A02B0">
        <w:rPr>
          <w:snapToGrid/>
        </w:rPr>
        <w:t>e</w:t>
      </w:r>
      <w:r>
        <w:rPr>
          <w:snapToGrid/>
        </w:rPr>
        <w:t xml:space="preserve"> una mejor comprensión de la salvaguardia del patrimonio cultural inmaterial en general.</w:t>
      </w:r>
    </w:p>
    <w:p w:rsidR="0068554E" w:rsidRDefault="0068554E" w:rsidP="00374EDF">
      <w:pPr>
        <w:pStyle w:val="5GAparabodytext"/>
        <w:ind w:left="567" w:hanging="567"/>
      </w:pPr>
      <w:r>
        <w:rPr>
          <w:snapToGrid/>
        </w:rPr>
        <w:t xml:space="preserve">Desde el punto de vista del gasto presupuestario, una de las finalidades de crear tres puestos </w:t>
      </w:r>
      <w:r w:rsidRPr="00CD3039">
        <w:rPr>
          <w:snapToGrid/>
        </w:rPr>
        <w:t xml:space="preserve">extrapresupuestarios </w:t>
      </w:r>
      <w:r w:rsidR="00374EDF">
        <w:rPr>
          <w:snapToGrid/>
        </w:rPr>
        <w:t xml:space="preserve">de plazo fijo </w:t>
      </w:r>
      <w:r>
        <w:rPr>
          <w:snapToGrid/>
        </w:rPr>
        <w:t xml:space="preserve">es la de garantizar un acceso oportuno a la Asistencia Internacional </w:t>
      </w:r>
      <w:r w:rsidR="002A02B0">
        <w:rPr>
          <w:snapToGrid/>
        </w:rPr>
        <w:t xml:space="preserve">y su vez, </w:t>
      </w:r>
      <w:r>
        <w:rPr>
          <w:snapToGrid/>
        </w:rPr>
        <w:t xml:space="preserve">que </w:t>
      </w:r>
      <w:r w:rsidR="002A02B0">
        <w:rPr>
          <w:snapToGrid/>
        </w:rPr>
        <w:t>tenga</w:t>
      </w:r>
      <w:r>
        <w:rPr>
          <w:snapToGrid/>
        </w:rPr>
        <w:t xml:space="preserve"> un mayor impacto a nivel nacional. El objetivo es alcanzar un nivel óptimo</w:t>
      </w:r>
      <w:r w:rsidR="002A02B0">
        <w:rPr>
          <w:snapToGrid/>
        </w:rPr>
        <w:t xml:space="preserve"> del</w:t>
      </w:r>
      <w:r>
        <w:rPr>
          <w:snapToGrid/>
        </w:rPr>
        <w:t xml:space="preserve"> presupuesto</w:t>
      </w:r>
      <w:r w:rsidR="002A02B0">
        <w:rPr>
          <w:snapToGrid/>
        </w:rPr>
        <w:t xml:space="preserve"> en el que se iguale </w:t>
      </w:r>
      <w:r>
        <w:rPr>
          <w:snapToGrid/>
        </w:rPr>
        <w:t xml:space="preserve">las contribuciones asignadas </w:t>
      </w:r>
      <w:r w:rsidR="002A02B0">
        <w:rPr>
          <w:snapToGrid/>
        </w:rPr>
        <w:t xml:space="preserve">y </w:t>
      </w:r>
      <w:r>
        <w:rPr>
          <w:snapToGrid/>
        </w:rPr>
        <w:t>los gastos.</w:t>
      </w:r>
      <w:r w:rsidR="002A02B0">
        <w:rPr>
          <w:snapToGrid/>
        </w:rPr>
        <w:t xml:space="preserve"> Teniendo en cuenta</w:t>
      </w:r>
      <w:r>
        <w:rPr>
          <w:snapToGrid/>
        </w:rPr>
        <w:t xml:space="preserve"> el aumento continuo del nivel de las contribuciones asignadas (del 3 % cada bienio) así como e</w:t>
      </w:r>
      <w:r w:rsidR="002A02B0">
        <w:rPr>
          <w:snapToGrid/>
        </w:rPr>
        <w:t>l</w:t>
      </w:r>
      <w:r>
        <w:rPr>
          <w:snapToGrid/>
        </w:rPr>
        <w:t xml:space="preserve"> aumento estimado del 40 % en el uso de las partidas presupuestarias 1 y 2 durante el 39 C/5</w:t>
      </w:r>
      <w:r w:rsidR="002A02B0">
        <w:rPr>
          <w:snapToGrid/>
        </w:rPr>
        <w:t>,</w:t>
      </w:r>
      <w:r>
        <w:rPr>
          <w:snapToGrid/>
        </w:rPr>
        <w:t xml:space="preserve"> que después permanecerá</w:t>
      </w:r>
      <w:r w:rsidR="002A02B0">
        <w:rPr>
          <w:snapToGrid/>
        </w:rPr>
        <w:t>n</w:t>
      </w:r>
      <w:r>
        <w:rPr>
          <w:snapToGrid/>
        </w:rPr>
        <w:t xml:space="preserve"> estable</w:t>
      </w:r>
      <w:r w:rsidR="002A02B0">
        <w:rPr>
          <w:snapToGrid/>
        </w:rPr>
        <w:t>s</w:t>
      </w:r>
      <w:r>
        <w:rPr>
          <w:snapToGrid/>
        </w:rPr>
        <w:t>,</w:t>
      </w:r>
      <w:r w:rsidR="002A02B0">
        <w:rPr>
          <w:snapToGrid/>
        </w:rPr>
        <w:t xml:space="preserve"> se prevé que</w:t>
      </w:r>
      <w:r>
        <w:rPr>
          <w:snapToGrid/>
        </w:rPr>
        <w:t xml:space="preserve"> este objetivo se alcan</w:t>
      </w:r>
      <w:r w:rsidR="002A02B0">
        <w:rPr>
          <w:snapToGrid/>
        </w:rPr>
        <w:t>ce</w:t>
      </w:r>
      <w:r>
        <w:rPr>
          <w:snapToGrid/>
        </w:rPr>
        <w:t xml:space="preserve"> en el bienio 44 C/5 (Figura 2). Una vez que el presupuesto se estabilice a la cantidad </w:t>
      </w:r>
      <w:r>
        <w:rPr>
          <w:snapToGrid/>
        </w:rPr>
        <w:lastRenderedPageBreak/>
        <w:t xml:space="preserve">de </w:t>
      </w:r>
      <w:r w:rsidRPr="00CD3039">
        <w:rPr>
          <w:snapToGrid/>
        </w:rPr>
        <w:t>las contribuciones asignadas</w:t>
      </w:r>
      <w:r w:rsidRPr="00035F24">
        <w:rPr>
          <w:snapToGrid/>
        </w:rPr>
        <w:t>,</w:t>
      </w:r>
      <w:r>
        <w:rPr>
          <w:snapToGrid/>
        </w:rPr>
        <w:t xml:space="preserve"> se</w:t>
      </w:r>
      <w:r w:rsidR="009B0AA6">
        <w:rPr>
          <w:snapToGrid/>
        </w:rPr>
        <w:t xml:space="preserve"> necesitará</w:t>
      </w:r>
      <w:r>
        <w:rPr>
          <w:snapToGrid/>
        </w:rPr>
        <w:t xml:space="preserve"> aproximadamente de un 14 % del presupuesto total para cubrir los costes de los puestos </w:t>
      </w:r>
      <w:r w:rsidR="00374EDF">
        <w:rPr>
          <w:snapToGrid/>
        </w:rPr>
        <w:t xml:space="preserve">de plazo fijo </w:t>
      </w:r>
      <w:r>
        <w:rPr>
          <w:snapToGrid/>
        </w:rPr>
        <w:t>(partida presupuestaria 1.1).</w:t>
      </w:r>
    </w:p>
    <w:p w:rsidR="0068554E" w:rsidRDefault="006907D7" w:rsidP="0068554E">
      <w:pPr>
        <w:pStyle w:val="5GAparabodytext"/>
        <w:numPr>
          <w:ilvl w:val="0"/>
          <w:numId w:val="0"/>
        </w:numPr>
        <w:ind w:left="567"/>
      </w:pPr>
      <w:r>
        <w:rPr>
          <w:noProof/>
          <w:lang w:val="en-US" w:eastAsia="ko-KR"/>
        </w:rPr>
        <w:drawing>
          <wp:inline distT="0" distB="0" distL="0" distR="0" wp14:anchorId="34CC2AE2" wp14:editId="47AE7DAD">
            <wp:extent cx="5762625" cy="3312795"/>
            <wp:effectExtent l="0" t="0" r="9525"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554E" w:rsidRDefault="009A42D4" w:rsidP="0068554E">
      <w:pPr>
        <w:pStyle w:val="5GAparabodytext"/>
        <w:numPr>
          <w:ilvl w:val="0"/>
          <w:numId w:val="0"/>
        </w:numPr>
        <w:ind w:left="567"/>
      </w:pPr>
      <w:r>
        <w:rPr>
          <w:noProof/>
          <w:lang w:val="en-US" w:eastAsia="ko-KR"/>
        </w:rPr>
        <mc:AlternateContent>
          <mc:Choice Requires="wps">
            <w:drawing>
              <wp:inline distT="0" distB="0" distL="0" distR="0" wp14:anchorId="4FDF7DEA" wp14:editId="4BEE4E9A">
                <wp:extent cx="5436870" cy="208280"/>
                <wp:effectExtent l="0" t="0" r="0" b="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208280"/>
                        </a:xfrm>
                        <a:prstGeom prst="rect">
                          <a:avLst/>
                        </a:prstGeom>
                        <a:solidFill>
                          <a:srgbClr val="FFFFFF"/>
                        </a:solidFill>
                        <a:ln w="9525">
                          <a:noFill/>
                          <a:miter lim="800000"/>
                          <a:headEnd/>
                          <a:tailEnd/>
                        </a:ln>
                      </wps:spPr>
                      <wps:txbx>
                        <w:txbxContent>
                          <w:p w:rsidR="00DA39C3" w:rsidRPr="000B21E2" w:rsidRDefault="00DA39C3" w:rsidP="0068554E">
                            <w:pPr>
                              <w:rPr>
                                <w:rFonts w:ascii="Arial" w:hAnsi="Arial" w:cs="Arial"/>
                                <w:sz w:val="16"/>
                                <w:szCs w:val="16"/>
                              </w:rPr>
                            </w:pPr>
                            <w:r>
                              <w:rPr>
                                <w:rFonts w:ascii="Arial" w:hAnsi="Arial"/>
                                <w:b/>
                                <w:sz w:val="16"/>
                              </w:rPr>
                              <w:t xml:space="preserve">Figura 2: </w:t>
                            </w:r>
                            <w:r>
                              <w:rPr>
                                <w:rFonts w:ascii="Arial" w:hAnsi="Arial"/>
                                <w:sz w:val="16"/>
                              </w:rPr>
                              <w:t>Previsión de</w:t>
                            </w:r>
                            <w:r w:rsidR="000E20B6">
                              <w:rPr>
                                <w:rFonts w:ascii="Arial" w:hAnsi="Arial"/>
                                <w:sz w:val="16"/>
                              </w:rPr>
                              <w:t xml:space="preserve"> evolución</w:t>
                            </w:r>
                            <w:r>
                              <w:rPr>
                                <w:rFonts w:ascii="Arial" w:hAnsi="Arial"/>
                                <w:sz w:val="16"/>
                              </w:rPr>
                              <w:t>: Fondo, si se aprueba el nuevo Proyecto de Plan para el uso de los recursos</w:t>
                            </w:r>
                          </w:p>
                        </w:txbxContent>
                      </wps:txbx>
                      <wps:bodyPr rot="0" vert="horz" wrap="square" lIns="91440" tIns="45720" rIns="91440" bIns="45720" anchor="t" anchorCtr="0">
                        <a:spAutoFit/>
                      </wps:bodyPr>
                    </wps:wsp>
                  </a:graphicData>
                </a:graphic>
              </wp:inline>
            </w:drawing>
          </mc:Choice>
          <mc:Fallback>
            <w:pict>
              <v:shape w14:anchorId="4FDF7DEA" id="_x0000_s1027" type="#_x0000_t202" style="width:428.1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DqJQIAACcEAAAOAAAAZHJzL2Uyb0RvYy54bWysU02P2yAQvVfqf0DcGztuspu14qy22aaq&#10;tP2Qtr30RgDHqMBQILHTX98BZ7PR9lbVB8R4hsfMe4/l7WA0OUgfFNiGTiclJdJyEMruGvr92+bN&#10;gpIQmRVMg5UNPcpAb1evXy17V8sKOtBCeoIgNtS9a2gXo6uLIvBOGhYm4KTFZAvesIih3xXCsx7R&#10;jS6qsrwqevDCeeAyBPx7PybpKuO3reTxS9sGGYluKPYW8+rzuk1rsVqyeueZ6xQ/tcH+oQvDlMVL&#10;z1D3LDKy9+ovKKO4hwBtnHAwBbSt4jLPgNNMyxfTPHbMyTwLkhPcmabw/2D558NXT5RoKAplmUGJ&#10;fqBQREgS5RAlqRJFvQs1Vj46rI3DOxhQ6jxucA/AfwZiYd0xu5N33kPfSSawxWk6WVwcHXFCAtn2&#10;n0DgXWwfIQMNrTeJP2SEIDpKdTzLg30Qjj/ns7dXi2tMccxV5aJaZP0KVj+ddj7EDxIMSZuGepQ/&#10;o7PDQ4ipG1Y/laTLAmglNkrrHPjddq09OTC0yiZ/eYAXZdqSvqE382qekS2k89lFRkW0slYGuSzT&#10;N5orsfHeilwSmdLjHjvR9kRPYmTkJg7bIYuRuUvUbUEckS8Po3PxpeGmA/+bkh5d29Dwa8+8pER/&#10;tMj5zXQ2SzbPwWx+XWHgLzPbywyzHKEaGikZt+uYn0amw92hNhuVaXvu5NQyujGzeXo5ye6Xca56&#10;ft+rPwAAAP//AwBQSwMEFAAGAAgAAAAhAPlpGMvaAAAABAEAAA8AAABkcnMvZG93bnJldi54bWxM&#10;j0FPg0AQhe8m/ofNmHizSzElBFkaY+LF9GCrB49TGFmEnUV2afHfO3rRy0smb/Le98rt4gZ1oil0&#10;ng2sVwko4to3HbcGXl8eb3JQISI3OHgmA18UYFtdXpRYNP7MezodYqskhEOBBmyMY6F1qC05DCs/&#10;Eov37ieHUc6p1c2EZwl3g06TJNMOO5YGiyM9WKr7w+ykZBfqee8/P9a7Xr/ZPsPNs30y5vpqub8D&#10;FWmJf8/wgy/oUAnT0c/cBDUYkCHxV8XLN1kK6mjgNs1BV6X+D199AwAA//8DAFBLAQItABQABgAI&#10;AAAAIQC2gziS/gAAAOEBAAATAAAAAAAAAAAAAAAAAAAAAABbQ29udGVudF9UeXBlc10ueG1sUEsB&#10;Ai0AFAAGAAgAAAAhADj9If/WAAAAlAEAAAsAAAAAAAAAAAAAAAAALwEAAF9yZWxzLy5yZWxzUEsB&#10;Ai0AFAAGAAgAAAAhADkJIOolAgAAJwQAAA4AAAAAAAAAAAAAAAAALgIAAGRycy9lMm9Eb2MueG1s&#10;UEsBAi0AFAAGAAgAAAAhAPlpGMvaAAAABAEAAA8AAAAAAAAAAAAAAAAAfwQAAGRycy9kb3ducmV2&#10;LnhtbFBLBQYAAAAABAAEAPMAAACGBQAAAAA=&#10;" stroked="f">
                <v:textbox style="mso-fit-shape-to-text:t">
                  <w:txbxContent>
                    <w:p w:rsidR="00DA39C3" w:rsidRPr="000B21E2" w:rsidRDefault="00DA39C3" w:rsidP="0068554E">
                      <w:pPr>
                        <w:rPr>
                          <w:rFonts w:ascii="Arial" w:hAnsi="Arial" w:cs="Arial"/>
                          <w:sz w:val="16"/>
                          <w:szCs w:val="16"/>
                        </w:rPr>
                      </w:pPr>
                      <w:r>
                        <w:rPr>
                          <w:rFonts w:ascii="Arial" w:hAnsi="Arial"/>
                          <w:b/>
                          <w:sz w:val="16"/>
                        </w:rPr>
                        <w:t xml:space="preserve">Figura 2: </w:t>
                      </w:r>
                      <w:r>
                        <w:rPr>
                          <w:rFonts w:ascii="Arial" w:hAnsi="Arial"/>
                          <w:sz w:val="16"/>
                        </w:rPr>
                        <w:t>Previsión de</w:t>
                      </w:r>
                      <w:r w:rsidR="000E20B6">
                        <w:rPr>
                          <w:rFonts w:ascii="Arial" w:hAnsi="Arial"/>
                          <w:sz w:val="16"/>
                        </w:rPr>
                        <w:t xml:space="preserve"> evolución</w:t>
                      </w:r>
                      <w:r>
                        <w:rPr>
                          <w:rFonts w:ascii="Arial" w:hAnsi="Arial"/>
                          <w:sz w:val="16"/>
                        </w:rPr>
                        <w:t>: Fondo, si se aprueba el nuevo Proyecto de Plan para el uso de los recursos</w:t>
                      </w:r>
                    </w:p>
                  </w:txbxContent>
                </v:textbox>
                <w10:anchorlock/>
              </v:shape>
            </w:pict>
          </mc:Fallback>
        </mc:AlternateContent>
      </w:r>
    </w:p>
    <w:p w:rsidR="0068554E" w:rsidRPr="00BA709B" w:rsidRDefault="0068554E" w:rsidP="0068554E">
      <w:pPr>
        <w:pStyle w:val="5GAparabodytext"/>
        <w:ind w:left="567" w:hanging="567"/>
      </w:pPr>
      <w:r>
        <w:rPr>
          <w:snapToGrid/>
        </w:rPr>
        <w:t>Siguiendo la línea de prioridades trazada por las Directrices para el uso de los recursos del Fondo en el capítulo II.1 de las Directrices Operativas, se propone nuevamente que la mayoría de los recursos (</w:t>
      </w:r>
      <w:r>
        <w:rPr>
          <w:b/>
          <w:snapToGrid/>
        </w:rPr>
        <w:t>partida presupuestaria</w:t>
      </w:r>
      <w:r>
        <w:rPr>
          <w:snapToGrid/>
        </w:rPr>
        <w:t xml:space="preserve"> </w:t>
      </w:r>
      <w:r>
        <w:rPr>
          <w:b/>
          <w:snapToGrid/>
        </w:rPr>
        <w:t>1</w:t>
      </w:r>
      <w:r>
        <w:rPr>
          <w:snapToGrid/>
        </w:rPr>
        <w:t xml:space="preserve">, 52,55 %) sea asignada </w:t>
      </w:r>
      <w:r w:rsidR="00BE2FBF">
        <w:rPr>
          <w:snapToGrid/>
        </w:rPr>
        <w:t>para</w:t>
      </w:r>
      <w:r>
        <w:rPr>
          <w:snapToGrid/>
        </w:rPr>
        <w:t xml:space="preserve"> la Asistencia Internacional</w:t>
      </w:r>
      <w:r w:rsidR="00BE2FBF">
        <w:rPr>
          <w:snapToGrid/>
        </w:rPr>
        <w:t xml:space="preserve"> para apoyar</w:t>
      </w:r>
      <w:r>
        <w:rPr>
          <w:snapToGrid/>
        </w:rPr>
        <w:t xml:space="preserve"> a los Estados Partes en sus esfuerzos nacionales para salvaguardar el patrimonio cultural inmaterial. Tal como se ha explicado en el párrafo 9</w:t>
      </w:r>
      <w:r w:rsidR="00BE2FBF">
        <w:rPr>
          <w:snapToGrid/>
        </w:rPr>
        <w:t>,</w:t>
      </w:r>
      <w:r>
        <w:rPr>
          <w:snapToGrid/>
        </w:rPr>
        <w:t xml:space="preserve"> y dada la infrautilización sistemática de los mecanismos de Asistencia Internacional, la reducción en esta partida comparada con el bienio anterior (-6,45 %) servirá para crear un nuevo equipo</w:t>
      </w:r>
      <w:r w:rsidR="00BE2FBF">
        <w:rPr>
          <w:snapToGrid/>
        </w:rPr>
        <w:t xml:space="preserve"> que se dedique</w:t>
      </w:r>
      <w:r>
        <w:rPr>
          <w:snapToGrid/>
        </w:rPr>
        <w:t xml:space="preserve"> específicamente a su activación, seguimiento y evaluación.</w:t>
      </w:r>
    </w:p>
    <w:p w:rsidR="0068554E" w:rsidRPr="000C3818" w:rsidRDefault="0068554E" w:rsidP="0068554E">
      <w:pPr>
        <w:pStyle w:val="5GAparabodytext"/>
        <w:ind w:left="567" w:hanging="567"/>
      </w:pPr>
      <w:r>
        <w:rPr>
          <w:snapToGrid/>
        </w:rPr>
        <w:t xml:space="preserve">Como se ha mencionado anteriormente, se propone disminuir ligeramente el porcentaje de los fondos presupuestados para la concesión de la Asistencia </w:t>
      </w:r>
      <w:r w:rsidR="001F5992">
        <w:rPr>
          <w:snapToGrid/>
        </w:rPr>
        <w:t>p</w:t>
      </w:r>
      <w:r>
        <w:rPr>
          <w:snapToGrid/>
        </w:rPr>
        <w:t>reparatoria (</w:t>
      </w:r>
      <w:r>
        <w:rPr>
          <w:b/>
          <w:snapToGrid/>
        </w:rPr>
        <w:t>partida presupuestaria 2</w:t>
      </w:r>
      <w:r>
        <w:rPr>
          <w:snapToGrid/>
        </w:rPr>
        <w:t xml:space="preserve">) en un 4 %. Además de la Asistencia </w:t>
      </w:r>
      <w:r w:rsidR="00BE2FBF">
        <w:rPr>
          <w:snapToGrid/>
        </w:rPr>
        <w:t>p</w:t>
      </w:r>
      <w:r>
        <w:rPr>
          <w:snapToGrid/>
        </w:rPr>
        <w:t>reparatoria para los expedientes de candidatura de la Lista</w:t>
      </w:r>
      <w:r w:rsidR="00BE2FBF">
        <w:rPr>
          <w:snapToGrid/>
        </w:rPr>
        <w:t xml:space="preserve"> que requiere medidas urgentes d</w:t>
      </w:r>
      <w:r>
        <w:rPr>
          <w:snapToGrid/>
        </w:rPr>
        <w:t xml:space="preserve">e </w:t>
      </w:r>
      <w:r w:rsidR="00BE2FBF">
        <w:rPr>
          <w:snapToGrid/>
        </w:rPr>
        <w:t>s</w:t>
      </w:r>
      <w:r>
        <w:rPr>
          <w:snapToGrid/>
        </w:rPr>
        <w:t>alvaguardia y para las</w:t>
      </w:r>
      <w:r w:rsidR="00BE2FBF">
        <w:rPr>
          <w:snapToGrid/>
        </w:rPr>
        <w:t xml:space="preserve"> candidaturas</w:t>
      </w:r>
      <w:r>
        <w:rPr>
          <w:snapToGrid/>
        </w:rPr>
        <w:t xml:space="preserve"> para el Registro de </w:t>
      </w:r>
      <w:r w:rsidR="001F5992">
        <w:rPr>
          <w:snapToGrid/>
        </w:rPr>
        <w:t>b</w:t>
      </w:r>
      <w:r>
        <w:rPr>
          <w:snapToGrid/>
        </w:rPr>
        <w:t xml:space="preserve">uenas </w:t>
      </w:r>
      <w:r w:rsidR="001F5992">
        <w:rPr>
          <w:snapToGrid/>
        </w:rPr>
        <w:t>p</w:t>
      </w:r>
      <w:r>
        <w:rPr>
          <w:snapToGrid/>
        </w:rPr>
        <w:t xml:space="preserve">rácticas de </w:t>
      </w:r>
      <w:r w:rsidR="001F5992">
        <w:rPr>
          <w:snapToGrid/>
        </w:rPr>
        <w:t>s</w:t>
      </w:r>
      <w:r>
        <w:rPr>
          <w:snapToGrid/>
        </w:rPr>
        <w:t xml:space="preserve">alvaguardia, el Comité decidió utilizar esta partida para ofrecer asistencia técnica a los Estados Partes </w:t>
      </w:r>
      <w:r w:rsidR="001F5992">
        <w:rPr>
          <w:snapToGrid/>
        </w:rPr>
        <w:t>para</w:t>
      </w:r>
      <w:r>
        <w:rPr>
          <w:snapToGrid/>
        </w:rPr>
        <w:t xml:space="preserve"> la preparación de solicitudes de Asistencia Internacional (</w:t>
      </w:r>
      <w:hyperlink r:id="rId16" w:history="1">
        <w:r>
          <w:rPr>
            <w:rStyle w:val="Hyperlink"/>
          </w:rPr>
          <w:t>Decisión 8.COM 7c</w:t>
        </w:r>
      </w:hyperlink>
      <w:r>
        <w:rPr>
          <w:snapToGrid/>
        </w:rPr>
        <w:t xml:space="preserve">). Considerando que los Estados han solicitado más asistencia técnica que la tradicional Asistencia </w:t>
      </w:r>
      <w:r w:rsidR="001F5992">
        <w:rPr>
          <w:snapToGrid/>
        </w:rPr>
        <w:t>p</w:t>
      </w:r>
      <w:r>
        <w:rPr>
          <w:snapToGrid/>
        </w:rPr>
        <w:t>reparatoria, se propone que los fondos disponibles para esta partida sigan siendo utilizados p</w:t>
      </w:r>
      <w:r w:rsidR="001F5992">
        <w:rPr>
          <w:snapToGrid/>
        </w:rPr>
        <w:t>ara financiar</w:t>
      </w:r>
      <w:r>
        <w:rPr>
          <w:snapToGrid/>
        </w:rPr>
        <w:t xml:space="preserve"> el servicio de expertos, como se describe en el Artículo 21 de la Convención, para ayudar a los Estados Partes a desarrollar sus ideas y requerimientos de</w:t>
      </w:r>
      <w:r w:rsidR="001F5992">
        <w:rPr>
          <w:snapToGrid/>
        </w:rPr>
        <w:t>sde la redacción de</w:t>
      </w:r>
      <w:r>
        <w:rPr>
          <w:snapToGrid/>
        </w:rPr>
        <w:t xml:space="preserve"> una breve nota conceptual</w:t>
      </w:r>
      <w:r w:rsidR="001F5992">
        <w:rPr>
          <w:snapToGrid/>
        </w:rPr>
        <w:t xml:space="preserve"> a la presentación de </w:t>
      </w:r>
      <w:r>
        <w:rPr>
          <w:snapToGrid/>
        </w:rPr>
        <w:t>una solicitud</w:t>
      </w:r>
      <w:r w:rsidR="001F5992">
        <w:rPr>
          <w:snapToGrid/>
        </w:rPr>
        <w:t xml:space="preserve"> integral</w:t>
      </w:r>
      <w:r>
        <w:rPr>
          <w:snapToGrid/>
        </w:rPr>
        <w:t>.</w:t>
      </w:r>
    </w:p>
    <w:p w:rsidR="0068554E" w:rsidRPr="009C30D7" w:rsidRDefault="0068554E" w:rsidP="0068554E">
      <w:pPr>
        <w:pStyle w:val="5GAparabodytext"/>
        <w:keepNext/>
        <w:numPr>
          <w:ilvl w:val="0"/>
          <w:numId w:val="0"/>
        </w:numPr>
        <w:spacing w:before="240"/>
        <w:rPr>
          <w:b/>
          <w:bCs/>
        </w:rPr>
      </w:pPr>
      <w:r>
        <w:rPr>
          <w:b/>
          <w:snapToGrid/>
        </w:rPr>
        <w:t>«Otras funciones del Comité»</w:t>
      </w:r>
    </w:p>
    <w:p w:rsidR="0068554E" w:rsidRDefault="0068554E" w:rsidP="0068554E">
      <w:pPr>
        <w:pStyle w:val="5GAparabodytext"/>
        <w:ind w:left="567" w:hanging="567"/>
      </w:pPr>
      <w:r>
        <w:rPr>
          <w:b/>
          <w:snapToGrid/>
        </w:rPr>
        <w:t>La partida presupuestaria 3</w:t>
      </w:r>
      <w:r>
        <w:rPr>
          <w:snapToGrid/>
        </w:rPr>
        <w:t xml:space="preserve">, </w:t>
      </w:r>
      <w:r w:rsidR="00CD3039">
        <w:rPr>
          <w:snapToGrid/>
        </w:rPr>
        <w:t>“</w:t>
      </w:r>
      <w:r>
        <w:rPr>
          <w:snapToGrid/>
        </w:rPr>
        <w:t>otras funciones del Comité</w:t>
      </w:r>
      <w:r w:rsidR="00CD3039">
        <w:rPr>
          <w:snapToGrid/>
        </w:rPr>
        <w:t>”</w:t>
      </w:r>
      <w:r>
        <w:rPr>
          <w:snapToGrid/>
        </w:rPr>
        <w:t xml:space="preserve">, se mantendrá en el 20 %. Estas funciones se encuentran enumeradas en el Artículo 7 de la Convención y la Secretaría utiliza estos fondos para secundar al Comité en la ejecución de estas funciones, como lo indica el Artículo 10 de la Convención. Dicho de otra manera, estos fondos se utilizarán principalmente para promover los objetivos de la </w:t>
      </w:r>
      <w:r w:rsidR="001F5992">
        <w:rPr>
          <w:snapToGrid/>
        </w:rPr>
        <w:t>Convención,</w:t>
      </w:r>
      <w:r>
        <w:rPr>
          <w:snapToGrid/>
        </w:rPr>
        <w:t xml:space="preserve"> así como para fomentar y</w:t>
      </w:r>
      <w:r w:rsidR="001F5992">
        <w:rPr>
          <w:snapToGrid/>
        </w:rPr>
        <w:t xml:space="preserve"> dar</w:t>
      </w:r>
      <w:r>
        <w:rPr>
          <w:snapToGrid/>
        </w:rPr>
        <w:t xml:space="preserve"> segui</w:t>
      </w:r>
      <w:r w:rsidR="001F5992">
        <w:rPr>
          <w:snapToGrid/>
        </w:rPr>
        <w:t>miento a</w:t>
      </w:r>
      <w:r>
        <w:rPr>
          <w:snapToGrid/>
        </w:rPr>
        <w:t xml:space="preserve"> su aplicación (Artículo 7 [a]). Para tal fin, los fondos asignados a esta partida presupuestaria continuarán </w:t>
      </w:r>
      <w:r w:rsidR="00DA39C3">
        <w:rPr>
          <w:snapToGrid/>
        </w:rPr>
        <w:t xml:space="preserve">siendo </w:t>
      </w:r>
      <w:r>
        <w:rPr>
          <w:snapToGrid/>
        </w:rPr>
        <w:t>un apoyo esencial</w:t>
      </w:r>
      <w:r w:rsidR="00DA39C3">
        <w:rPr>
          <w:snapToGrid/>
        </w:rPr>
        <w:t xml:space="preserve"> para cubrir</w:t>
      </w:r>
      <w:r>
        <w:rPr>
          <w:snapToGrid/>
        </w:rPr>
        <w:t xml:space="preserve"> una serie de necesidades transversales del programa de fortalecimiento de las capacidades</w:t>
      </w:r>
      <w:r w:rsidR="00DA39C3">
        <w:rPr>
          <w:snapToGrid/>
        </w:rPr>
        <w:t xml:space="preserve"> y para cubrir</w:t>
      </w:r>
      <w:r>
        <w:rPr>
          <w:snapToGrid/>
        </w:rPr>
        <w:t xml:space="preserve"> la nueva iniciativa </w:t>
      </w:r>
      <w:r w:rsidR="00DA39C3">
        <w:rPr>
          <w:snapToGrid/>
        </w:rPr>
        <w:t>con el fin de</w:t>
      </w:r>
      <w:r>
        <w:rPr>
          <w:snapToGrid/>
        </w:rPr>
        <w:t xml:space="preserve"> </w:t>
      </w:r>
      <w:r>
        <w:rPr>
          <w:snapToGrid/>
        </w:rPr>
        <w:lastRenderedPageBreak/>
        <w:t>i</w:t>
      </w:r>
      <w:r w:rsidR="00DA39C3">
        <w:rPr>
          <w:snapToGrid/>
        </w:rPr>
        <w:t>ntegrar</w:t>
      </w:r>
      <w:r>
        <w:rPr>
          <w:snapToGrid/>
        </w:rPr>
        <w:t xml:space="preserve"> el patrimonio cultural inmaterial en la </w:t>
      </w:r>
      <w:r w:rsidR="00DA39C3">
        <w:rPr>
          <w:snapToGrid/>
        </w:rPr>
        <w:t>educación</w:t>
      </w:r>
      <w:r>
        <w:rPr>
          <w:snapToGrid/>
        </w:rPr>
        <w:t xml:space="preserve"> formal y no formal. De</w:t>
      </w:r>
      <w:r w:rsidR="00DA39C3">
        <w:rPr>
          <w:snapToGrid/>
        </w:rPr>
        <w:t xml:space="preserve"> igual manera</w:t>
      </w:r>
      <w:r>
        <w:rPr>
          <w:snapToGrid/>
        </w:rPr>
        <w:t>, esta partida presupuestaria será vital para</w:t>
      </w:r>
      <w:r w:rsidR="00DA39C3">
        <w:rPr>
          <w:snapToGrid/>
        </w:rPr>
        <w:t xml:space="preserve"> poder</w:t>
      </w:r>
      <w:r>
        <w:rPr>
          <w:snapToGrid/>
        </w:rPr>
        <w:t xml:space="preserve"> mejora</w:t>
      </w:r>
      <w:r w:rsidR="00DA39C3">
        <w:rPr>
          <w:snapToGrid/>
        </w:rPr>
        <w:t xml:space="preserve">r </w:t>
      </w:r>
      <w:r>
        <w:rPr>
          <w:snapToGrid/>
        </w:rPr>
        <w:t xml:space="preserve">la gestión del conocimiento, la </w:t>
      </w:r>
      <w:r w:rsidR="00DA39C3">
        <w:rPr>
          <w:snapToGrid/>
        </w:rPr>
        <w:t>comunicación</w:t>
      </w:r>
      <w:r>
        <w:rPr>
          <w:snapToGrid/>
        </w:rPr>
        <w:t xml:space="preserve"> y el seguimiento, incluyendo la página web de la Convención.</w:t>
      </w:r>
    </w:p>
    <w:p w:rsidR="0068554E" w:rsidRDefault="0068554E" w:rsidP="0068554E">
      <w:pPr>
        <w:pStyle w:val="5GAparabodytext"/>
        <w:ind w:left="567" w:hanging="567"/>
      </w:pPr>
      <w:r>
        <w:rPr>
          <w:snapToGrid/>
        </w:rPr>
        <w:t>Esta partida presupuestaria también se utilizará para apoyar la ampliación de la aplicación de la Convención tal como</w:t>
      </w:r>
      <w:r w:rsidR="00DA39C3">
        <w:rPr>
          <w:snapToGrid/>
        </w:rPr>
        <w:t xml:space="preserve"> lo</w:t>
      </w:r>
      <w:r>
        <w:rPr>
          <w:snapToGrid/>
        </w:rPr>
        <w:t xml:space="preserve"> solicitó el Comité. En particular, esto</w:t>
      </w:r>
      <w:r w:rsidR="00DA39C3">
        <w:rPr>
          <w:snapToGrid/>
        </w:rPr>
        <w:t xml:space="preserve"> se</w:t>
      </w:r>
      <w:r>
        <w:rPr>
          <w:snapToGrid/>
        </w:rPr>
        <w:t xml:space="preserve"> aplica a la continuación de</w:t>
      </w:r>
      <w:r w:rsidR="00DA39C3">
        <w:rPr>
          <w:snapToGrid/>
        </w:rPr>
        <w:t>l</w:t>
      </w:r>
      <w:r>
        <w:rPr>
          <w:snapToGrid/>
        </w:rPr>
        <w:t xml:space="preserve"> </w:t>
      </w:r>
      <w:r w:rsidR="00DA39C3">
        <w:rPr>
          <w:snapToGrid/>
        </w:rPr>
        <w:t>trabajo</w:t>
      </w:r>
      <w:r>
        <w:rPr>
          <w:snapToGrid/>
        </w:rPr>
        <w:t xml:space="preserve"> ya e</w:t>
      </w:r>
      <w:r w:rsidR="00DA39C3">
        <w:rPr>
          <w:snapToGrid/>
        </w:rPr>
        <w:t>n curso</w:t>
      </w:r>
      <w:r>
        <w:rPr>
          <w:snapToGrid/>
        </w:rPr>
        <w:t xml:space="preserve"> </w:t>
      </w:r>
      <w:r w:rsidR="00D51439">
        <w:rPr>
          <w:snapToGrid/>
        </w:rPr>
        <w:t>sobre e</w:t>
      </w:r>
      <w:r>
        <w:rPr>
          <w:snapToGrid/>
        </w:rPr>
        <w:t>l marco global de resultados para la Convención</w:t>
      </w:r>
      <w:r w:rsidR="00D51439">
        <w:rPr>
          <w:snapToGrid/>
        </w:rPr>
        <w:t xml:space="preserve">, </w:t>
      </w:r>
      <w:r>
        <w:rPr>
          <w:snapToGrid/>
        </w:rPr>
        <w:t>su puesta en funcionamiento,</w:t>
      </w:r>
      <w:r w:rsidR="00D51439">
        <w:rPr>
          <w:snapToGrid/>
        </w:rPr>
        <w:t xml:space="preserve"> a</w:t>
      </w:r>
      <w:r>
        <w:rPr>
          <w:snapToGrid/>
        </w:rPr>
        <w:t xml:space="preserve"> la reflexión sobre la participación de</w:t>
      </w:r>
      <w:r w:rsidR="00D51439">
        <w:rPr>
          <w:snapToGrid/>
        </w:rPr>
        <w:t xml:space="preserve"> las </w:t>
      </w:r>
      <w:r>
        <w:rPr>
          <w:snapToGrid/>
        </w:rPr>
        <w:t xml:space="preserve">ONG acreditadas </w:t>
      </w:r>
      <w:r w:rsidR="00D51439">
        <w:rPr>
          <w:snapToGrid/>
        </w:rPr>
        <w:t>en el marco de</w:t>
      </w:r>
      <w:r>
        <w:rPr>
          <w:snapToGrid/>
        </w:rPr>
        <w:t xml:space="preserve"> la Convención y</w:t>
      </w:r>
      <w:r w:rsidR="00D51439">
        <w:rPr>
          <w:snapToGrid/>
        </w:rPr>
        <w:t xml:space="preserve"> a</w:t>
      </w:r>
      <w:r>
        <w:rPr>
          <w:snapToGrid/>
        </w:rPr>
        <w:t xml:space="preserve"> la</w:t>
      </w:r>
      <w:r w:rsidR="00D51439">
        <w:rPr>
          <w:snapToGrid/>
        </w:rPr>
        <w:t>s discusiones</w:t>
      </w:r>
      <w:r>
        <w:rPr>
          <w:snapToGrid/>
        </w:rPr>
        <w:t xml:space="preserve"> temática</w:t>
      </w:r>
      <w:r w:rsidR="00D51439">
        <w:rPr>
          <w:snapToGrid/>
        </w:rPr>
        <w:t>s sobre</w:t>
      </w:r>
      <w:r>
        <w:rPr>
          <w:snapToGrid/>
        </w:rPr>
        <w:t xml:space="preserve"> </w:t>
      </w:r>
      <w:r w:rsidR="00D51439">
        <w:rPr>
          <w:snapToGrid/>
        </w:rPr>
        <w:t xml:space="preserve">el </w:t>
      </w:r>
      <w:r>
        <w:rPr>
          <w:snapToGrid/>
        </w:rPr>
        <w:t>patrimonio cultural inmaterial en situaciones de emergencia. Los fondos asignados a esta partida presupuestaria también contribuirán a desarrollar nuevas iniciativas</w:t>
      </w:r>
      <w:r w:rsidR="00D51439">
        <w:rPr>
          <w:snapToGrid/>
        </w:rPr>
        <w:t>,</w:t>
      </w:r>
      <w:r>
        <w:rPr>
          <w:snapToGrid/>
        </w:rPr>
        <w:t xml:space="preserve"> como la integración del patrimonio cultural inmaterial en l</w:t>
      </w:r>
      <w:r w:rsidR="00D51439">
        <w:rPr>
          <w:snapToGrid/>
        </w:rPr>
        <w:t>os planes</w:t>
      </w:r>
      <w:r>
        <w:rPr>
          <w:snapToGrid/>
        </w:rPr>
        <w:t xml:space="preserve"> de desarrollo a través de </w:t>
      </w:r>
      <w:r w:rsidR="00D51439">
        <w:rPr>
          <w:snapToGrid/>
        </w:rPr>
        <w:t>alianzas</w:t>
      </w:r>
      <w:r>
        <w:rPr>
          <w:snapToGrid/>
        </w:rPr>
        <w:t xml:space="preserve"> con instituciones educativas y</w:t>
      </w:r>
      <w:r w:rsidR="00D51439">
        <w:rPr>
          <w:snapToGrid/>
        </w:rPr>
        <w:t xml:space="preserve"> con</w:t>
      </w:r>
      <w:r>
        <w:rPr>
          <w:snapToGrid/>
        </w:rPr>
        <w:t xml:space="preserve"> la cooperación con otras agencias de las Naciones Unidas. Por último, estos fondos también se utilizarán para promocionar los objetivos de la Convención a través de las labores de sensibilización y divulgación.</w:t>
      </w:r>
    </w:p>
    <w:p w:rsidR="0068554E" w:rsidRDefault="0068554E" w:rsidP="0068554E">
      <w:pPr>
        <w:pStyle w:val="5GAparabodytext"/>
        <w:ind w:left="567" w:hanging="567"/>
      </w:pPr>
      <w:r>
        <w:rPr>
          <w:snapToGrid/>
        </w:rPr>
        <w:t xml:space="preserve">El Comité ha delegado de nuevo a su Mesa la autoridad de decidir sobre la utilización de los fondos asignados </w:t>
      </w:r>
      <w:r w:rsidR="00247C30">
        <w:rPr>
          <w:snapToGrid/>
        </w:rPr>
        <w:t>en</w:t>
      </w:r>
      <w:r>
        <w:rPr>
          <w:snapToGrid/>
        </w:rPr>
        <w:t xml:space="preserve"> la partida presupuestaria 3, sobre la base de propuestas concretas que </w:t>
      </w:r>
      <w:r w:rsidR="002D4565">
        <w:rPr>
          <w:snapToGrid/>
        </w:rPr>
        <w:t xml:space="preserve">sean </w:t>
      </w:r>
      <w:r>
        <w:rPr>
          <w:snapToGrid/>
        </w:rPr>
        <w:t>preparadas por la Secretaría (</w:t>
      </w:r>
      <w:hyperlink r:id="rId17" w:history="1">
        <w:r>
          <w:rPr>
            <w:rStyle w:val="Hyperlink"/>
          </w:rPr>
          <w:t>Decisión 12.COM 7</w:t>
        </w:r>
      </w:hyperlink>
      <w:r>
        <w:rPr>
          <w:snapToGrid/>
        </w:rPr>
        <w:t>). El plan de gastos detallado para este plan presupuestario estará disponible para la segunda reunión de la Mesa en la decimotercera reunión del Comité</w:t>
      </w:r>
      <w:r w:rsidR="002D4565">
        <w:rPr>
          <w:snapToGrid/>
        </w:rPr>
        <w:t>,</w:t>
      </w:r>
      <w:r>
        <w:rPr>
          <w:snapToGrid/>
        </w:rPr>
        <w:t xml:space="preserve"> programada para el 7 de junio de 2018. </w:t>
      </w:r>
      <w:r>
        <w:rPr>
          <w:rStyle w:val="hps"/>
        </w:rPr>
        <w:t>En la misma decisión, y de acuerdo con</w:t>
      </w:r>
      <w:r w:rsidR="002D4565">
        <w:rPr>
          <w:rStyle w:val="hps"/>
        </w:rPr>
        <w:t xml:space="preserve"> una práctica anterior,</w:t>
      </w:r>
      <w:r>
        <w:rPr>
          <w:rStyle w:val="hps"/>
        </w:rPr>
        <w:t xml:space="preserve"> </w:t>
      </w:r>
      <w:r>
        <w:rPr>
          <w:snapToGrid/>
        </w:rPr>
        <w:t>el Comité autorizó a la Secretaría a realizar transferencias entre actividades dentro de la partida presupuestaria 3</w:t>
      </w:r>
      <w:r w:rsidR="002D4565">
        <w:rPr>
          <w:snapToGrid/>
        </w:rPr>
        <w:t>,</w:t>
      </w:r>
      <w:r>
        <w:rPr>
          <w:snapToGrid/>
        </w:rPr>
        <w:t xml:space="preserve"> hasta un monto acumulativo equivalente al 2 % de la asignación total inicial que</w:t>
      </w:r>
      <w:r w:rsidR="002D4565">
        <w:rPr>
          <w:snapToGrid/>
        </w:rPr>
        <w:t xml:space="preserve"> sea propuesto</w:t>
      </w:r>
      <w:r>
        <w:rPr>
          <w:snapToGrid/>
        </w:rPr>
        <w:t xml:space="preserve"> a la Asamblea General.</w:t>
      </w:r>
      <w:r w:rsidR="002D4565">
        <w:rPr>
          <w:snapToGrid/>
        </w:rPr>
        <w:t xml:space="preserve"> Esta</w:t>
      </w:r>
      <w:r>
        <w:rPr>
          <w:snapToGrid/>
        </w:rPr>
        <w:t xml:space="preserve"> autorización </w:t>
      </w:r>
      <w:r w:rsidR="002D4565">
        <w:rPr>
          <w:snapToGrid/>
        </w:rPr>
        <w:t xml:space="preserve">se asemeja </w:t>
      </w:r>
      <w:r>
        <w:rPr>
          <w:snapToGrid/>
        </w:rPr>
        <w:t>a la de la Conferencia General en la que autoriza al Director General a</w:t>
      </w:r>
      <w:r w:rsidR="000F14E4">
        <w:rPr>
          <w:snapToGrid/>
        </w:rPr>
        <w:t xml:space="preserve"> poder</w:t>
      </w:r>
      <w:r>
        <w:rPr>
          <w:snapToGrid/>
        </w:rPr>
        <w:t xml:space="preserve"> realizar transferencias entre partidas de consignación del programa</w:t>
      </w:r>
      <w:r w:rsidR="00717BF1">
        <w:rPr>
          <w:snapToGrid/>
        </w:rPr>
        <w:t xml:space="preserve"> regular</w:t>
      </w:r>
      <w:r>
        <w:rPr>
          <w:snapToGrid/>
        </w:rPr>
        <w:t xml:space="preserve"> de la UNESCO hasta</w:t>
      </w:r>
      <w:r w:rsidR="000F14E4">
        <w:rPr>
          <w:snapToGrid/>
        </w:rPr>
        <w:t xml:space="preserve"> por</w:t>
      </w:r>
      <w:r>
        <w:rPr>
          <w:snapToGrid/>
        </w:rPr>
        <w:t xml:space="preserve"> un monto equivalente al 2 % de la asignación inicial.</w:t>
      </w:r>
    </w:p>
    <w:p w:rsidR="0068554E" w:rsidRPr="009C30D7" w:rsidRDefault="0068554E" w:rsidP="0068554E">
      <w:pPr>
        <w:pStyle w:val="5GAparabodytext"/>
        <w:keepNext/>
        <w:numPr>
          <w:ilvl w:val="0"/>
          <w:numId w:val="0"/>
        </w:numPr>
        <w:spacing w:before="240"/>
        <w:rPr>
          <w:b/>
          <w:bCs/>
        </w:rPr>
      </w:pPr>
      <w:r>
        <w:rPr>
          <w:b/>
          <w:snapToGrid/>
        </w:rPr>
        <w:t>Participación en las reuniones de los órganos rectores y asistencia al Comité</w:t>
      </w:r>
    </w:p>
    <w:p w:rsidR="0068554E" w:rsidRDefault="0068554E" w:rsidP="0068554E">
      <w:pPr>
        <w:pStyle w:val="5GAparabodytext"/>
        <w:ind w:left="567" w:hanging="567"/>
      </w:pPr>
      <w:r>
        <w:rPr>
          <w:snapToGrid/>
        </w:rPr>
        <w:t xml:space="preserve">La participación </w:t>
      </w:r>
      <w:r w:rsidR="000F14E4">
        <w:rPr>
          <w:snapToGrid/>
        </w:rPr>
        <w:t>de expertos del patrimonio cultural inmaterial a las reuniones estatutarias</w:t>
      </w:r>
      <w:r w:rsidR="00717BF1">
        <w:rPr>
          <w:snapToGrid/>
        </w:rPr>
        <w:t xml:space="preserve"> en representación de </w:t>
      </w:r>
      <w:r w:rsidR="000F14E4">
        <w:rPr>
          <w:snapToGrid/>
        </w:rPr>
        <w:t xml:space="preserve">los Estados Partes </w:t>
      </w:r>
      <w:r>
        <w:rPr>
          <w:snapToGrid/>
        </w:rPr>
        <w:t xml:space="preserve">en vías de desarrollo </w:t>
      </w:r>
      <w:r w:rsidR="000F14E4">
        <w:rPr>
          <w:snapToGrid/>
        </w:rPr>
        <w:t>se</w:t>
      </w:r>
      <w:r>
        <w:rPr>
          <w:snapToGrid/>
        </w:rPr>
        <w:t xml:space="preserve"> cub</w:t>
      </w:r>
      <w:r w:rsidR="000F14E4">
        <w:rPr>
          <w:snapToGrid/>
        </w:rPr>
        <w:t>re con</w:t>
      </w:r>
      <w:r>
        <w:rPr>
          <w:snapToGrid/>
        </w:rPr>
        <w:t xml:space="preserve"> la </w:t>
      </w:r>
      <w:r>
        <w:rPr>
          <w:b/>
          <w:snapToGrid/>
        </w:rPr>
        <w:t>partida presupuestaria 4</w:t>
      </w:r>
      <w:r w:rsidR="00717BF1">
        <w:rPr>
          <w:b/>
          <w:snapToGrid/>
        </w:rPr>
        <w:t xml:space="preserve">, </w:t>
      </w:r>
      <w:r w:rsidR="000F14E4">
        <w:rPr>
          <w:snapToGrid/>
        </w:rPr>
        <w:t>cuando</w:t>
      </w:r>
      <w:r w:rsidR="00717BF1">
        <w:rPr>
          <w:snapToGrid/>
        </w:rPr>
        <w:t xml:space="preserve"> estos</w:t>
      </w:r>
      <w:r>
        <w:rPr>
          <w:snapToGrid/>
        </w:rPr>
        <w:t xml:space="preserve"> son miembros del Comité o </w:t>
      </w:r>
      <w:r w:rsidR="000F14E4">
        <w:rPr>
          <w:snapToGrid/>
        </w:rPr>
        <w:t>con</w:t>
      </w:r>
      <w:r>
        <w:rPr>
          <w:snapToGrid/>
        </w:rPr>
        <w:t xml:space="preserve"> la </w:t>
      </w:r>
      <w:r>
        <w:rPr>
          <w:b/>
          <w:snapToGrid/>
        </w:rPr>
        <w:t xml:space="preserve">partida presupuestaria 5 </w:t>
      </w:r>
      <w:r>
        <w:rPr>
          <w:snapToGrid/>
        </w:rPr>
        <w:t xml:space="preserve">cuando no lo son. La participación </w:t>
      </w:r>
      <w:r w:rsidR="000F14E4">
        <w:rPr>
          <w:snapToGrid/>
        </w:rPr>
        <w:t>de expertos del patrimonio cultural inmaterial que representan a ONG acreditadas de países en vías de desarrollo</w:t>
      </w:r>
      <w:r w:rsidR="00717BF1">
        <w:rPr>
          <w:snapToGrid/>
        </w:rPr>
        <w:t>,</w:t>
      </w:r>
      <w:r w:rsidR="000F14E4">
        <w:rPr>
          <w:snapToGrid/>
        </w:rPr>
        <w:t xml:space="preserve"> a</w:t>
      </w:r>
      <w:r>
        <w:rPr>
          <w:snapToGrid/>
        </w:rPr>
        <w:t xml:space="preserve"> las reuniones del Comité</w:t>
      </w:r>
      <w:r w:rsidR="00717BF1">
        <w:rPr>
          <w:snapToGrid/>
        </w:rPr>
        <w:t>,</w:t>
      </w:r>
      <w:r>
        <w:rPr>
          <w:snapToGrid/>
        </w:rPr>
        <w:t xml:space="preserve"> </w:t>
      </w:r>
      <w:r w:rsidR="000F14E4">
        <w:rPr>
          <w:snapToGrid/>
        </w:rPr>
        <w:t>es</w:t>
      </w:r>
      <w:r>
        <w:rPr>
          <w:snapToGrid/>
        </w:rPr>
        <w:t xml:space="preserve"> cubierta por la </w:t>
      </w:r>
      <w:r>
        <w:rPr>
          <w:b/>
          <w:snapToGrid/>
        </w:rPr>
        <w:t>partida presupuestaria 6</w:t>
      </w:r>
      <w:r>
        <w:rPr>
          <w:snapToGrid/>
        </w:rPr>
        <w:t>. Teniendo en cuenta</w:t>
      </w:r>
      <w:r w:rsidR="000F14E4">
        <w:rPr>
          <w:snapToGrid/>
        </w:rPr>
        <w:t xml:space="preserve"> </w:t>
      </w:r>
      <w:r w:rsidR="00AA1D6E">
        <w:rPr>
          <w:snapToGrid/>
        </w:rPr>
        <w:t xml:space="preserve">la cantidad de </w:t>
      </w:r>
      <w:r w:rsidR="000F14E4">
        <w:rPr>
          <w:snapToGrid/>
        </w:rPr>
        <w:t>solicitudes</w:t>
      </w:r>
      <w:r w:rsidR="00AA1D6E">
        <w:rPr>
          <w:snapToGrid/>
        </w:rPr>
        <w:t xml:space="preserve"> en el</w:t>
      </w:r>
      <w:r>
        <w:rPr>
          <w:snapToGrid/>
        </w:rPr>
        <w:t xml:space="preserve"> pasad</w:t>
      </w:r>
      <w:r w:rsidR="00AA1D6E">
        <w:rPr>
          <w:snapToGrid/>
        </w:rPr>
        <w:t>o,</w:t>
      </w:r>
      <w:r>
        <w:rPr>
          <w:snapToGrid/>
        </w:rPr>
        <w:t xml:space="preserve"> para participar en las reuniones del Comité, se propone que se otorgue el 2 %, el 3,25 % y el 4 % respectivamente a las partidas mencionadas anteriormente.</w:t>
      </w:r>
    </w:p>
    <w:p w:rsidR="0068554E" w:rsidRPr="000C3818" w:rsidRDefault="00D00A2A" w:rsidP="0068554E">
      <w:pPr>
        <w:pStyle w:val="5GAparabodytext"/>
        <w:ind w:left="567" w:hanging="567"/>
      </w:pPr>
      <w:r>
        <w:rPr>
          <w:snapToGrid/>
        </w:rPr>
        <w:t>En</w:t>
      </w:r>
      <w:r w:rsidR="0068554E">
        <w:rPr>
          <w:snapToGrid/>
        </w:rPr>
        <w:t xml:space="preserve"> su última reunión (</w:t>
      </w:r>
      <w:hyperlink r:id="rId18" w:history="1">
        <w:r w:rsidR="0068554E">
          <w:rPr>
            <w:rStyle w:val="Hyperlink"/>
          </w:rPr>
          <w:t>Decisión 12.COM 7</w:t>
        </w:r>
      </w:hyperlink>
      <w:r w:rsidR="0068554E">
        <w:rPr>
          <w:snapToGrid/>
        </w:rPr>
        <w:t xml:space="preserve">), el Comité recomendó autorizar a la Secretaría para permitirle realizar transferencias entre las partidas presupuestarias 4, 5 y 6 de hasta el 30 % de su asignación total inicial. </w:t>
      </w:r>
      <w:r>
        <w:rPr>
          <w:snapToGrid/>
        </w:rPr>
        <w:t xml:space="preserve">Con el objetivo </w:t>
      </w:r>
      <w:r w:rsidR="00AA1D6E">
        <w:rPr>
          <w:snapToGrid/>
        </w:rPr>
        <w:t>de hacer</w:t>
      </w:r>
      <w:r>
        <w:rPr>
          <w:snapToGrid/>
        </w:rPr>
        <w:t xml:space="preserve"> un</w:t>
      </w:r>
      <w:r w:rsidR="0068554E">
        <w:rPr>
          <w:snapToGrid/>
        </w:rPr>
        <w:t xml:space="preserve"> mejor u</w:t>
      </w:r>
      <w:r w:rsidR="00AA1D6E">
        <w:rPr>
          <w:snapToGrid/>
        </w:rPr>
        <w:t>so</w:t>
      </w:r>
      <w:r w:rsidR="0068554E">
        <w:rPr>
          <w:snapToGrid/>
        </w:rPr>
        <w:t xml:space="preserve"> de los fondos</w:t>
      </w:r>
      <w:r w:rsidR="00AA1D6E">
        <w:rPr>
          <w:snapToGrid/>
        </w:rPr>
        <w:t>,</w:t>
      </w:r>
      <w:r>
        <w:rPr>
          <w:snapToGrid/>
        </w:rPr>
        <w:t xml:space="preserve"> </w:t>
      </w:r>
      <w:r w:rsidR="00AA1D6E">
        <w:rPr>
          <w:snapToGrid/>
        </w:rPr>
        <w:t>teniendo en cuenta</w:t>
      </w:r>
      <w:r w:rsidR="0068554E">
        <w:rPr>
          <w:snapToGrid/>
        </w:rPr>
        <w:t xml:space="preserve"> las necesidades de cada ciclo</w:t>
      </w:r>
      <w:r w:rsidR="00717BF1">
        <w:rPr>
          <w:snapToGrid/>
        </w:rPr>
        <w:t xml:space="preserve">, y </w:t>
      </w:r>
      <w:r w:rsidR="00AA1D6E">
        <w:rPr>
          <w:snapToGrid/>
        </w:rPr>
        <w:t>a fin de dar respuesta</w:t>
      </w:r>
      <w:r w:rsidR="0068554E">
        <w:rPr>
          <w:snapToGrid/>
        </w:rPr>
        <w:t xml:space="preserve"> a</w:t>
      </w:r>
      <w:r w:rsidR="00AA1D6E">
        <w:rPr>
          <w:snapToGrid/>
        </w:rPr>
        <w:t>l mayor número de</w:t>
      </w:r>
      <w:r w:rsidR="0068554E">
        <w:rPr>
          <w:snapToGrid/>
        </w:rPr>
        <w:t xml:space="preserve"> solicitudes financieras de asistencia posible</w:t>
      </w:r>
      <w:r>
        <w:rPr>
          <w:snapToGrid/>
        </w:rPr>
        <w:t>s</w:t>
      </w:r>
      <w:r w:rsidR="0068554E">
        <w:rPr>
          <w:snapToGrid/>
        </w:rPr>
        <w:t>. En la misma decisión, se solicitó a la Secretaría que informara por escrito al Comité y a la Asamblea General sobre los detalles y</w:t>
      </w:r>
      <w:r>
        <w:rPr>
          <w:snapToGrid/>
        </w:rPr>
        <w:t xml:space="preserve"> las</w:t>
      </w:r>
      <w:r w:rsidR="0068554E">
        <w:rPr>
          <w:snapToGrid/>
        </w:rPr>
        <w:t xml:space="preserve"> razones </w:t>
      </w:r>
      <w:r>
        <w:rPr>
          <w:snapToGrid/>
        </w:rPr>
        <w:t xml:space="preserve">de </w:t>
      </w:r>
      <w:r w:rsidR="0068554E">
        <w:rPr>
          <w:snapToGrid/>
        </w:rPr>
        <w:t>estas transferencias</w:t>
      </w:r>
      <w:r>
        <w:rPr>
          <w:snapToGrid/>
        </w:rPr>
        <w:t>,</w:t>
      </w:r>
      <w:r w:rsidR="0068554E">
        <w:rPr>
          <w:snapToGrid/>
        </w:rPr>
        <w:t xml:space="preserve"> en la reunión</w:t>
      </w:r>
      <w:r>
        <w:rPr>
          <w:snapToGrid/>
        </w:rPr>
        <w:t xml:space="preserve"> que siguiera</w:t>
      </w:r>
      <w:r w:rsidR="0068554E">
        <w:rPr>
          <w:snapToGrid/>
        </w:rPr>
        <w:t xml:space="preserve"> a esas operaciones.</w:t>
      </w:r>
    </w:p>
    <w:p w:rsidR="0068554E" w:rsidRDefault="0068554E" w:rsidP="0068554E">
      <w:pPr>
        <w:pStyle w:val="5GAparabodytext"/>
        <w:ind w:left="567" w:hanging="567"/>
      </w:pPr>
      <w:r>
        <w:rPr>
          <w:snapToGrid/>
        </w:rPr>
        <w:t xml:space="preserve">La </w:t>
      </w:r>
      <w:r>
        <w:rPr>
          <w:b/>
          <w:snapToGrid/>
        </w:rPr>
        <w:t>partida presupuestaria 7</w:t>
      </w:r>
      <w:r>
        <w:rPr>
          <w:snapToGrid/>
        </w:rPr>
        <w:t xml:space="preserve"> cubre los costes de los servicios </w:t>
      </w:r>
      <w:r w:rsidR="00D00A2A">
        <w:rPr>
          <w:snapToGrid/>
        </w:rPr>
        <w:t>consultivos</w:t>
      </w:r>
      <w:r>
        <w:rPr>
          <w:snapToGrid/>
        </w:rPr>
        <w:t xml:space="preserve"> proporcionados </w:t>
      </w:r>
      <w:r w:rsidR="00D00A2A">
        <w:rPr>
          <w:snapToGrid/>
        </w:rPr>
        <w:t xml:space="preserve">solicitados por </w:t>
      </w:r>
      <w:r>
        <w:rPr>
          <w:snapToGrid/>
        </w:rPr>
        <w:t xml:space="preserve">el Comité. Se propone que esta partida se mantenga en </w:t>
      </w:r>
      <w:r w:rsidR="00D00A2A">
        <w:rPr>
          <w:snapToGrid/>
        </w:rPr>
        <w:t>un</w:t>
      </w:r>
      <w:r>
        <w:rPr>
          <w:snapToGrid/>
        </w:rPr>
        <w:t xml:space="preserve"> 6 % dado que la asignación aprobada en el ejercicio 38 C/5 </w:t>
      </w:r>
      <w:r w:rsidR="00D00A2A">
        <w:rPr>
          <w:snapToGrid/>
        </w:rPr>
        <w:t>fue</w:t>
      </w:r>
      <w:r>
        <w:rPr>
          <w:snapToGrid/>
        </w:rPr>
        <w:t xml:space="preserve"> suficiente para cubrir los costes asociados.</w:t>
      </w:r>
    </w:p>
    <w:p w:rsidR="0068554E" w:rsidRDefault="0068554E" w:rsidP="0068554E">
      <w:pPr>
        <w:pStyle w:val="5GAparabodytext"/>
        <w:keepNext/>
        <w:numPr>
          <w:ilvl w:val="0"/>
          <w:numId w:val="0"/>
        </w:numPr>
        <w:spacing w:before="240"/>
      </w:pPr>
      <w:r>
        <w:rPr>
          <w:b/>
          <w:snapToGrid/>
        </w:rPr>
        <w:t>Fondo de Reserva</w:t>
      </w:r>
    </w:p>
    <w:p w:rsidR="0068554E" w:rsidRDefault="0068554E" w:rsidP="000264F8">
      <w:pPr>
        <w:pStyle w:val="5GAparabodytext"/>
        <w:ind w:left="567" w:hanging="567"/>
      </w:pPr>
      <w:r>
        <w:rPr>
          <w:snapToGrid/>
        </w:rPr>
        <w:t xml:space="preserve">El Reglamento Financiero del Fondo del Patrimonio Cultural Inmaterial estipula la creación de un </w:t>
      </w:r>
      <w:r>
        <w:rPr>
          <w:b/>
          <w:snapToGrid/>
        </w:rPr>
        <w:t>Fondo de Reserva</w:t>
      </w:r>
      <w:r>
        <w:rPr>
          <w:snapToGrid/>
        </w:rPr>
        <w:t xml:space="preserve"> para responder a las solicitudes de asistencia urgentes, como lo prevé el Artículo 22.2 de la Convención. Durante el último bienio, la asignación total del Fondo de Reserva alcanzó la cantidad de 1</w:t>
      </w:r>
      <w:r w:rsidR="00D00A2A">
        <w:rPr>
          <w:snapToGrid/>
        </w:rPr>
        <w:t>,</w:t>
      </w:r>
      <w:r>
        <w:rPr>
          <w:snapToGrid/>
        </w:rPr>
        <w:t>000.000</w:t>
      </w:r>
      <w:r w:rsidR="00035F24">
        <w:rPr>
          <w:snapToGrid/>
        </w:rPr>
        <w:t xml:space="preserve"> dólares</w:t>
      </w:r>
      <w:r w:rsidR="00D00A2A">
        <w:rPr>
          <w:snapToGrid/>
        </w:rPr>
        <w:t xml:space="preserve"> americanos</w:t>
      </w:r>
      <w:r>
        <w:rPr>
          <w:snapToGrid/>
        </w:rPr>
        <w:t>,</w:t>
      </w:r>
      <w:r w:rsidR="000D5214">
        <w:rPr>
          <w:snapToGrid/>
        </w:rPr>
        <w:t xml:space="preserve"> alcanzando</w:t>
      </w:r>
      <w:r>
        <w:rPr>
          <w:snapToGrid/>
        </w:rPr>
        <w:t xml:space="preserve"> de esta manera el objetivo establecido por el Comité (</w:t>
      </w:r>
      <w:hyperlink r:id="rId19" w:history="1">
        <w:r>
          <w:rPr>
            <w:rStyle w:val="Hyperlink"/>
          </w:rPr>
          <w:t>Decisión 10.COM 8</w:t>
        </w:r>
      </w:hyperlink>
      <w:r w:rsidRPr="000264F8">
        <w:rPr>
          <w:rStyle w:val="Hyperlink"/>
          <w:color w:val="000000"/>
          <w:u w:val="none"/>
        </w:rPr>
        <w:t xml:space="preserve"> y la </w:t>
      </w:r>
      <w:hyperlink r:id="rId20" w:history="1">
        <w:r>
          <w:rPr>
            <w:rStyle w:val="Hyperlink"/>
          </w:rPr>
          <w:t>Resolución 6.GA 9</w:t>
        </w:r>
      </w:hyperlink>
      <w:r>
        <w:rPr>
          <w:snapToGrid/>
        </w:rPr>
        <w:t>). Considerando que esta reserva será utilizada</w:t>
      </w:r>
      <w:r w:rsidR="000D5214">
        <w:rPr>
          <w:snapToGrid/>
        </w:rPr>
        <w:t xml:space="preserve"> para las solicitudes </w:t>
      </w:r>
      <w:r>
        <w:rPr>
          <w:snapToGrid/>
        </w:rPr>
        <w:t xml:space="preserve">de asistencia urgente </w:t>
      </w:r>
      <w:r>
        <w:rPr>
          <w:i/>
          <w:snapToGrid/>
        </w:rPr>
        <w:lastRenderedPageBreak/>
        <w:t>únicamente</w:t>
      </w:r>
      <w:r>
        <w:rPr>
          <w:snapToGrid/>
        </w:rPr>
        <w:t xml:space="preserve"> cuando</w:t>
      </w:r>
      <w:r w:rsidR="000D5214">
        <w:rPr>
          <w:snapToGrid/>
        </w:rPr>
        <w:t xml:space="preserve"> no se cuente con </w:t>
      </w:r>
      <w:r>
        <w:rPr>
          <w:snapToGrid/>
        </w:rPr>
        <w:t>fondos</w:t>
      </w:r>
      <w:r w:rsidR="000D5214">
        <w:rPr>
          <w:snapToGrid/>
        </w:rPr>
        <w:t xml:space="preserve"> disponibles en</w:t>
      </w:r>
      <w:r>
        <w:rPr>
          <w:snapToGrid/>
        </w:rPr>
        <w:t xml:space="preserve"> la partida presupuestaria 1, se propone que en esta ocasión no se asigne ningún presupuesto a la </w:t>
      </w:r>
      <w:r>
        <w:rPr>
          <w:b/>
          <w:snapToGrid/>
        </w:rPr>
        <w:t>partida presupuestaria</w:t>
      </w:r>
      <w:r w:rsidR="000264F8" w:rsidRPr="000264F8">
        <w:rPr>
          <w:b/>
          <w:snapToGrid/>
        </w:rPr>
        <w:t> </w:t>
      </w:r>
      <w:r>
        <w:rPr>
          <w:b/>
          <w:snapToGrid/>
        </w:rPr>
        <w:t>8</w:t>
      </w:r>
      <w:r>
        <w:rPr>
          <w:snapToGrid/>
        </w:rPr>
        <w:t>.</w:t>
      </w:r>
    </w:p>
    <w:p w:rsidR="0068554E" w:rsidRPr="004D5962" w:rsidRDefault="0068554E" w:rsidP="0068554E">
      <w:pPr>
        <w:pStyle w:val="5GAparabodytext"/>
        <w:keepNext/>
        <w:numPr>
          <w:ilvl w:val="0"/>
          <w:numId w:val="0"/>
        </w:numPr>
        <w:spacing w:before="240"/>
        <w:rPr>
          <w:b/>
        </w:rPr>
      </w:pPr>
      <w:r w:rsidRPr="00035F24">
        <w:rPr>
          <w:b/>
          <w:snapToGrid/>
        </w:rPr>
        <w:t>Contribuciones asignadas</w:t>
      </w:r>
    </w:p>
    <w:p w:rsidR="0068554E" w:rsidRPr="005D5710" w:rsidRDefault="0068554E" w:rsidP="000264F8">
      <w:pPr>
        <w:pStyle w:val="5GAparabodytext"/>
        <w:ind w:left="567" w:hanging="567"/>
      </w:pPr>
      <w:r>
        <w:rPr>
          <w:snapToGrid/>
        </w:rPr>
        <w:t xml:space="preserve">En el momento de redactarse este documento, los </w:t>
      </w:r>
      <w:r w:rsidRPr="000264F8">
        <w:rPr>
          <w:snapToGrid/>
        </w:rPr>
        <w:t>177 Estados</w:t>
      </w:r>
      <w:r>
        <w:rPr>
          <w:snapToGrid/>
        </w:rPr>
        <w:t xml:space="preserve"> Partes de la Convención representan 6</w:t>
      </w:r>
      <w:r w:rsidR="000264F8">
        <w:rPr>
          <w:snapToGrid/>
        </w:rPr>
        <w:t>4</w:t>
      </w:r>
      <w:r>
        <w:rPr>
          <w:snapToGrid/>
        </w:rPr>
        <w:t xml:space="preserve"> % de todas las contribuciones asignadas al presupuesto ordinario de la UNESCO, con los índices para las contribuciones asignadas a la Convención fijados al 1 % de cada contribución estatal al presupuesto ordinario de la UNESCO. En lo que respecta al bienio anterior, el Fondo recibirá aproximadamente 3,9 millones de dólares</w:t>
      </w:r>
      <w:r w:rsidR="00035F24">
        <w:rPr>
          <w:snapToGrid/>
        </w:rPr>
        <w:t xml:space="preserve"> americanos</w:t>
      </w:r>
      <w:r>
        <w:rPr>
          <w:snapToGrid/>
        </w:rPr>
        <w:t xml:space="preserve"> en contribuciones asignadas de los Estados Partes en 2018-2019 (3,6 millones de dólares</w:t>
      </w:r>
      <w:r w:rsidR="00035F24">
        <w:rPr>
          <w:snapToGrid/>
        </w:rPr>
        <w:t xml:space="preserve"> americanos</w:t>
      </w:r>
      <w:r>
        <w:rPr>
          <w:snapToGrid/>
        </w:rPr>
        <w:t xml:space="preserve"> en contribuciones obligatorias y 0,3 millones de dólares</w:t>
      </w:r>
      <w:r w:rsidR="00035F24">
        <w:rPr>
          <w:snapToGrid/>
        </w:rPr>
        <w:t xml:space="preserve"> americanos</w:t>
      </w:r>
      <w:r>
        <w:rPr>
          <w:snapToGrid/>
        </w:rPr>
        <w:t xml:space="preserve"> en contribuciones voluntarias asignadas). Es preciso señalar </w:t>
      </w:r>
      <w:proofErr w:type="gramStart"/>
      <w:r>
        <w:rPr>
          <w:snapToGrid/>
        </w:rPr>
        <w:t>que</w:t>
      </w:r>
      <w:proofErr w:type="gramEnd"/>
      <w:r>
        <w:rPr>
          <w:snapToGrid/>
        </w:rPr>
        <w:t xml:space="preserve"> según el último informe elaborado por la Oficina de Gestión Financiera, una cantidad total de 435.243</w:t>
      </w:r>
      <w:r w:rsidR="009A60D4">
        <w:rPr>
          <w:snapToGrid/>
        </w:rPr>
        <w:t xml:space="preserve"> </w:t>
      </w:r>
      <w:r w:rsidR="00035F24">
        <w:rPr>
          <w:snapToGrid/>
        </w:rPr>
        <w:t xml:space="preserve">dólares </w:t>
      </w:r>
      <w:r w:rsidR="009A60D4">
        <w:rPr>
          <w:snapToGrid/>
        </w:rPr>
        <w:t>americanos</w:t>
      </w:r>
      <w:r>
        <w:rPr>
          <w:snapToGrid/>
        </w:rPr>
        <w:t xml:space="preserve"> de las contribuciones asignadas para años anteriores a 2018 sigue sin ser abonada (31 de marzo de 2018). Esta cantidad representa el 24 % de la cantidad total para 2018.</w:t>
      </w:r>
    </w:p>
    <w:p w:rsidR="0068554E" w:rsidRDefault="0068554E" w:rsidP="0068554E">
      <w:pPr>
        <w:pStyle w:val="5GAparabodytext"/>
        <w:ind w:left="567" w:hanging="567"/>
      </w:pPr>
      <w:r>
        <w:rPr>
          <w:snapToGrid/>
        </w:rPr>
        <w:t>La Asamblea General podría aprobar la siguiente resolución:</w:t>
      </w:r>
    </w:p>
    <w:p w:rsidR="0068554E" w:rsidRPr="000C3818" w:rsidRDefault="0068554E" w:rsidP="0068554E">
      <w:pPr>
        <w:pStyle w:val="5GATitleResolution"/>
      </w:pPr>
      <w:r>
        <w:t>PROYECTO DE RESOLUCIÓN 7.GA 8</w:t>
      </w:r>
    </w:p>
    <w:p w:rsidR="0068554E" w:rsidRPr="000C3818" w:rsidRDefault="0068554E" w:rsidP="0068554E">
      <w:pPr>
        <w:pStyle w:val="5GAPreambulaResolution"/>
      </w:pPr>
      <w:r>
        <w:t>La Asamblea General,</w:t>
      </w:r>
    </w:p>
    <w:p w:rsidR="0068554E" w:rsidRPr="00C24505" w:rsidRDefault="0068554E" w:rsidP="0068554E">
      <w:pPr>
        <w:pStyle w:val="ListParagraph"/>
        <w:keepNext/>
        <w:numPr>
          <w:ilvl w:val="0"/>
          <w:numId w:val="23"/>
        </w:numPr>
        <w:autoSpaceDE w:val="0"/>
        <w:autoSpaceDN w:val="0"/>
        <w:adjustRightInd w:val="0"/>
        <w:spacing w:before="120" w:after="120"/>
        <w:ind w:left="1140" w:hanging="573"/>
        <w:contextualSpacing w:val="0"/>
        <w:jc w:val="both"/>
        <w:rPr>
          <w:rFonts w:ascii="Arial" w:hAnsi="Arial" w:cs="Arial"/>
          <w:sz w:val="22"/>
          <w:szCs w:val="22"/>
        </w:rPr>
      </w:pPr>
      <w:r>
        <w:rPr>
          <w:rFonts w:ascii="Arial" w:hAnsi="Arial"/>
          <w:sz w:val="22"/>
          <w:u w:val="single"/>
        </w:rPr>
        <w:t>Habiendo examinado</w:t>
      </w:r>
      <w:r>
        <w:rPr>
          <w:rFonts w:ascii="Arial" w:hAnsi="Arial"/>
          <w:sz w:val="22"/>
        </w:rPr>
        <w:t xml:space="preserve"> los Documentos ITH/18/7.GA/8 y ITH/18/7.GA/INF.8,</w:t>
      </w:r>
    </w:p>
    <w:p w:rsidR="0068554E" w:rsidRPr="00C24505" w:rsidRDefault="0068554E" w:rsidP="0068554E">
      <w:pPr>
        <w:pStyle w:val="ListParagraph"/>
        <w:numPr>
          <w:ilvl w:val="0"/>
          <w:numId w:val="23"/>
        </w:numPr>
        <w:autoSpaceDE w:val="0"/>
        <w:autoSpaceDN w:val="0"/>
        <w:adjustRightInd w:val="0"/>
        <w:spacing w:before="120" w:after="120"/>
        <w:ind w:left="1140" w:hanging="573"/>
        <w:contextualSpacing w:val="0"/>
        <w:jc w:val="both"/>
        <w:rPr>
          <w:rFonts w:ascii="Arial" w:hAnsi="Arial" w:cs="Arial"/>
          <w:sz w:val="22"/>
          <w:szCs w:val="22"/>
        </w:rPr>
      </w:pPr>
      <w:r>
        <w:rPr>
          <w:rFonts w:ascii="Arial" w:hAnsi="Arial"/>
          <w:sz w:val="22"/>
          <w:u w:val="single"/>
        </w:rPr>
        <w:t>Recordando</w:t>
      </w:r>
      <w:r>
        <w:rPr>
          <w:rFonts w:ascii="Arial" w:hAnsi="Arial"/>
          <w:sz w:val="22"/>
        </w:rPr>
        <w:t xml:space="preserve"> el Artículo 7(c) de la Convención y los párrafos 66 y 67 de las Directrices Operativas,</w:t>
      </w:r>
    </w:p>
    <w:p w:rsidR="0068554E" w:rsidRPr="004D5962" w:rsidRDefault="0068554E" w:rsidP="0068554E">
      <w:pPr>
        <w:pStyle w:val="COMParaDecision"/>
        <w:numPr>
          <w:ilvl w:val="0"/>
          <w:numId w:val="23"/>
        </w:numPr>
      </w:pPr>
      <w:r>
        <w:t>Tomando nota</w:t>
      </w:r>
      <w:r>
        <w:rPr>
          <w:u w:val="none"/>
        </w:rPr>
        <w:t xml:space="preserve"> de la </w:t>
      </w:r>
      <w:r w:rsidR="009A60D4">
        <w:rPr>
          <w:u w:val="none"/>
        </w:rPr>
        <w:t>continua</w:t>
      </w:r>
      <w:r>
        <w:rPr>
          <w:u w:val="none"/>
        </w:rPr>
        <w:t xml:space="preserve"> infrautilización del Fondo del Patrimonio Cultural Inmaterial y en particular en relación a la Asistencia Internacional,</w:t>
      </w:r>
    </w:p>
    <w:p w:rsidR="0068554E" w:rsidRPr="004D5962" w:rsidRDefault="0068554E" w:rsidP="00374EDF">
      <w:pPr>
        <w:pStyle w:val="COMParaDecision"/>
        <w:numPr>
          <w:ilvl w:val="0"/>
          <w:numId w:val="23"/>
        </w:numPr>
      </w:pPr>
      <w:r>
        <w:t>Reconoce</w:t>
      </w:r>
      <w:r>
        <w:rPr>
          <w:u w:val="none"/>
        </w:rPr>
        <w:t xml:space="preserve"> la necesidad de </w:t>
      </w:r>
      <w:r w:rsidR="009A60D4">
        <w:rPr>
          <w:u w:val="none"/>
        </w:rPr>
        <w:t>reforzar</w:t>
      </w:r>
      <w:r>
        <w:rPr>
          <w:u w:val="none"/>
        </w:rPr>
        <w:t xml:space="preserve"> los recursos humanos de la Secretaría para la aplicación de los mecanismos de Asistencia Internacional del Fondo,</w:t>
      </w:r>
      <w:r w:rsidR="009A60D4">
        <w:rPr>
          <w:u w:val="none"/>
        </w:rPr>
        <w:t xml:space="preserve"> así como</w:t>
      </w:r>
      <w:r>
        <w:rPr>
          <w:u w:val="none"/>
        </w:rPr>
        <w:t xml:space="preserve"> su seguimiento efectivo, y </w:t>
      </w:r>
      <w:r>
        <w:t>acoge</w:t>
      </w:r>
      <w:r>
        <w:rPr>
          <w:u w:val="none"/>
        </w:rPr>
        <w:t xml:space="preserve"> la propuesta para la creación de tres nuevos puestos extrapresupuestarios </w:t>
      </w:r>
      <w:r w:rsidR="00374EDF" w:rsidRPr="00374EDF">
        <w:rPr>
          <w:u w:val="none"/>
        </w:rPr>
        <w:t>de plazo fijo</w:t>
      </w:r>
      <w:r w:rsidRPr="00374EDF">
        <w:rPr>
          <w:u w:val="none"/>
        </w:rPr>
        <w:t>,</w:t>
      </w:r>
    </w:p>
    <w:p w:rsidR="0068554E" w:rsidRPr="00C24505" w:rsidRDefault="0068554E" w:rsidP="0068554E">
      <w:pPr>
        <w:pStyle w:val="COMParaDecision"/>
        <w:numPr>
          <w:ilvl w:val="0"/>
          <w:numId w:val="23"/>
        </w:numPr>
      </w:pPr>
      <w:r>
        <w:t>Solicita</w:t>
      </w:r>
      <w:r>
        <w:rPr>
          <w:u w:val="none"/>
        </w:rPr>
        <w:t xml:space="preserve"> a la Secretaría que inicie, </w:t>
      </w:r>
      <w:r w:rsidR="00EE3781">
        <w:rPr>
          <w:u w:val="none"/>
        </w:rPr>
        <w:t>lo antes</w:t>
      </w:r>
      <w:r>
        <w:rPr>
          <w:u w:val="none"/>
        </w:rPr>
        <w:t xml:space="preserve"> posible, el proce</w:t>
      </w:r>
      <w:r w:rsidR="000F77FB">
        <w:rPr>
          <w:u w:val="none"/>
        </w:rPr>
        <w:t>so</w:t>
      </w:r>
      <w:r>
        <w:rPr>
          <w:u w:val="none"/>
        </w:rPr>
        <w:t xml:space="preserve"> de </w:t>
      </w:r>
      <w:r w:rsidR="000F77FB">
        <w:rPr>
          <w:u w:val="none"/>
        </w:rPr>
        <w:t>reclutamiento</w:t>
      </w:r>
      <w:r>
        <w:rPr>
          <w:u w:val="none"/>
        </w:rPr>
        <w:t xml:space="preserve"> para estos tres puestos con el fin de crear un equipo para poner en marcha la aplicación de los mecanismos de Asistencia Internacional;</w:t>
      </w:r>
    </w:p>
    <w:p w:rsidR="0068554E" w:rsidRPr="00C24505" w:rsidRDefault="0068554E" w:rsidP="0068554E">
      <w:pPr>
        <w:pStyle w:val="ListParagraph"/>
        <w:numPr>
          <w:ilvl w:val="0"/>
          <w:numId w:val="23"/>
        </w:numPr>
        <w:autoSpaceDE w:val="0"/>
        <w:autoSpaceDN w:val="0"/>
        <w:adjustRightInd w:val="0"/>
        <w:spacing w:before="120" w:after="120"/>
        <w:ind w:left="1140" w:hanging="573"/>
        <w:contextualSpacing w:val="0"/>
        <w:jc w:val="both"/>
        <w:rPr>
          <w:rFonts w:ascii="Arial" w:hAnsi="Arial" w:cs="Arial"/>
          <w:sz w:val="22"/>
          <w:szCs w:val="22"/>
        </w:rPr>
      </w:pPr>
      <w:r>
        <w:rPr>
          <w:rFonts w:ascii="Arial" w:hAnsi="Arial"/>
          <w:sz w:val="22"/>
          <w:u w:val="single"/>
        </w:rPr>
        <w:t>Aprueba</w:t>
      </w:r>
      <w:r>
        <w:rPr>
          <w:rFonts w:ascii="Arial" w:hAnsi="Arial"/>
          <w:sz w:val="22"/>
        </w:rPr>
        <w:t xml:space="preserve"> el Plan para el uso de recursos del Fondo para el período del 1 de enero de 2018 al 31 de diciembre de 2019 así como para el período del 1 de enero de 2020 al 30 de junio de 2020 en el Anexo de esta Resolución;</w:t>
      </w:r>
    </w:p>
    <w:p w:rsidR="0068554E" w:rsidRDefault="0068554E" w:rsidP="0068554E">
      <w:pPr>
        <w:pStyle w:val="ListParagraph"/>
        <w:numPr>
          <w:ilvl w:val="0"/>
          <w:numId w:val="23"/>
        </w:numPr>
        <w:autoSpaceDE w:val="0"/>
        <w:autoSpaceDN w:val="0"/>
        <w:adjustRightInd w:val="0"/>
        <w:spacing w:before="120" w:after="120"/>
        <w:ind w:left="1140" w:hanging="573"/>
        <w:contextualSpacing w:val="0"/>
        <w:jc w:val="both"/>
        <w:rPr>
          <w:rFonts w:ascii="Arial" w:hAnsi="Arial" w:cs="Arial"/>
          <w:sz w:val="22"/>
          <w:szCs w:val="22"/>
        </w:rPr>
      </w:pPr>
      <w:r>
        <w:rPr>
          <w:rFonts w:ascii="Arial" w:hAnsi="Arial"/>
          <w:sz w:val="22"/>
          <w:u w:val="single"/>
        </w:rPr>
        <w:t>Comprende</w:t>
      </w:r>
      <w:r>
        <w:rPr>
          <w:rFonts w:ascii="Arial" w:hAnsi="Arial"/>
          <w:sz w:val="22"/>
        </w:rPr>
        <w:t xml:space="preserve"> </w:t>
      </w:r>
      <w:r w:rsidR="000F77FB">
        <w:rPr>
          <w:rFonts w:ascii="Arial" w:hAnsi="Arial"/>
          <w:sz w:val="22"/>
        </w:rPr>
        <w:t>que,</w:t>
      </w:r>
      <w:r>
        <w:rPr>
          <w:rFonts w:ascii="Arial" w:hAnsi="Arial"/>
          <w:sz w:val="22"/>
        </w:rPr>
        <w:t xml:space="preserve"> en su octava reunión en junio de 2020, podr</w:t>
      </w:r>
      <w:r w:rsidR="000F77FB">
        <w:rPr>
          <w:rFonts w:ascii="Arial" w:hAnsi="Arial"/>
          <w:sz w:val="22"/>
        </w:rPr>
        <w:t>ía</w:t>
      </w:r>
      <w:r>
        <w:rPr>
          <w:rFonts w:ascii="Arial" w:hAnsi="Arial"/>
          <w:sz w:val="22"/>
        </w:rPr>
        <w:t xml:space="preserve"> adaptar el plan presupuestario del 1 de enero de 2020 al 30 de junio de 2020.</w:t>
      </w:r>
    </w:p>
    <w:p w:rsidR="0068554E" w:rsidRPr="00BF3230" w:rsidRDefault="0068554E" w:rsidP="0068554E">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u w:val="single"/>
        </w:rPr>
        <w:t>Autoriza</w:t>
      </w:r>
      <w:r>
        <w:rPr>
          <w:rFonts w:ascii="Arial" w:hAnsi="Arial"/>
          <w:sz w:val="22"/>
        </w:rPr>
        <w:t xml:space="preserve"> al Comité a utilizar inmediatamente todas las contribuciones voluntarias complementarias que</w:t>
      </w:r>
      <w:r w:rsidR="008F61DB">
        <w:rPr>
          <w:rFonts w:ascii="Arial" w:hAnsi="Arial"/>
          <w:sz w:val="22"/>
        </w:rPr>
        <w:t xml:space="preserve"> se</w:t>
      </w:r>
      <w:r>
        <w:rPr>
          <w:rFonts w:ascii="Arial" w:hAnsi="Arial"/>
          <w:sz w:val="22"/>
        </w:rPr>
        <w:t xml:space="preserve"> recib</w:t>
      </w:r>
      <w:r w:rsidR="008F61DB">
        <w:rPr>
          <w:rFonts w:ascii="Arial" w:hAnsi="Arial"/>
          <w:sz w:val="22"/>
        </w:rPr>
        <w:t>an</w:t>
      </w:r>
      <w:r>
        <w:rPr>
          <w:rFonts w:ascii="Arial" w:hAnsi="Arial"/>
          <w:sz w:val="22"/>
        </w:rPr>
        <w:t xml:space="preserve"> </w:t>
      </w:r>
      <w:r w:rsidR="008F61DB">
        <w:rPr>
          <w:rFonts w:ascii="Arial" w:hAnsi="Arial"/>
          <w:sz w:val="22"/>
        </w:rPr>
        <w:t>en</w:t>
      </w:r>
      <w:r>
        <w:rPr>
          <w:rFonts w:ascii="Arial" w:hAnsi="Arial"/>
          <w:sz w:val="22"/>
        </w:rPr>
        <w:t xml:space="preserve"> esos periodos, como se indica en el Artículo 27 de la Convención, de acuerdo con los porcentajes establecidos en el Plan;</w:t>
      </w:r>
    </w:p>
    <w:p w:rsidR="0068554E" w:rsidRPr="00BF3230" w:rsidRDefault="0068554E" w:rsidP="0068554E">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u w:val="single"/>
        </w:rPr>
        <w:t>Autoriza además</w:t>
      </w:r>
      <w:r>
        <w:rPr>
          <w:rFonts w:ascii="Arial" w:hAnsi="Arial"/>
          <w:sz w:val="22"/>
        </w:rPr>
        <w:t xml:space="preserve"> al Comité a utilizar inmediatamente todas las contribuciones que pueda aceptar</w:t>
      </w:r>
      <w:r w:rsidR="00E33E6B">
        <w:rPr>
          <w:rFonts w:ascii="Arial" w:hAnsi="Arial"/>
          <w:sz w:val="22"/>
        </w:rPr>
        <w:t>,</w:t>
      </w:r>
      <w:r>
        <w:rPr>
          <w:rFonts w:ascii="Arial" w:hAnsi="Arial"/>
          <w:sz w:val="22"/>
        </w:rPr>
        <w:t xml:space="preserve"> </w:t>
      </w:r>
      <w:r w:rsidR="00E33E6B">
        <w:rPr>
          <w:rFonts w:ascii="Arial" w:hAnsi="Arial"/>
          <w:sz w:val="22"/>
        </w:rPr>
        <w:t>en</w:t>
      </w:r>
      <w:r>
        <w:rPr>
          <w:rFonts w:ascii="Arial" w:hAnsi="Arial"/>
          <w:sz w:val="22"/>
        </w:rPr>
        <w:t xml:space="preserve"> esos periodos</w:t>
      </w:r>
      <w:r w:rsidR="00E33E6B">
        <w:rPr>
          <w:rFonts w:ascii="Arial" w:hAnsi="Arial"/>
          <w:sz w:val="22"/>
        </w:rPr>
        <w:t>,</w:t>
      </w:r>
      <w:r>
        <w:rPr>
          <w:rFonts w:ascii="Arial" w:hAnsi="Arial"/>
          <w:sz w:val="22"/>
        </w:rPr>
        <w:t xml:space="preserve"> con fines específicos, ligados a proyectos concretos, siempre y cuando esos proyectos cuenten con su aprobación antes de la recepción de los fondos, como se indica en el Artículo 25.5 de la Convención;</w:t>
      </w:r>
    </w:p>
    <w:p w:rsidR="0068554E" w:rsidRPr="00710CA2" w:rsidRDefault="0068554E" w:rsidP="0068554E">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u w:val="single"/>
        </w:rPr>
        <w:t>Toma nota</w:t>
      </w:r>
      <w:r>
        <w:rPr>
          <w:rFonts w:ascii="Arial" w:hAnsi="Arial"/>
          <w:sz w:val="22"/>
        </w:rPr>
        <w:t xml:space="preserve"> de que el Comité establece la cantidad del Fondo de Reserva en 1 millón de dólares.</w:t>
      </w:r>
    </w:p>
    <w:p w:rsidR="0068554E" w:rsidRPr="00710CA2" w:rsidRDefault="0068554E" w:rsidP="0068554E">
      <w:pPr>
        <w:pStyle w:val="5GAParaResolution"/>
        <w:numPr>
          <w:ilvl w:val="0"/>
          <w:numId w:val="23"/>
        </w:numPr>
      </w:pPr>
      <w:r>
        <w:rPr>
          <w:u w:val="single"/>
        </w:rPr>
        <w:t>Toma nota también</w:t>
      </w:r>
      <w:r>
        <w:t xml:space="preserve"> de los donantes que han aportado contribuciones voluntarias complementarias al Fondo desde su última reunión, a saber, China, Finlandia, Japón, </w:t>
      </w:r>
      <w:r>
        <w:lastRenderedPageBreak/>
        <w:t>Mónaco, Montenegro, los Países Bajos, la República de Corea y los Emiratos Árabes Unidos</w:t>
      </w:r>
    </w:p>
    <w:p w:rsidR="0068554E" w:rsidRPr="00BF3230" w:rsidRDefault="00E33E6B" w:rsidP="0068554E">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u w:val="single"/>
        </w:rPr>
        <w:t>Agradece</w:t>
      </w:r>
      <w:r w:rsidR="0068554E">
        <w:rPr>
          <w:rFonts w:ascii="Arial" w:hAnsi="Arial"/>
          <w:sz w:val="22"/>
        </w:rPr>
        <w:t xml:space="preserve"> a todos los contribuyentes que, desde su última reunión, han aportado a la Convención y a su Secretaría distintos tipos de apoyo, financiero o en especie, en forma por ejemplo de contribuciones voluntarias complementarias al Fondo del Patrimonio Cultural Inmaterial o al </w:t>
      </w:r>
      <w:proofErr w:type="spellStart"/>
      <w:r w:rsidR="0068554E">
        <w:rPr>
          <w:rFonts w:ascii="Arial" w:hAnsi="Arial"/>
          <w:sz w:val="22"/>
        </w:rPr>
        <w:t>subfondo</w:t>
      </w:r>
      <w:proofErr w:type="spellEnd"/>
      <w:r w:rsidR="0068554E">
        <w:rPr>
          <w:rFonts w:ascii="Arial" w:hAnsi="Arial"/>
          <w:sz w:val="22"/>
        </w:rPr>
        <w:t xml:space="preserve"> para el fortalecimiento de las capacidades humanas de la Secretaría, </w:t>
      </w:r>
      <w:r>
        <w:rPr>
          <w:rFonts w:ascii="Arial" w:hAnsi="Arial"/>
          <w:sz w:val="22"/>
        </w:rPr>
        <w:t>f</w:t>
      </w:r>
      <w:r w:rsidR="0068554E">
        <w:rPr>
          <w:rFonts w:ascii="Arial" w:hAnsi="Arial"/>
          <w:sz w:val="22"/>
        </w:rPr>
        <w:t xml:space="preserve">ondos </w:t>
      </w:r>
      <w:r>
        <w:rPr>
          <w:rFonts w:ascii="Arial" w:hAnsi="Arial"/>
          <w:sz w:val="22"/>
        </w:rPr>
        <w:t>f</w:t>
      </w:r>
      <w:r w:rsidR="0068554E">
        <w:rPr>
          <w:rFonts w:ascii="Arial" w:hAnsi="Arial"/>
          <w:sz w:val="22"/>
        </w:rPr>
        <w:t xml:space="preserve">iduciarios o cesiones de personal, y </w:t>
      </w:r>
      <w:r w:rsidR="0068554E">
        <w:rPr>
          <w:rFonts w:ascii="Arial" w:hAnsi="Arial"/>
          <w:sz w:val="22"/>
          <w:u w:val="single"/>
        </w:rPr>
        <w:t>alienta</w:t>
      </w:r>
      <w:r w:rsidR="0068554E">
        <w:rPr>
          <w:rFonts w:ascii="Arial" w:hAnsi="Arial"/>
          <w:sz w:val="22"/>
        </w:rPr>
        <w:t xml:space="preserve"> a otros Estados a considerar la posibilidad de apoyar a la Convención utilizando la modalidad de su elección;</w:t>
      </w:r>
    </w:p>
    <w:p w:rsidR="0068554E" w:rsidRPr="00BF3230" w:rsidRDefault="0068554E" w:rsidP="0068554E">
      <w:pPr>
        <w:numPr>
          <w:ilvl w:val="0"/>
          <w:numId w:val="23"/>
        </w:numPr>
        <w:autoSpaceDE w:val="0"/>
        <w:autoSpaceDN w:val="0"/>
        <w:adjustRightInd w:val="0"/>
        <w:spacing w:before="120" w:after="120"/>
        <w:jc w:val="both"/>
        <w:rPr>
          <w:rFonts w:ascii="Arial" w:hAnsi="Arial" w:cs="Arial"/>
          <w:sz w:val="22"/>
          <w:szCs w:val="22"/>
        </w:rPr>
      </w:pPr>
      <w:r>
        <w:rPr>
          <w:rFonts w:ascii="Arial" w:hAnsi="Arial"/>
          <w:sz w:val="22"/>
          <w:u w:val="single"/>
        </w:rPr>
        <w:t>Autoriza</w:t>
      </w:r>
      <w:r>
        <w:rPr>
          <w:rFonts w:ascii="Arial" w:hAnsi="Arial"/>
          <w:sz w:val="22"/>
        </w:rPr>
        <w:t xml:space="preserve"> a la Secretaría a realizar transferencias entre las partidas presupuestarias 4, 5 y 6 dedicadas a la asistencia financiera </w:t>
      </w:r>
      <w:r w:rsidR="00E33E6B">
        <w:rPr>
          <w:rFonts w:ascii="Arial" w:hAnsi="Arial"/>
          <w:sz w:val="22"/>
        </w:rPr>
        <w:t>para</w:t>
      </w:r>
      <w:r>
        <w:rPr>
          <w:rFonts w:ascii="Arial" w:hAnsi="Arial"/>
          <w:sz w:val="22"/>
        </w:rPr>
        <w:t xml:space="preserve"> expertos que representan a Estados Partes y representantes de organizaciones no gubernamentales acreditadas para que puedan participar en las reuniones del Comité, su Mesa y sus órganos subsidiarios hasta un equivalente del 30 % de su total inicial, y </w:t>
      </w:r>
      <w:r>
        <w:rPr>
          <w:rFonts w:ascii="Arial" w:hAnsi="Arial"/>
          <w:sz w:val="22"/>
          <w:u w:val="single"/>
        </w:rPr>
        <w:t>solicita</w:t>
      </w:r>
      <w:r>
        <w:rPr>
          <w:rFonts w:ascii="Arial" w:hAnsi="Arial"/>
          <w:sz w:val="22"/>
        </w:rPr>
        <w:t xml:space="preserve"> a la Secretaría que informe por escrito al Comité y a la Asamblea General sobre los detalles y razones de la realización de estas transferencias en la reunión siguiente a esas operaciones.</w:t>
      </w:r>
    </w:p>
    <w:p w:rsidR="0068554E" w:rsidRDefault="0068554E" w:rsidP="0068554E">
      <w:pPr>
        <w:numPr>
          <w:ilvl w:val="0"/>
          <w:numId w:val="23"/>
        </w:numPr>
        <w:autoSpaceDE w:val="0"/>
        <w:autoSpaceDN w:val="0"/>
        <w:adjustRightInd w:val="0"/>
        <w:spacing w:before="120" w:after="120"/>
        <w:jc w:val="both"/>
        <w:sectPr w:rsidR="0068554E" w:rsidSect="0068554E">
          <w:headerReference w:type="even" r:id="rId21"/>
          <w:headerReference w:type="default" r:id="rId22"/>
          <w:headerReference w:type="first" r:id="rId23"/>
          <w:pgSz w:w="11906" w:h="16838" w:code="9"/>
          <w:pgMar w:top="1418" w:right="1134" w:bottom="1134" w:left="1134" w:header="397" w:footer="284" w:gutter="0"/>
          <w:cols w:space="708"/>
          <w:titlePg/>
          <w:docGrid w:linePitch="360"/>
        </w:sectPr>
      </w:pPr>
    </w:p>
    <w:p w:rsidR="0068554E" w:rsidRPr="000C3818" w:rsidRDefault="0068554E" w:rsidP="0068554E">
      <w:pPr>
        <w:pStyle w:val="5GAParaResolution"/>
        <w:spacing w:before="120"/>
        <w:ind w:left="0" w:firstLine="0"/>
        <w:jc w:val="center"/>
        <w:rPr>
          <w:b/>
        </w:rPr>
      </w:pPr>
      <w:r>
        <w:rPr>
          <w:b/>
        </w:rPr>
        <w:lastRenderedPageBreak/>
        <w:t>ANEXO</w:t>
      </w:r>
    </w:p>
    <w:tbl>
      <w:tblPr>
        <w:tblpPr w:leftFromText="181" w:rightFromText="181" w:vertAnchor="page" w:tblpXSpec="center" w:tblpY="1367"/>
        <w:tblOverlap w:val="never"/>
        <w:tblW w:w="10060" w:type="dxa"/>
        <w:tblLayout w:type="fixed"/>
        <w:tblCellMar>
          <w:left w:w="70" w:type="dxa"/>
          <w:right w:w="70" w:type="dxa"/>
        </w:tblCellMar>
        <w:tblLook w:val="04A0" w:firstRow="1" w:lastRow="0" w:firstColumn="1" w:lastColumn="0" w:noHBand="0" w:noVBand="1"/>
      </w:tblPr>
      <w:tblGrid>
        <w:gridCol w:w="428"/>
        <w:gridCol w:w="4758"/>
        <w:gridCol w:w="1159"/>
        <w:gridCol w:w="1300"/>
        <w:gridCol w:w="1157"/>
        <w:gridCol w:w="1258"/>
      </w:tblGrid>
      <w:tr w:rsidR="0068554E" w:rsidRPr="00FC7DA9" w:rsidTr="0068554E">
        <w:trPr>
          <w:trHeight w:val="386"/>
        </w:trPr>
        <w:tc>
          <w:tcPr>
            <w:tcW w:w="3153"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b/>
                <w:sz w:val="20"/>
              </w:rPr>
              <w:t>Proyecto de plan para la utilización de los recursos del Fondo</w:t>
            </w:r>
          </w:p>
        </w:tc>
        <w:tc>
          <w:tcPr>
            <w:tcW w:w="646" w:type="pct"/>
            <w:tcBorders>
              <w:top w:val="nil"/>
              <w:left w:val="single" w:sz="4" w:space="0" w:color="auto"/>
              <w:bottom w:val="dashed" w:sz="4" w:space="0" w:color="auto"/>
              <w:right w:val="nil"/>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p>
        </w:tc>
        <w:tc>
          <w:tcPr>
            <w:tcW w:w="575" w:type="pct"/>
            <w:tcBorders>
              <w:top w:val="nil"/>
              <w:left w:val="nil"/>
              <w:bottom w:val="dashed" w:sz="4" w:space="0" w:color="auto"/>
              <w:right w:val="nil"/>
            </w:tcBorders>
          </w:tcPr>
          <w:p w:rsidR="0068554E" w:rsidRPr="000C3818" w:rsidRDefault="0068554E" w:rsidP="0068554E">
            <w:pPr>
              <w:spacing w:before="60" w:after="60"/>
              <w:jc w:val="center"/>
              <w:rPr>
                <w:rFonts w:ascii="Arial" w:hAnsi="Arial" w:cs="Arial"/>
                <w:sz w:val="20"/>
                <w:szCs w:val="20"/>
              </w:rPr>
            </w:pPr>
          </w:p>
        </w:tc>
        <w:tc>
          <w:tcPr>
            <w:tcW w:w="626" w:type="pct"/>
            <w:tcBorders>
              <w:top w:val="nil"/>
              <w:left w:val="nil"/>
              <w:bottom w:val="dashed" w:sz="4" w:space="0" w:color="auto"/>
              <w:right w:val="nil"/>
            </w:tcBorders>
          </w:tcPr>
          <w:p w:rsidR="0068554E" w:rsidRPr="000C3818" w:rsidRDefault="0068554E" w:rsidP="0068554E">
            <w:pPr>
              <w:spacing w:before="60" w:after="60"/>
              <w:jc w:val="center"/>
              <w:rPr>
                <w:rFonts w:ascii="Arial" w:hAnsi="Arial" w:cs="Arial"/>
                <w:sz w:val="20"/>
                <w:szCs w:val="20"/>
              </w:rPr>
            </w:pPr>
          </w:p>
        </w:tc>
      </w:tr>
      <w:tr w:rsidR="0068554E" w:rsidRPr="000C3818" w:rsidTr="0068554E">
        <w:trPr>
          <w:trHeight w:val="964"/>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tcPr>
          <w:p w:rsidR="0068554E" w:rsidRPr="000C3818" w:rsidRDefault="0068554E" w:rsidP="0068554E">
            <w:pPr>
              <w:spacing w:before="60" w:after="60"/>
              <w:jc w:val="both"/>
              <w:rPr>
                <w:rFonts w:ascii="Arial" w:hAnsi="Arial" w:cs="Arial"/>
                <w:b/>
                <w:bCs/>
                <w:sz w:val="20"/>
                <w:szCs w:val="20"/>
              </w:rPr>
            </w:pPr>
            <w:r>
              <w:rPr>
                <w:rFonts w:ascii="Arial" w:hAnsi="Arial"/>
                <w:sz w:val="18"/>
              </w:rPr>
              <w:t>Para el periodo comprendido entre el 1 de enero de 2018 y el 31 de diciembre de 2019, y el comprendido entre el 1 de enero de 2020 y el 30 de junio de 2020, los recursos del Fondo del Patrimonio Cultural Inmaterial podrán ser utilizados para los siguientes objetivos:</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54E" w:rsidRPr="00FC7DA9" w:rsidRDefault="0068554E" w:rsidP="0068554E">
            <w:pPr>
              <w:spacing w:before="60" w:after="60"/>
              <w:jc w:val="center"/>
              <w:rPr>
                <w:rFonts w:ascii="Arial" w:hAnsi="Arial" w:cs="Arial"/>
                <w:sz w:val="18"/>
                <w:szCs w:val="18"/>
              </w:rPr>
            </w:pPr>
            <w:r>
              <w:rPr>
                <w:rFonts w:ascii="Arial" w:hAnsi="Arial"/>
                <w:sz w:val="18"/>
              </w:rPr>
              <w:t>% aplicado en el bienio anterior 2016-2017</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FC7DA9" w:rsidRDefault="0068554E" w:rsidP="0068554E">
            <w:pPr>
              <w:spacing w:before="60" w:after="60"/>
              <w:jc w:val="center"/>
              <w:rPr>
                <w:rFonts w:ascii="Arial" w:hAnsi="Arial" w:cs="Arial"/>
                <w:sz w:val="18"/>
                <w:szCs w:val="18"/>
              </w:rPr>
            </w:pPr>
            <w:r>
              <w:rPr>
                <w:rFonts w:ascii="Arial" w:hAnsi="Arial"/>
                <w:sz w:val="18"/>
              </w:rPr>
              <w:t>% de la cantidad total propuesta 2018-2019</w:t>
            </w:r>
            <w:r>
              <w:rPr>
                <w:rStyle w:val="FootnoteReference"/>
                <w:rFonts w:ascii="Arial" w:hAnsi="Arial"/>
                <w:sz w:val="18"/>
              </w:rPr>
              <w:footnoteReference w:id="2"/>
            </w:r>
          </w:p>
        </w:tc>
        <w:tc>
          <w:tcPr>
            <w:tcW w:w="575" w:type="pct"/>
            <w:tcBorders>
              <w:top w:val="dashed" w:sz="4" w:space="0" w:color="auto"/>
              <w:left w:val="dashed" w:sz="4" w:space="0" w:color="auto"/>
              <w:bottom w:val="dashed" w:sz="4" w:space="0" w:color="auto"/>
              <w:right w:val="dashed" w:sz="4" w:space="0" w:color="auto"/>
            </w:tcBorders>
            <w:vAlign w:val="center"/>
          </w:tcPr>
          <w:p w:rsidR="0068554E" w:rsidRPr="00FC7DA9" w:rsidRDefault="0068554E" w:rsidP="0068554E">
            <w:pPr>
              <w:spacing w:before="60" w:after="60"/>
              <w:jc w:val="center"/>
              <w:rPr>
                <w:rFonts w:ascii="Arial" w:hAnsi="Arial" w:cs="Arial"/>
                <w:sz w:val="18"/>
                <w:szCs w:val="18"/>
              </w:rPr>
            </w:pPr>
            <w:r>
              <w:rPr>
                <w:rFonts w:ascii="Arial" w:hAnsi="Arial"/>
                <w:sz w:val="18"/>
              </w:rPr>
              <w:t>Cantidades indicativas</w:t>
            </w:r>
            <w:r>
              <w:br/>
            </w:r>
            <w:r>
              <w:rPr>
                <w:rFonts w:ascii="Arial" w:hAnsi="Arial"/>
                <w:sz w:val="18"/>
              </w:rPr>
              <w:t>2018-2019</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FC7DA9" w:rsidRDefault="0068554E" w:rsidP="0068554E">
            <w:pPr>
              <w:spacing w:before="60" w:after="60"/>
              <w:jc w:val="center"/>
              <w:rPr>
                <w:rFonts w:ascii="Arial" w:hAnsi="Arial" w:cs="Arial"/>
                <w:sz w:val="18"/>
                <w:szCs w:val="18"/>
              </w:rPr>
            </w:pPr>
            <w:r>
              <w:rPr>
                <w:rFonts w:ascii="Arial" w:hAnsi="Arial"/>
                <w:sz w:val="18"/>
              </w:rPr>
              <w:t>Cantidades indicativas</w:t>
            </w:r>
            <w:r>
              <w:br/>
            </w:r>
            <w:r>
              <w:rPr>
                <w:rFonts w:ascii="Arial" w:hAnsi="Arial"/>
                <w:sz w:val="18"/>
              </w:rPr>
              <w:t>enero-junio 2020</w:t>
            </w:r>
          </w:p>
        </w:tc>
      </w:tr>
      <w:tr w:rsidR="0068554E" w:rsidRPr="000C3818" w:rsidTr="0068554E">
        <w:trPr>
          <w:trHeight w:val="255"/>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0C3818" w:rsidRDefault="0068554E" w:rsidP="0068554E">
            <w:pPr>
              <w:spacing w:before="60" w:after="60"/>
              <w:rPr>
                <w:rFonts w:ascii="Arial" w:hAnsi="Arial" w:cs="Arial"/>
                <w:sz w:val="20"/>
                <w:szCs w:val="20"/>
              </w:rPr>
            </w:pPr>
            <w:r>
              <w:rPr>
                <w:rFonts w:ascii="Arial" w:hAnsi="Arial"/>
                <w:sz w:val="20"/>
              </w:rPr>
              <w:t>1.</w:t>
            </w:r>
          </w:p>
        </w:tc>
        <w:tc>
          <w:tcPr>
            <w:tcW w:w="2364"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5D5710" w:rsidRDefault="0068554E" w:rsidP="00C1574A">
            <w:pPr>
              <w:spacing w:before="60" w:after="60"/>
              <w:jc w:val="both"/>
              <w:rPr>
                <w:rFonts w:ascii="Arial" w:hAnsi="Arial" w:cs="Arial"/>
                <w:sz w:val="18"/>
                <w:szCs w:val="18"/>
              </w:rPr>
            </w:pPr>
            <w:r>
              <w:rPr>
                <w:rFonts w:ascii="Arial" w:hAnsi="Arial"/>
                <w:sz w:val="18"/>
              </w:rPr>
              <w:t xml:space="preserve">La Asistencia Internacional, </w:t>
            </w:r>
            <w:r w:rsidR="00E33E6B">
              <w:rPr>
                <w:rFonts w:ascii="Arial" w:hAnsi="Arial"/>
                <w:sz w:val="18"/>
              </w:rPr>
              <w:t>que incluye</w:t>
            </w:r>
            <w:r>
              <w:rPr>
                <w:rFonts w:ascii="Arial" w:hAnsi="Arial"/>
                <w:sz w:val="18"/>
              </w:rPr>
              <w:t xml:space="preserve"> la salvaguardia del patrimonio inscrito en la Lista del Patrimonio cultural inmaterial que requiere medidas de salvaguardia urgente, la preparación de inventarios y el apoyo a otros programas, proyectos y actividades de salvaguardia;</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sz w:val="20"/>
              </w:rPr>
              <w:t>59,00 %</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52,55 %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Default="00CD3039" w:rsidP="0068554E">
            <w:pPr>
              <w:spacing w:before="60" w:after="60"/>
              <w:jc w:val="right"/>
              <w:rPr>
                <w:rFonts w:ascii="Arial" w:hAnsi="Arial" w:cs="Arial"/>
                <w:sz w:val="20"/>
                <w:szCs w:val="20"/>
              </w:rPr>
            </w:pPr>
            <w:r>
              <w:rPr>
                <w:rFonts w:ascii="Arial" w:hAnsi="Arial" w:cs="Arial"/>
                <w:sz w:val="20"/>
                <w:szCs w:val="20"/>
                <w:lang w:val="en-GB"/>
              </w:rPr>
              <w:t>4</w:t>
            </w:r>
            <w:r w:rsidR="008566DA">
              <w:rPr>
                <w:rFonts w:ascii="Arial" w:hAnsi="Arial" w:cs="Arial"/>
                <w:sz w:val="20"/>
                <w:szCs w:val="20"/>
                <w:lang w:val="en-GB"/>
              </w:rPr>
              <w:t>.</w:t>
            </w:r>
            <w:r>
              <w:rPr>
                <w:rFonts w:ascii="Arial" w:hAnsi="Arial" w:cs="Arial"/>
                <w:sz w:val="20"/>
                <w:szCs w:val="20"/>
                <w:lang w:val="en-GB"/>
              </w:rPr>
              <w:t>514</w:t>
            </w:r>
            <w:r w:rsidR="00525DEF">
              <w:rPr>
                <w:rFonts w:ascii="Arial" w:hAnsi="Arial" w:cs="Arial"/>
                <w:sz w:val="20"/>
                <w:szCs w:val="20"/>
                <w:lang w:val="en-GB"/>
              </w:rPr>
              <w:t>.</w:t>
            </w:r>
            <w:r>
              <w:rPr>
                <w:rFonts w:ascii="Arial" w:hAnsi="Arial" w:cs="Arial"/>
                <w:sz w:val="20"/>
                <w:szCs w:val="20"/>
                <w:lang w:val="en-GB"/>
              </w:rPr>
              <w:t>530</w:t>
            </w:r>
            <w:r w:rsidR="000F77FB" w:rsidRPr="000C3818">
              <w:rPr>
                <w:rFonts w:ascii="Arial" w:hAnsi="Arial" w:cs="Arial"/>
                <w:sz w:val="20"/>
                <w:szCs w:val="20"/>
                <w:lang w:val="en-GB"/>
              </w:rPr>
              <w:t>$</w:t>
            </w:r>
            <w:r w:rsidRPr="000C3818">
              <w:rPr>
                <w:rFonts w:ascii="Arial" w:hAnsi="Arial" w:cs="Arial"/>
                <w:sz w:val="20"/>
                <w:szCs w:val="20"/>
                <w:lang w:val="en-GB"/>
              </w:rPr>
              <w:t xml:space="preserve">  </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1.128.632 </w:t>
            </w:r>
            <w:r w:rsidR="000F77FB" w:rsidRPr="000C3818">
              <w:rPr>
                <w:rFonts w:ascii="Arial" w:hAnsi="Arial" w:cs="Arial"/>
                <w:sz w:val="20"/>
                <w:szCs w:val="20"/>
                <w:lang w:val="en-GB"/>
              </w:rPr>
              <w:t>$</w:t>
            </w:r>
          </w:p>
        </w:tc>
      </w:tr>
      <w:tr w:rsidR="0068554E" w:rsidRPr="00CC1DE5" w:rsidTr="0068554E">
        <w:trPr>
          <w:trHeight w:val="255"/>
        </w:trPr>
        <w:tc>
          <w:tcPr>
            <w:tcW w:w="213" w:type="pct"/>
            <w:tcBorders>
              <w:top w:val="single" w:sz="4" w:space="0" w:color="auto"/>
              <w:left w:val="single" w:sz="4" w:space="0" w:color="auto"/>
              <w:bottom w:val="single" w:sz="4" w:space="0" w:color="auto"/>
              <w:right w:val="single" w:sz="4" w:space="0" w:color="auto"/>
            </w:tcBorders>
            <w:shd w:val="clear" w:color="auto" w:fill="auto"/>
            <w:noWrap/>
          </w:tcPr>
          <w:p w:rsidR="0068554E" w:rsidRPr="000C3818" w:rsidRDefault="0068554E" w:rsidP="0068554E">
            <w:pPr>
              <w:spacing w:before="60" w:after="60"/>
              <w:rPr>
                <w:rFonts w:ascii="Arial" w:hAnsi="Arial" w:cs="Arial"/>
                <w:bCs/>
                <w:sz w:val="20"/>
                <w:szCs w:val="20"/>
              </w:rPr>
            </w:pPr>
            <w:r>
              <w:rPr>
                <w:rFonts w:ascii="Arial" w:hAnsi="Arial"/>
                <w:sz w:val="20"/>
              </w:rPr>
              <w:t>1.1</w:t>
            </w:r>
          </w:p>
        </w:tc>
        <w:tc>
          <w:tcPr>
            <w:tcW w:w="2364" w:type="pct"/>
            <w:tcBorders>
              <w:top w:val="single" w:sz="4" w:space="0" w:color="auto"/>
              <w:left w:val="single" w:sz="4" w:space="0" w:color="auto"/>
              <w:bottom w:val="single" w:sz="4" w:space="0" w:color="auto"/>
              <w:right w:val="single" w:sz="4" w:space="0" w:color="auto"/>
            </w:tcBorders>
            <w:shd w:val="clear" w:color="auto" w:fill="auto"/>
            <w:noWrap/>
          </w:tcPr>
          <w:p w:rsidR="0068554E" w:rsidRPr="005D5710" w:rsidRDefault="00E33E6B" w:rsidP="00374EDF">
            <w:pPr>
              <w:spacing w:before="60" w:after="60"/>
              <w:jc w:val="both"/>
              <w:rPr>
                <w:rFonts w:ascii="Arial" w:hAnsi="Arial" w:cs="Arial"/>
                <w:bCs/>
                <w:sz w:val="18"/>
                <w:szCs w:val="18"/>
              </w:rPr>
            </w:pPr>
            <w:r>
              <w:rPr>
                <w:rFonts w:ascii="Arial" w:hAnsi="Arial"/>
                <w:sz w:val="18"/>
              </w:rPr>
              <w:t xml:space="preserve">Reforzar </w:t>
            </w:r>
            <w:r w:rsidR="0068554E">
              <w:rPr>
                <w:rFonts w:ascii="Arial" w:hAnsi="Arial"/>
                <w:sz w:val="18"/>
              </w:rPr>
              <w:t xml:space="preserve">los recursos humanos para mejorar la aplicación de los mecanismos de Asistencia Internacional a través de la creación de tres puestos extrapresupuestarios </w:t>
            </w:r>
            <w:r w:rsidR="00374EDF" w:rsidRPr="00374EDF">
              <w:rPr>
                <w:rFonts w:ascii="Arial" w:hAnsi="Arial"/>
                <w:sz w:val="18"/>
              </w:rPr>
              <w:t xml:space="preserve">de plazo fijo </w:t>
            </w:r>
            <w:r w:rsidR="0068554E">
              <w:rPr>
                <w:rFonts w:ascii="Arial" w:hAnsi="Arial"/>
                <w:sz w:val="18"/>
              </w:rPr>
              <w:t>(un P3, un P2 y un G5).</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8,20 %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Default="0068554E" w:rsidP="0068554E">
            <w:pPr>
              <w:spacing w:before="60" w:after="60"/>
              <w:jc w:val="right"/>
              <w:rPr>
                <w:rFonts w:ascii="Arial" w:hAnsi="Arial" w:cs="Arial"/>
                <w:sz w:val="20"/>
                <w:szCs w:val="20"/>
              </w:rPr>
            </w:pPr>
            <w:r>
              <w:rPr>
                <w:rFonts w:ascii="Arial" w:hAnsi="Arial"/>
                <w:sz w:val="20"/>
              </w:rPr>
              <w:t xml:space="preserve">704.456 </w:t>
            </w:r>
            <w:r w:rsidR="000F77FB" w:rsidRPr="000C3818">
              <w:rPr>
                <w:rFonts w:ascii="Arial" w:hAnsi="Arial" w:cs="Arial"/>
                <w:sz w:val="20"/>
                <w:szCs w:val="20"/>
                <w:lang w:val="en-GB"/>
              </w:rPr>
              <w:t>$</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176.114 </w:t>
            </w:r>
            <w:r w:rsidR="000F77FB" w:rsidRPr="000C3818">
              <w:rPr>
                <w:rFonts w:ascii="Arial" w:hAnsi="Arial" w:cs="Arial"/>
                <w:sz w:val="20"/>
                <w:szCs w:val="20"/>
                <w:lang w:val="en-GB"/>
              </w:rPr>
              <w:t>$</w:t>
            </w:r>
          </w:p>
        </w:tc>
      </w:tr>
      <w:tr w:rsidR="0068554E" w:rsidRPr="000C3818" w:rsidTr="0068554E">
        <w:trPr>
          <w:trHeight w:val="255"/>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0C3818" w:rsidRDefault="0068554E" w:rsidP="0068554E">
            <w:pPr>
              <w:spacing w:before="60" w:after="60"/>
              <w:rPr>
                <w:rFonts w:ascii="Arial" w:hAnsi="Arial" w:cs="Arial"/>
                <w:sz w:val="20"/>
                <w:szCs w:val="20"/>
              </w:rPr>
            </w:pPr>
            <w:r>
              <w:rPr>
                <w:rFonts w:ascii="Arial" w:hAnsi="Arial"/>
                <w:sz w:val="20"/>
              </w:rPr>
              <w:t>2.</w:t>
            </w:r>
          </w:p>
        </w:tc>
        <w:tc>
          <w:tcPr>
            <w:tcW w:w="2364"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5D5710" w:rsidRDefault="0068554E" w:rsidP="00C1574A">
            <w:pPr>
              <w:spacing w:before="60" w:after="60"/>
              <w:jc w:val="both"/>
              <w:rPr>
                <w:rFonts w:ascii="Arial" w:hAnsi="Arial" w:cs="Arial"/>
                <w:bCs/>
                <w:sz w:val="18"/>
                <w:szCs w:val="18"/>
              </w:rPr>
            </w:pPr>
            <w:r>
              <w:rPr>
                <w:rFonts w:ascii="Arial" w:hAnsi="Arial"/>
                <w:sz w:val="18"/>
              </w:rPr>
              <w:t xml:space="preserve">La Asistencia </w:t>
            </w:r>
            <w:r w:rsidR="00E03425">
              <w:rPr>
                <w:rFonts w:ascii="Arial" w:hAnsi="Arial"/>
                <w:sz w:val="18"/>
              </w:rPr>
              <w:t>p</w:t>
            </w:r>
            <w:r>
              <w:rPr>
                <w:rFonts w:ascii="Arial" w:hAnsi="Arial"/>
                <w:sz w:val="18"/>
              </w:rPr>
              <w:t xml:space="preserve">reparatoria para las solicitudes de Asistencia Internacional, así como los expedientes de candidatura </w:t>
            </w:r>
            <w:bookmarkStart w:id="0" w:name="_GoBack"/>
            <w:bookmarkEnd w:id="0"/>
            <w:r>
              <w:rPr>
                <w:rFonts w:ascii="Arial" w:hAnsi="Arial"/>
                <w:sz w:val="18"/>
              </w:rPr>
              <w:t xml:space="preserve">para la Lista </w:t>
            </w:r>
            <w:r w:rsidR="00E03425">
              <w:rPr>
                <w:rFonts w:ascii="Arial" w:hAnsi="Arial"/>
                <w:sz w:val="18"/>
              </w:rPr>
              <w:t>que requiere medidas urgentes de s</w:t>
            </w:r>
            <w:r>
              <w:rPr>
                <w:rFonts w:ascii="Arial" w:hAnsi="Arial"/>
                <w:sz w:val="18"/>
              </w:rPr>
              <w:t xml:space="preserve">alvaguardia y las </w:t>
            </w:r>
            <w:r w:rsidR="00E03425">
              <w:rPr>
                <w:rFonts w:ascii="Arial" w:hAnsi="Arial"/>
                <w:sz w:val="18"/>
              </w:rPr>
              <w:t>candidaturas</w:t>
            </w:r>
            <w:r>
              <w:rPr>
                <w:rFonts w:ascii="Arial" w:hAnsi="Arial"/>
                <w:sz w:val="18"/>
              </w:rPr>
              <w:t xml:space="preserve"> para el Registro de Buenas Prácticas de Salvaguardia.</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sz w:val="20"/>
              </w:rPr>
              <w:t>5,50 %</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4,00 %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343.637 </w:t>
            </w:r>
            <w:r w:rsidR="000F77FB" w:rsidRPr="000C3818">
              <w:rPr>
                <w:rFonts w:ascii="Arial" w:hAnsi="Arial" w:cs="Arial"/>
                <w:sz w:val="20"/>
                <w:szCs w:val="20"/>
                <w:lang w:val="en-GB"/>
              </w:rPr>
              <w:t>$</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85.909 </w:t>
            </w:r>
            <w:r w:rsidR="000F77FB" w:rsidRPr="000C3818">
              <w:rPr>
                <w:rFonts w:ascii="Arial" w:hAnsi="Arial" w:cs="Arial"/>
                <w:sz w:val="20"/>
                <w:szCs w:val="20"/>
                <w:lang w:val="en-GB"/>
              </w:rPr>
              <w:t>$</w:t>
            </w:r>
          </w:p>
        </w:tc>
      </w:tr>
      <w:tr w:rsidR="0068554E" w:rsidRPr="000C3818" w:rsidTr="0068554E">
        <w:trPr>
          <w:trHeight w:val="25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rPr>
                <w:rFonts w:ascii="Arial" w:hAnsi="Arial" w:cs="Arial"/>
                <w:sz w:val="20"/>
                <w:szCs w:val="20"/>
              </w:rPr>
            </w:pPr>
            <w:r>
              <w:rPr>
                <w:rFonts w:ascii="Arial" w:hAnsi="Arial"/>
                <w:sz w:val="20"/>
              </w:rPr>
              <w:t>3.</w:t>
            </w:r>
          </w:p>
        </w:tc>
        <w:tc>
          <w:tcPr>
            <w:tcW w:w="2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5D5710" w:rsidRDefault="0068554E" w:rsidP="0068554E">
            <w:pPr>
              <w:spacing w:before="60" w:after="60"/>
              <w:jc w:val="both"/>
              <w:rPr>
                <w:rFonts w:ascii="Arial" w:hAnsi="Arial" w:cs="Arial"/>
                <w:bCs/>
                <w:sz w:val="18"/>
                <w:szCs w:val="18"/>
              </w:rPr>
            </w:pPr>
            <w:r>
              <w:rPr>
                <w:rFonts w:ascii="Arial" w:hAnsi="Arial"/>
                <w:sz w:val="18"/>
              </w:rPr>
              <w:t>Otras funciones del Comité, tal como se describen en el Artículo 7 de la Convención, con la finalidad de promover los objetivos de la Convención y fomentar y</w:t>
            </w:r>
            <w:r w:rsidR="00E03425">
              <w:rPr>
                <w:rFonts w:ascii="Arial" w:hAnsi="Arial"/>
                <w:sz w:val="18"/>
              </w:rPr>
              <w:t xml:space="preserve"> dar</w:t>
            </w:r>
            <w:r>
              <w:rPr>
                <w:rFonts w:ascii="Arial" w:hAnsi="Arial"/>
                <w:sz w:val="18"/>
              </w:rPr>
              <w:t xml:space="preserve"> seg</w:t>
            </w:r>
            <w:r w:rsidR="00E03425">
              <w:rPr>
                <w:rFonts w:ascii="Arial" w:hAnsi="Arial"/>
                <w:sz w:val="18"/>
              </w:rPr>
              <w:t>uimiento a</w:t>
            </w:r>
            <w:r>
              <w:rPr>
                <w:rFonts w:ascii="Arial" w:hAnsi="Arial"/>
                <w:sz w:val="18"/>
              </w:rPr>
              <w:t xml:space="preserve"> su aplicación, en particular, a través del fortalecimiento de las capacidades para salvaguardar de manera efectiva el patrimonio cultural inmaterial, sensibilizar acerca de la importancia de este patrimonio, proporcionar orientaciones sobre las buenas prácticas de salvaguardia y actualizar y publicar las Listas y el Registro de Buenas Prácticas de Salvaguardia.</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sz w:val="20"/>
              </w:rPr>
              <w:t>20,00 %</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20,00 %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Default="0068554E" w:rsidP="0068554E">
            <w:pPr>
              <w:spacing w:before="60" w:after="60"/>
              <w:jc w:val="right"/>
              <w:rPr>
                <w:rFonts w:ascii="Arial" w:hAnsi="Arial" w:cs="Arial"/>
                <w:sz w:val="20"/>
                <w:szCs w:val="20"/>
              </w:rPr>
            </w:pPr>
            <w:r>
              <w:rPr>
                <w:rFonts w:ascii="Arial" w:hAnsi="Arial"/>
                <w:sz w:val="20"/>
              </w:rPr>
              <w:t>1.718.184</w:t>
            </w:r>
            <w:r w:rsidR="000F77FB">
              <w:rPr>
                <w:rFonts w:ascii="Arial" w:hAnsi="Arial"/>
                <w:sz w:val="20"/>
              </w:rPr>
              <w:t xml:space="preserve"> </w:t>
            </w:r>
            <w:r w:rsidR="000F77FB" w:rsidRPr="000C3818">
              <w:rPr>
                <w:rFonts w:ascii="Arial" w:hAnsi="Arial" w:cs="Arial"/>
                <w:sz w:val="20"/>
                <w:szCs w:val="20"/>
                <w:lang w:val="en-GB"/>
              </w:rPr>
              <w:t>$</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429.546 </w:t>
            </w:r>
            <w:r w:rsidR="000F77FB" w:rsidRPr="000C3818">
              <w:rPr>
                <w:rFonts w:ascii="Arial" w:hAnsi="Arial" w:cs="Arial"/>
                <w:sz w:val="20"/>
                <w:szCs w:val="20"/>
                <w:lang w:val="en-GB"/>
              </w:rPr>
              <w:t>$</w:t>
            </w:r>
          </w:p>
        </w:tc>
      </w:tr>
      <w:tr w:rsidR="0068554E" w:rsidRPr="000C3818" w:rsidTr="0068554E">
        <w:trPr>
          <w:trHeight w:val="255"/>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0C3818" w:rsidRDefault="0068554E" w:rsidP="0068554E">
            <w:pPr>
              <w:spacing w:before="60" w:after="60"/>
              <w:rPr>
                <w:rFonts w:ascii="Arial" w:hAnsi="Arial" w:cs="Arial"/>
                <w:sz w:val="20"/>
                <w:szCs w:val="20"/>
              </w:rPr>
            </w:pPr>
            <w:r>
              <w:rPr>
                <w:rFonts w:ascii="Arial" w:hAnsi="Arial"/>
                <w:sz w:val="20"/>
              </w:rPr>
              <w:t>4.</w:t>
            </w:r>
          </w:p>
        </w:tc>
        <w:tc>
          <w:tcPr>
            <w:tcW w:w="2364"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5D5710" w:rsidRDefault="0068554E" w:rsidP="0068554E">
            <w:pPr>
              <w:spacing w:before="60" w:after="60"/>
              <w:jc w:val="both"/>
              <w:rPr>
                <w:rFonts w:ascii="Arial" w:hAnsi="Arial" w:cs="Arial"/>
                <w:bCs/>
                <w:sz w:val="18"/>
                <w:szCs w:val="18"/>
              </w:rPr>
            </w:pPr>
            <w:r>
              <w:rPr>
                <w:rFonts w:ascii="Arial" w:hAnsi="Arial"/>
                <w:sz w:val="18"/>
              </w:rPr>
              <w:t>La participación en las reuniones del Comité, su Mesa y sus órganos subsidiarios de expertos en el patrimonio cultural inmaterial que representen a Estados en</w:t>
            </w:r>
            <w:r w:rsidR="00E03425">
              <w:rPr>
                <w:rFonts w:ascii="Arial" w:hAnsi="Arial"/>
                <w:sz w:val="18"/>
              </w:rPr>
              <w:t xml:space="preserve"> vías de</w:t>
            </w:r>
            <w:r>
              <w:rPr>
                <w:rFonts w:ascii="Arial" w:hAnsi="Arial"/>
                <w:sz w:val="18"/>
              </w:rPr>
              <w:t xml:space="preserve"> desarrollo miembros del Comité;</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sz w:val="20"/>
              </w:rPr>
              <w:t>2,25 %</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2,00 %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Default="0068554E" w:rsidP="0068554E">
            <w:pPr>
              <w:spacing w:before="60" w:after="60"/>
              <w:jc w:val="right"/>
              <w:rPr>
                <w:rFonts w:ascii="Arial" w:hAnsi="Arial" w:cs="Arial"/>
                <w:sz w:val="20"/>
                <w:szCs w:val="20"/>
              </w:rPr>
            </w:pPr>
            <w:r>
              <w:rPr>
                <w:rFonts w:ascii="Arial" w:hAnsi="Arial"/>
                <w:sz w:val="20"/>
              </w:rPr>
              <w:t xml:space="preserve">171.818 </w:t>
            </w:r>
            <w:r w:rsidR="000F77FB" w:rsidRPr="000C3818">
              <w:rPr>
                <w:rFonts w:ascii="Arial" w:hAnsi="Arial" w:cs="Arial"/>
                <w:sz w:val="20"/>
                <w:szCs w:val="20"/>
                <w:lang w:val="en-GB"/>
              </w:rPr>
              <w:t>$</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42.955 </w:t>
            </w:r>
            <w:r w:rsidR="000F77FB" w:rsidRPr="000C3818">
              <w:rPr>
                <w:rFonts w:ascii="Arial" w:hAnsi="Arial" w:cs="Arial"/>
                <w:sz w:val="20"/>
                <w:szCs w:val="20"/>
                <w:lang w:val="en-GB"/>
              </w:rPr>
              <w:t>$</w:t>
            </w:r>
          </w:p>
        </w:tc>
      </w:tr>
      <w:tr w:rsidR="0068554E" w:rsidRPr="000C3818" w:rsidTr="0068554E">
        <w:trPr>
          <w:trHeight w:val="255"/>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0C3818" w:rsidRDefault="0068554E" w:rsidP="0068554E">
            <w:pPr>
              <w:spacing w:before="60" w:after="60"/>
              <w:rPr>
                <w:rFonts w:ascii="Arial" w:hAnsi="Arial" w:cs="Arial"/>
                <w:sz w:val="20"/>
                <w:szCs w:val="20"/>
              </w:rPr>
            </w:pPr>
            <w:r>
              <w:rPr>
                <w:rFonts w:ascii="Arial" w:hAnsi="Arial"/>
                <w:sz w:val="20"/>
              </w:rPr>
              <w:t>5.</w:t>
            </w:r>
          </w:p>
        </w:tc>
        <w:tc>
          <w:tcPr>
            <w:tcW w:w="2364"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5D5710" w:rsidRDefault="0068554E" w:rsidP="0068554E">
            <w:pPr>
              <w:spacing w:before="60" w:after="60"/>
              <w:jc w:val="both"/>
              <w:rPr>
                <w:rFonts w:ascii="Arial" w:hAnsi="Arial" w:cs="Arial"/>
                <w:bCs/>
                <w:sz w:val="18"/>
                <w:szCs w:val="18"/>
              </w:rPr>
            </w:pPr>
            <w:r>
              <w:rPr>
                <w:rFonts w:ascii="Arial" w:hAnsi="Arial"/>
                <w:sz w:val="18"/>
              </w:rPr>
              <w:t>La participación en las reuniones del Comité y de sus órganos consultivos de expertos en el patrimonio cultural inmaterial que representen a Estados en vías de desarrollo que sean Partes en la Convención pero no miembros del Comité;</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sz w:val="20"/>
              </w:rPr>
              <w:t>2,75 %</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3,25 %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Default="0068554E" w:rsidP="0068554E">
            <w:pPr>
              <w:spacing w:before="60" w:after="60"/>
              <w:jc w:val="right"/>
              <w:rPr>
                <w:rFonts w:ascii="Arial" w:hAnsi="Arial" w:cs="Arial"/>
                <w:sz w:val="20"/>
                <w:szCs w:val="20"/>
              </w:rPr>
            </w:pPr>
            <w:r>
              <w:rPr>
                <w:rFonts w:ascii="Arial" w:hAnsi="Arial"/>
                <w:sz w:val="20"/>
              </w:rPr>
              <w:t xml:space="preserve">279.205 </w:t>
            </w:r>
            <w:r w:rsidR="000F77FB" w:rsidRPr="000C3818">
              <w:rPr>
                <w:rFonts w:ascii="Arial" w:hAnsi="Arial" w:cs="Arial"/>
                <w:sz w:val="20"/>
                <w:szCs w:val="20"/>
                <w:lang w:val="en-GB"/>
              </w:rPr>
              <w:t>$</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69.801 </w:t>
            </w:r>
            <w:r w:rsidR="000F77FB" w:rsidRPr="000C3818">
              <w:rPr>
                <w:rFonts w:ascii="Arial" w:hAnsi="Arial" w:cs="Arial"/>
                <w:sz w:val="20"/>
                <w:szCs w:val="20"/>
                <w:lang w:val="en-GB"/>
              </w:rPr>
              <w:t>$</w:t>
            </w:r>
          </w:p>
        </w:tc>
      </w:tr>
      <w:tr w:rsidR="0068554E" w:rsidRPr="000C3818" w:rsidTr="0068554E">
        <w:trPr>
          <w:trHeight w:val="255"/>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0C3818" w:rsidRDefault="0068554E" w:rsidP="0068554E">
            <w:pPr>
              <w:spacing w:before="60" w:after="60"/>
              <w:rPr>
                <w:rFonts w:ascii="Arial" w:hAnsi="Arial" w:cs="Arial"/>
                <w:sz w:val="20"/>
                <w:szCs w:val="20"/>
              </w:rPr>
            </w:pPr>
            <w:r>
              <w:rPr>
                <w:rFonts w:ascii="Arial" w:hAnsi="Arial"/>
                <w:sz w:val="20"/>
              </w:rPr>
              <w:t>6.</w:t>
            </w:r>
          </w:p>
        </w:tc>
        <w:tc>
          <w:tcPr>
            <w:tcW w:w="2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5D5710" w:rsidRDefault="0068554E" w:rsidP="0068554E">
            <w:pPr>
              <w:spacing w:before="60" w:after="60"/>
              <w:jc w:val="both"/>
              <w:rPr>
                <w:rFonts w:ascii="Arial" w:hAnsi="Arial" w:cs="Arial"/>
                <w:bCs/>
                <w:sz w:val="18"/>
                <w:szCs w:val="18"/>
              </w:rPr>
            </w:pPr>
            <w:r>
              <w:rPr>
                <w:rFonts w:ascii="Arial" w:hAnsi="Arial"/>
                <w:sz w:val="18"/>
              </w:rPr>
              <w:t>La participación en las reuniones del Comité, su Mesa y sus órganos consultivos de organismos públicos o privados, de personas físicas, en particular miembros de comunidades y grupos, que hayan sido invitados por el Comité para ser consultados sobre asuntos específicos, y de expertos en el patrimonio cultural inmaterial que representen a ONG acreditadas de países en</w:t>
            </w:r>
            <w:r w:rsidR="00E03425">
              <w:rPr>
                <w:rFonts w:ascii="Arial" w:hAnsi="Arial"/>
                <w:sz w:val="18"/>
              </w:rPr>
              <w:t xml:space="preserve"> vías</w:t>
            </w:r>
            <w:r>
              <w:rPr>
                <w:rFonts w:ascii="Arial" w:hAnsi="Arial"/>
                <w:sz w:val="18"/>
              </w:rPr>
              <w:t xml:space="preserve"> desarrollo;</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sz w:val="20"/>
              </w:rPr>
              <w:t>4,50 %</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4,00 %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Default="0068554E" w:rsidP="0068554E">
            <w:pPr>
              <w:spacing w:before="60" w:after="60"/>
              <w:jc w:val="right"/>
              <w:rPr>
                <w:rFonts w:ascii="Arial" w:hAnsi="Arial" w:cs="Arial"/>
                <w:sz w:val="20"/>
                <w:szCs w:val="20"/>
              </w:rPr>
            </w:pPr>
            <w:r>
              <w:rPr>
                <w:rFonts w:ascii="Arial" w:hAnsi="Arial"/>
                <w:sz w:val="20"/>
              </w:rPr>
              <w:t xml:space="preserve">343.637 </w:t>
            </w:r>
            <w:r w:rsidR="000F77FB" w:rsidRPr="000C3818">
              <w:rPr>
                <w:rFonts w:ascii="Arial" w:hAnsi="Arial" w:cs="Arial"/>
                <w:sz w:val="20"/>
                <w:szCs w:val="20"/>
                <w:lang w:val="en-GB"/>
              </w:rPr>
              <w:t>$</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85.909 </w:t>
            </w:r>
            <w:r w:rsidR="000F77FB" w:rsidRPr="000C3818">
              <w:rPr>
                <w:rFonts w:ascii="Arial" w:hAnsi="Arial" w:cs="Arial"/>
                <w:sz w:val="20"/>
                <w:szCs w:val="20"/>
                <w:lang w:val="en-GB"/>
              </w:rPr>
              <w:t>$</w:t>
            </w:r>
          </w:p>
        </w:tc>
      </w:tr>
      <w:tr w:rsidR="0068554E" w:rsidRPr="000C3818" w:rsidTr="0068554E">
        <w:trPr>
          <w:trHeight w:val="737"/>
        </w:trPr>
        <w:tc>
          <w:tcPr>
            <w:tcW w:w="213" w:type="pct"/>
            <w:tcBorders>
              <w:top w:val="single" w:sz="4" w:space="0" w:color="auto"/>
              <w:left w:val="single" w:sz="4" w:space="0" w:color="auto"/>
              <w:bottom w:val="single" w:sz="4" w:space="0" w:color="auto"/>
              <w:right w:val="single" w:sz="4" w:space="0" w:color="auto"/>
            </w:tcBorders>
            <w:shd w:val="clear" w:color="auto" w:fill="auto"/>
            <w:hideMark/>
          </w:tcPr>
          <w:p w:rsidR="0068554E" w:rsidRPr="000C3818" w:rsidRDefault="0068554E" w:rsidP="0068554E">
            <w:pPr>
              <w:spacing w:before="60" w:after="60"/>
              <w:rPr>
                <w:rFonts w:ascii="Arial" w:hAnsi="Arial" w:cs="Arial"/>
                <w:sz w:val="20"/>
                <w:szCs w:val="20"/>
              </w:rPr>
            </w:pPr>
            <w:r>
              <w:rPr>
                <w:rFonts w:ascii="Arial" w:hAnsi="Arial"/>
                <w:sz w:val="20"/>
              </w:rPr>
              <w:t>7.</w:t>
            </w:r>
          </w:p>
        </w:tc>
        <w:tc>
          <w:tcPr>
            <w:tcW w:w="2364" w:type="pct"/>
            <w:tcBorders>
              <w:top w:val="single" w:sz="4" w:space="0" w:color="auto"/>
              <w:left w:val="single" w:sz="4" w:space="0" w:color="auto"/>
              <w:bottom w:val="single" w:sz="4" w:space="0" w:color="auto"/>
              <w:right w:val="single" w:sz="4" w:space="0" w:color="auto"/>
            </w:tcBorders>
            <w:shd w:val="clear" w:color="auto" w:fill="auto"/>
            <w:hideMark/>
          </w:tcPr>
          <w:p w:rsidR="0068554E" w:rsidRPr="005D5710" w:rsidRDefault="0068554E" w:rsidP="0068554E">
            <w:pPr>
              <w:spacing w:before="60" w:after="60"/>
              <w:jc w:val="both"/>
              <w:rPr>
                <w:rFonts w:ascii="Arial" w:hAnsi="Arial" w:cs="Arial"/>
                <w:bCs/>
                <w:sz w:val="18"/>
                <w:szCs w:val="18"/>
              </w:rPr>
            </w:pPr>
            <w:r>
              <w:rPr>
                <w:rFonts w:ascii="Arial" w:hAnsi="Arial"/>
                <w:sz w:val="18"/>
              </w:rPr>
              <w:t>Los costes de los servicios consultivos prestados a</w:t>
            </w:r>
            <w:r w:rsidR="00E03425">
              <w:rPr>
                <w:rFonts w:ascii="Arial" w:hAnsi="Arial"/>
                <w:sz w:val="18"/>
              </w:rPr>
              <w:t xml:space="preserve"> solicitud</w:t>
            </w:r>
            <w:r>
              <w:rPr>
                <w:rFonts w:ascii="Arial" w:hAnsi="Arial"/>
                <w:sz w:val="18"/>
              </w:rPr>
              <w:t xml:space="preserve"> del Comité, incluido el apoyo a Estados en vías de desarrollo cuyos representantes hayan sido nombrados miembros del Órgano de Evaluación;</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sz w:val="20"/>
              </w:rPr>
              <w:t>6,00 %</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6,00 %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Default="0068554E" w:rsidP="0068554E">
            <w:pPr>
              <w:spacing w:before="60" w:after="60"/>
              <w:jc w:val="right"/>
              <w:rPr>
                <w:rFonts w:ascii="Arial" w:hAnsi="Arial" w:cs="Arial"/>
                <w:sz w:val="20"/>
                <w:szCs w:val="20"/>
              </w:rPr>
            </w:pPr>
            <w:r>
              <w:rPr>
                <w:rFonts w:ascii="Arial" w:hAnsi="Arial"/>
                <w:sz w:val="20"/>
              </w:rPr>
              <w:t xml:space="preserve">515.455 </w:t>
            </w:r>
            <w:r w:rsidR="000F77FB" w:rsidRPr="000C3818">
              <w:rPr>
                <w:rFonts w:ascii="Arial" w:hAnsi="Arial" w:cs="Arial"/>
                <w:sz w:val="20"/>
                <w:szCs w:val="20"/>
                <w:lang w:val="en-GB"/>
              </w:rPr>
              <w:t>$</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right"/>
              <w:rPr>
                <w:rFonts w:ascii="Arial" w:hAnsi="Arial" w:cs="Arial"/>
                <w:sz w:val="20"/>
                <w:szCs w:val="20"/>
              </w:rPr>
            </w:pPr>
            <w:r>
              <w:rPr>
                <w:rFonts w:ascii="Arial" w:hAnsi="Arial"/>
                <w:sz w:val="20"/>
              </w:rPr>
              <w:t xml:space="preserve">128.864 </w:t>
            </w:r>
            <w:r w:rsidR="000F77FB" w:rsidRPr="000C3818">
              <w:rPr>
                <w:rFonts w:ascii="Arial" w:hAnsi="Arial" w:cs="Arial"/>
                <w:sz w:val="20"/>
                <w:szCs w:val="20"/>
                <w:lang w:val="en-GB"/>
              </w:rPr>
              <w:t>$</w:t>
            </w:r>
          </w:p>
        </w:tc>
      </w:tr>
      <w:tr w:rsidR="0068554E" w:rsidRPr="000C3818" w:rsidTr="0068554E">
        <w:trPr>
          <w:trHeight w:val="255"/>
        </w:trPr>
        <w:tc>
          <w:tcPr>
            <w:tcW w:w="213"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0C3818" w:rsidRDefault="0068554E" w:rsidP="0068554E">
            <w:pPr>
              <w:spacing w:before="60" w:after="60"/>
              <w:rPr>
                <w:rFonts w:ascii="Arial" w:hAnsi="Arial" w:cs="Arial"/>
                <w:sz w:val="20"/>
                <w:szCs w:val="20"/>
              </w:rPr>
            </w:pPr>
            <w:r>
              <w:rPr>
                <w:rFonts w:ascii="Arial" w:hAnsi="Arial"/>
                <w:sz w:val="20"/>
              </w:rPr>
              <w:t>8.</w:t>
            </w:r>
          </w:p>
        </w:tc>
        <w:tc>
          <w:tcPr>
            <w:tcW w:w="2364" w:type="pct"/>
            <w:tcBorders>
              <w:top w:val="single" w:sz="4" w:space="0" w:color="auto"/>
              <w:left w:val="single" w:sz="4" w:space="0" w:color="auto"/>
              <w:bottom w:val="single" w:sz="4" w:space="0" w:color="auto"/>
              <w:right w:val="single" w:sz="4" w:space="0" w:color="auto"/>
            </w:tcBorders>
            <w:shd w:val="clear" w:color="auto" w:fill="auto"/>
            <w:noWrap/>
            <w:hideMark/>
          </w:tcPr>
          <w:p w:rsidR="0068554E" w:rsidRPr="005D5710" w:rsidRDefault="0068554E" w:rsidP="0068554E">
            <w:pPr>
              <w:spacing w:before="60" w:after="60"/>
              <w:jc w:val="both"/>
              <w:rPr>
                <w:rFonts w:ascii="Arial" w:hAnsi="Arial" w:cs="Arial"/>
                <w:bCs/>
                <w:sz w:val="18"/>
                <w:szCs w:val="18"/>
              </w:rPr>
            </w:pPr>
            <w:r>
              <w:rPr>
                <w:rFonts w:ascii="Arial" w:hAnsi="Arial"/>
                <w:sz w:val="18"/>
              </w:rPr>
              <w:t>El desarrollo del Fondo de Reserva al que se hace referencia en el Artículo 6 del Reglamento Financiero del Fondo.</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center"/>
              <w:rPr>
                <w:rFonts w:ascii="Arial" w:hAnsi="Arial" w:cs="Arial"/>
                <w:sz w:val="20"/>
                <w:szCs w:val="20"/>
              </w:rPr>
            </w:pPr>
            <w:r>
              <w:rPr>
                <w:rFonts w:ascii="Arial" w:hAnsi="Arial"/>
                <w:sz w:val="20"/>
              </w:rPr>
              <w:t>N/A</w:t>
            </w:r>
          </w:p>
        </w:tc>
        <w:tc>
          <w:tcPr>
            <w:tcW w:w="646" w:type="pct"/>
            <w:tcBorders>
              <w:top w:val="dashed" w:sz="4" w:space="0" w:color="auto"/>
              <w:left w:val="single" w:sz="4" w:space="0" w:color="auto"/>
              <w:bottom w:val="dashed"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0 %</w:t>
            </w:r>
          </w:p>
        </w:tc>
        <w:tc>
          <w:tcPr>
            <w:tcW w:w="575" w:type="pct"/>
            <w:tcBorders>
              <w:top w:val="dashed" w:sz="4" w:space="0" w:color="auto"/>
              <w:left w:val="dashed" w:sz="4" w:space="0" w:color="auto"/>
              <w:bottom w:val="dashed" w:sz="4" w:space="0" w:color="auto"/>
              <w:right w:val="dashed" w:sz="4" w:space="0" w:color="auto"/>
            </w:tcBorders>
            <w:vAlign w:val="center"/>
          </w:tcPr>
          <w:p w:rsidR="0068554E" w:rsidRDefault="0068554E" w:rsidP="0068554E">
            <w:pPr>
              <w:spacing w:before="60" w:after="60"/>
              <w:jc w:val="center"/>
              <w:rPr>
                <w:rFonts w:ascii="Arial" w:hAnsi="Arial" w:cs="Arial"/>
                <w:sz w:val="20"/>
                <w:szCs w:val="20"/>
              </w:rPr>
            </w:pPr>
            <w:r>
              <w:rPr>
                <w:rFonts w:ascii="Arial" w:hAnsi="Arial"/>
                <w:sz w:val="20"/>
              </w:rPr>
              <w:t>-</w:t>
            </w:r>
          </w:p>
        </w:tc>
        <w:tc>
          <w:tcPr>
            <w:tcW w:w="626" w:type="pct"/>
            <w:tcBorders>
              <w:top w:val="dashed" w:sz="4" w:space="0" w:color="auto"/>
              <w:left w:val="dashed" w:sz="4" w:space="0" w:color="auto"/>
              <w:bottom w:val="dashed" w:sz="4" w:space="0" w:color="auto"/>
              <w:right w:val="dashed" w:sz="4" w:space="0" w:color="auto"/>
            </w:tcBorders>
            <w:vAlign w:val="center"/>
          </w:tcPr>
          <w:p w:rsidR="0068554E" w:rsidRPr="000C3818" w:rsidRDefault="0068554E" w:rsidP="0068554E">
            <w:pPr>
              <w:spacing w:before="60" w:after="60"/>
              <w:jc w:val="center"/>
              <w:rPr>
                <w:rFonts w:ascii="Arial" w:hAnsi="Arial" w:cs="Arial"/>
                <w:sz w:val="20"/>
                <w:szCs w:val="20"/>
              </w:rPr>
            </w:pPr>
            <w:r>
              <w:rPr>
                <w:rFonts w:ascii="Arial" w:hAnsi="Arial"/>
                <w:sz w:val="20"/>
              </w:rPr>
              <w:t>-</w:t>
            </w:r>
          </w:p>
        </w:tc>
      </w:tr>
      <w:tr w:rsidR="0068554E" w:rsidRPr="000C3818" w:rsidTr="0068554E">
        <w:trPr>
          <w:trHeight w:val="255"/>
        </w:trPr>
        <w:tc>
          <w:tcPr>
            <w:tcW w:w="2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rPr>
                <w:rFonts w:ascii="Arial" w:hAnsi="Arial" w:cs="Arial"/>
                <w:b/>
                <w:bCs/>
                <w:sz w:val="20"/>
                <w:szCs w:val="20"/>
              </w:rPr>
            </w:pPr>
            <w:r>
              <w:rPr>
                <w:rFonts w:ascii="Arial" w:hAnsi="Arial"/>
                <w:b/>
                <w:sz w:val="20"/>
              </w:rPr>
              <w:t>TOTAL</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4E" w:rsidRPr="000C3818" w:rsidRDefault="0068554E" w:rsidP="0068554E">
            <w:pPr>
              <w:spacing w:before="60" w:after="60"/>
              <w:jc w:val="right"/>
              <w:rPr>
                <w:rFonts w:ascii="Arial" w:hAnsi="Arial" w:cs="Arial"/>
                <w:b/>
                <w:bCs/>
                <w:sz w:val="20"/>
                <w:szCs w:val="20"/>
              </w:rPr>
            </w:pPr>
            <w:r>
              <w:rPr>
                <w:rFonts w:ascii="Arial" w:hAnsi="Arial"/>
                <w:b/>
                <w:sz w:val="20"/>
              </w:rPr>
              <w:t>100,00 %</w:t>
            </w:r>
          </w:p>
        </w:tc>
        <w:tc>
          <w:tcPr>
            <w:tcW w:w="646" w:type="pct"/>
            <w:tcBorders>
              <w:top w:val="dashed" w:sz="4" w:space="0" w:color="auto"/>
              <w:left w:val="single" w:sz="4" w:space="0" w:color="auto"/>
              <w:bottom w:val="single" w:sz="4" w:space="0" w:color="auto"/>
              <w:right w:val="dashed" w:sz="4" w:space="0" w:color="auto"/>
            </w:tcBorders>
            <w:shd w:val="clear" w:color="auto" w:fill="auto"/>
            <w:noWrap/>
            <w:vAlign w:val="center"/>
          </w:tcPr>
          <w:p w:rsidR="0068554E" w:rsidRPr="000C3818" w:rsidRDefault="0068554E" w:rsidP="0068554E">
            <w:pPr>
              <w:spacing w:before="60" w:after="60"/>
              <w:jc w:val="center"/>
              <w:rPr>
                <w:rFonts w:ascii="Arial" w:hAnsi="Arial" w:cs="Arial"/>
                <w:b/>
                <w:bCs/>
                <w:sz w:val="20"/>
                <w:szCs w:val="20"/>
              </w:rPr>
            </w:pPr>
            <w:r>
              <w:rPr>
                <w:rFonts w:ascii="Arial" w:hAnsi="Arial"/>
                <w:b/>
                <w:sz w:val="20"/>
              </w:rPr>
              <w:t>100,00 %</w:t>
            </w:r>
          </w:p>
        </w:tc>
        <w:tc>
          <w:tcPr>
            <w:tcW w:w="575" w:type="pct"/>
            <w:tcBorders>
              <w:top w:val="dashed" w:sz="4" w:space="0" w:color="auto"/>
              <w:left w:val="dashed" w:sz="4" w:space="0" w:color="auto"/>
              <w:bottom w:val="single" w:sz="4" w:space="0" w:color="auto"/>
              <w:right w:val="dashed" w:sz="4" w:space="0" w:color="auto"/>
            </w:tcBorders>
            <w:vAlign w:val="center"/>
          </w:tcPr>
          <w:p w:rsidR="0068554E" w:rsidRDefault="0068554E" w:rsidP="00780D6F">
            <w:pPr>
              <w:spacing w:before="60" w:after="60"/>
              <w:jc w:val="right"/>
              <w:rPr>
                <w:rFonts w:ascii="Arial" w:hAnsi="Arial" w:cs="Arial"/>
                <w:b/>
                <w:bCs/>
                <w:sz w:val="20"/>
                <w:szCs w:val="20"/>
              </w:rPr>
            </w:pPr>
            <w:r>
              <w:rPr>
                <w:rFonts w:ascii="Arial" w:hAnsi="Arial"/>
                <w:b/>
                <w:sz w:val="20"/>
              </w:rPr>
              <w:t xml:space="preserve">8.590.922 </w:t>
            </w:r>
            <w:r w:rsidR="000F77FB" w:rsidRPr="000C3818">
              <w:rPr>
                <w:rFonts w:ascii="Arial" w:hAnsi="Arial" w:cs="Arial"/>
                <w:sz w:val="20"/>
                <w:szCs w:val="20"/>
                <w:lang w:val="en-GB"/>
              </w:rPr>
              <w:t>$</w:t>
            </w:r>
            <w:r>
              <w:rPr>
                <w:rFonts w:ascii="Arial" w:hAnsi="Arial"/>
                <w:b/>
                <w:sz w:val="20"/>
              </w:rPr>
              <w:t xml:space="preserve">  </w:t>
            </w:r>
          </w:p>
        </w:tc>
        <w:tc>
          <w:tcPr>
            <w:tcW w:w="626" w:type="pct"/>
            <w:tcBorders>
              <w:top w:val="dashed" w:sz="4" w:space="0" w:color="auto"/>
              <w:left w:val="dashed" w:sz="4" w:space="0" w:color="auto"/>
              <w:bottom w:val="single" w:sz="4" w:space="0" w:color="auto"/>
              <w:right w:val="dashed" w:sz="4" w:space="0" w:color="auto"/>
            </w:tcBorders>
          </w:tcPr>
          <w:p w:rsidR="0068554E" w:rsidRPr="000C3818" w:rsidRDefault="0068554E" w:rsidP="000264F8">
            <w:pPr>
              <w:spacing w:before="60" w:after="60"/>
              <w:jc w:val="right"/>
              <w:rPr>
                <w:rFonts w:ascii="Arial" w:hAnsi="Arial" w:cs="Arial"/>
                <w:b/>
                <w:bCs/>
                <w:sz w:val="20"/>
                <w:szCs w:val="20"/>
              </w:rPr>
            </w:pPr>
            <w:r>
              <w:rPr>
                <w:rFonts w:ascii="Arial" w:hAnsi="Arial"/>
                <w:b/>
                <w:sz w:val="20"/>
              </w:rPr>
              <w:t xml:space="preserve">2.147.731 </w:t>
            </w:r>
            <w:r w:rsidR="000F77FB" w:rsidRPr="000C3818">
              <w:rPr>
                <w:rFonts w:ascii="Arial" w:hAnsi="Arial" w:cs="Arial"/>
                <w:sz w:val="20"/>
                <w:szCs w:val="20"/>
                <w:lang w:val="en-GB"/>
              </w:rPr>
              <w:t>$</w:t>
            </w:r>
          </w:p>
        </w:tc>
      </w:tr>
      <w:tr w:rsidR="0068554E" w:rsidRPr="00E71BDC" w:rsidTr="0068554E">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Pr>
          <w:p w:rsidR="0068554E" w:rsidRPr="000C3818" w:rsidRDefault="0068554E" w:rsidP="0068554E">
            <w:pPr>
              <w:spacing w:before="60" w:after="60"/>
              <w:rPr>
                <w:rFonts w:ascii="Arial" w:hAnsi="Arial" w:cs="Arial"/>
                <w:b/>
                <w:bCs/>
                <w:sz w:val="20"/>
                <w:szCs w:val="20"/>
              </w:rPr>
            </w:pPr>
            <w:r>
              <w:rPr>
                <w:rFonts w:ascii="Arial" w:hAnsi="Arial"/>
                <w:sz w:val="20"/>
              </w:rPr>
              <w:lastRenderedPageBreak/>
              <w:t>Los Fondos que no hayan sido atribuidos al final del periodo de este Plan serán transferidos al siguiente ejercicio financiero y serán asignados según lo establecido por el Plan aprobado por la Asamblea General en ese momento.</w:t>
            </w:r>
          </w:p>
        </w:tc>
      </w:tr>
      <w:tr w:rsidR="0068554E" w:rsidRPr="00E71BDC" w:rsidTr="0068554E">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8554E" w:rsidRPr="000C3818" w:rsidRDefault="0068554E" w:rsidP="0068554E">
            <w:pPr>
              <w:spacing w:before="60" w:after="60"/>
              <w:rPr>
                <w:rFonts w:ascii="Arial" w:hAnsi="Arial" w:cs="Arial"/>
                <w:b/>
                <w:bCs/>
                <w:sz w:val="20"/>
                <w:szCs w:val="20"/>
              </w:rPr>
            </w:pPr>
            <w:r>
              <w:rPr>
                <w:rFonts w:ascii="Arial" w:hAnsi="Arial"/>
                <w:sz w:val="20"/>
              </w:rPr>
              <w:t>Para el periodo comprendido entre el 1 de enero de 2020 y el 30 de junio de 2020, una cuarta parte de la cantidad establecida para los veinticuatro meses del ejercicio financiero 2018-2019 será asignada con carácter provisional, excepto para el Fondo de Reserva cuyo monto fue determinado por el Comité en 1 millón de  (</w:t>
            </w:r>
            <w:hyperlink r:id="rId24" w:history="1">
              <w:r>
                <w:rPr>
                  <w:rStyle w:val="Hyperlink"/>
                  <w:rFonts w:ascii="Arial" w:hAnsi="Arial"/>
                  <w:sz w:val="20"/>
                </w:rPr>
                <w:t>Decisión 10.COM 8</w:t>
              </w:r>
            </w:hyperlink>
            <w:r>
              <w:rPr>
                <w:rFonts w:ascii="Arial" w:hAnsi="Arial"/>
                <w:sz w:val="20"/>
              </w:rPr>
              <w:t>).</w:t>
            </w:r>
          </w:p>
        </w:tc>
      </w:tr>
    </w:tbl>
    <w:p w:rsidR="0068554E" w:rsidRPr="005D5710" w:rsidRDefault="0068554E" w:rsidP="0068554E">
      <w:pPr>
        <w:pStyle w:val="5GAparabodytext"/>
        <w:numPr>
          <w:ilvl w:val="0"/>
          <w:numId w:val="0"/>
        </w:numPr>
        <w:spacing w:after="0"/>
      </w:pPr>
    </w:p>
    <w:sectPr w:rsidR="0068554E" w:rsidRPr="005D5710" w:rsidSect="0068554E">
      <w:headerReference w:type="first" r:id="rId25"/>
      <w:pgSz w:w="11906" w:h="16838" w:code="9"/>
      <w:pgMar w:top="993"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9C3" w:rsidRDefault="00DA39C3" w:rsidP="0068554E">
      <w:r>
        <w:separator/>
      </w:r>
    </w:p>
  </w:endnote>
  <w:endnote w:type="continuationSeparator" w:id="0">
    <w:p w:rsidR="00DA39C3" w:rsidRDefault="00DA39C3" w:rsidP="0068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9C3" w:rsidRDefault="00DA39C3" w:rsidP="0068554E">
      <w:r>
        <w:separator/>
      </w:r>
    </w:p>
  </w:footnote>
  <w:footnote w:type="continuationSeparator" w:id="0">
    <w:p w:rsidR="00DA39C3" w:rsidRDefault="00DA39C3" w:rsidP="0068554E">
      <w:r>
        <w:continuationSeparator/>
      </w:r>
    </w:p>
  </w:footnote>
  <w:footnote w:id="1">
    <w:p w:rsidR="00DA39C3" w:rsidRPr="00BF3230" w:rsidRDefault="00DA39C3" w:rsidP="000264F8">
      <w:pPr>
        <w:pStyle w:val="FootnoteText"/>
        <w:tabs>
          <w:tab w:val="left" w:pos="567"/>
        </w:tabs>
        <w:rPr>
          <w:rFonts w:ascii="Arial" w:hAnsi="Arial" w:cs="Arial"/>
          <w:sz w:val="18"/>
          <w:szCs w:val="18"/>
        </w:rPr>
      </w:pPr>
      <w:r w:rsidRPr="000264F8">
        <w:rPr>
          <w:rStyle w:val="FootnoteReference"/>
          <w:rFonts w:ascii="Arial" w:hAnsi="Arial"/>
          <w:sz w:val="18"/>
          <w:vertAlign w:val="baseline"/>
        </w:rPr>
        <w:footnoteRef/>
      </w:r>
      <w:r>
        <w:rPr>
          <w:rFonts w:ascii="Arial" w:hAnsi="Arial"/>
          <w:sz w:val="18"/>
        </w:rPr>
        <w:t>.</w:t>
      </w:r>
      <w:r>
        <w:rPr>
          <w:rFonts w:ascii="Arial" w:hAnsi="Arial"/>
          <w:sz w:val="18"/>
        </w:rPr>
        <w:tab/>
      </w:r>
      <w:hyperlink r:id="rId1" w:history="1">
        <w:r>
          <w:rPr>
            <w:rStyle w:val="Hyperlink"/>
            <w:rFonts w:ascii="Arial" w:hAnsi="Arial"/>
            <w:sz w:val="18"/>
          </w:rPr>
          <w:t>https://ich.unesco.org/en/donors</w:t>
        </w:r>
      </w:hyperlink>
    </w:p>
  </w:footnote>
  <w:footnote w:id="2">
    <w:p w:rsidR="00DA39C3" w:rsidRPr="00BF3230" w:rsidRDefault="00DA39C3" w:rsidP="0068554E">
      <w:pPr>
        <w:pStyle w:val="FootnoteText"/>
        <w:ind w:left="567" w:hanging="567"/>
        <w:jc w:val="both"/>
        <w:rPr>
          <w:rFonts w:ascii="Arial" w:hAnsi="Arial" w:cs="Arial"/>
          <w:sz w:val="18"/>
          <w:szCs w:val="18"/>
        </w:rPr>
      </w:pPr>
      <w:r>
        <w:rPr>
          <w:rFonts w:ascii="Arial" w:hAnsi="Arial"/>
          <w:sz w:val="18"/>
        </w:rPr>
        <w:footnoteRef/>
      </w:r>
      <w:r>
        <w:rPr>
          <w:rFonts w:ascii="Arial" w:hAnsi="Arial"/>
          <w:sz w:val="18"/>
        </w:rPr>
        <w:t xml:space="preserve"> .</w:t>
      </w:r>
      <w:r>
        <w:rPr>
          <w:rFonts w:ascii="Arial" w:hAnsi="Arial"/>
          <w:sz w:val="18"/>
        </w:rPr>
        <w:tab/>
        <w:t>Los porcentajes se aplican al saldo del Fondo en fecha del 31 de diciembre de 2017. Este saldo no incluye el Fondo de Reserva (1 millón de dólares</w:t>
      </w:r>
      <w:r w:rsidR="00E03425">
        <w:rPr>
          <w:rFonts w:ascii="Arial" w:hAnsi="Arial"/>
          <w:sz w:val="18"/>
        </w:rPr>
        <w:t xml:space="preserve"> americanos</w:t>
      </w:r>
      <w:r>
        <w:rPr>
          <w:rFonts w:ascii="Arial" w:hAnsi="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C3" w:rsidRPr="000264F8" w:rsidRDefault="00DA39C3">
    <w:pPr>
      <w:pStyle w:val="Header"/>
      <w:rPr>
        <w:rFonts w:ascii="Arial" w:hAnsi="Arial" w:cs="Arial"/>
        <w:sz w:val="20"/>
        <w:szCs w:val="20"/>
      </w:rPr>
    </w:pPr>
    <w:r w:rsidRPr="000264F8">
      <w:rPr>
        <w:rFonts w:ascii="Arial" w:hAnsi="Arial"/>
        <w:sz w:val="20"/>
        <w:szCs w:val="20"/>
      </w:rPr>
      <w:t xml:space="preserve">ITH/18/7.GA/8 – página </w:t>
    </w:r>
    <w:r w:rsidRPr="000264F8">
      <w:rPr>
        <w:rStyle w:val="PageNumber"/>
        <w:rFonts w:ascii="Arial" w:hAnsi="Arial"/>
        <w:sz w:val="20"/>
        <w:szCs w:val="20"/>
      </w:rPr>
      <w:fldChar w:fldCharType="begin"/>
    </w:r>
    <w:r w:rsidRPr="000264F8">
      <w:rPr>
        <w:rStyle w:val="PageNumber"/>
        <w:rFonts w:ascii="Arial" w:hAnsi="Arial"/>
        <w:sz w:val="20"/>
        <w:szCs w:val="20"/>
      </w:rPr>
      <w:instrText xml:space="preserve"> PAGE </w:instrText>
    </w:r>
    <w:r w:rsidRPr="000264F8">
      <w:rPr>
        <w:rStyle w:val="PageNumber"/>
        <w:rFonts w:ascii="Arial" w:hAnsi="Arial"/>
        <w:sz w:val="20"/>
        <w:szCs w:val="20"/>
      </w:rPr>
      <w:fldChar w:fldCharType="separate"/>
    </w:r>
    <w:r w:rsidR="00374EDF">
      <w:rPr>
        <w:rStyle w:val="PageNumber"/>
        <w:rFonts w:ascii="Arial" w:hAnsi="Arial"/>
        <w:noProof/>
        <w:sz w:val="20"/>
        <w:szCs w:val="20"/>
      </w:rPr>
      <w:t>10</w:t>
    </w:r>
    <w:r w:rsidRPr="000264F8">
      <w:rPr>
        <w:rStyle w:val="PageNumber"/>
        <w:rFonts w:ascii="Arial" w:hAnsi="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C3" w:rsidRPr="000264F8" w:rsidRDefault="00DA39C3" w:rsidP="0068554E">
    <w:pPr>
      <w:pStyle w:val="Header"/>
      <w:jc w:val="right"/>
      <w:rPr>
        <w:rFonts w:ascii="Arial" w:hAnsi="Arial" w:cs="Arial"/>
        <w:sz w:val="20"/>
        <w:szCs w:val="20"/>
      </w:rPr>
    </w:pPr>
    <w:r w:rsidRPr="000264F8">
      <w:rPr>
        <w:rFonts w:ascii="Arial" w:hAnsi="Arial"/>
        <w:sz w:val="20"/>
        <w:szCs w:val="20"/>
      </w:rPr>
      <w:t xml:space="preserve">ITH/18/7.GA/8 – página </w:t>
    </w:r>
    <w:r w:rsidRPr="000264F8">
      <w:rPr>
        <w:rStyle w:val="PageNumber"/>
        <w:rFonts w:ascii="Arial" w:hAnsi="Arial"/>
        <w:sz w:val="20"/>
        <w:szCs w:val="20"/>
      </w:rPr>
      <w:fldChar w:fldCharType="begin"/>
    </w:r>
    <w:r w:rsidRPr="000264F8">
      <w:rPr>
        <w:rStyle w:val="PageNumber"/>
        <w:rFonts w:ascii="Arial" w:hAnsi="Arial"/>
        <w:sz w:val="20"/>
        <w:szCs w:val="20"/>
      </w:rPr>
      <w:instrText xml:space="preserve"> PAGE </w:instrText>
    </w:r>
    <w:r w:rsidRPr="000264F8">
      <w:rPr>
        <w:rStyle w:val="PageNumber"/>
        <w:rFonts w:ascii="Arial" w:hAnsi="Arial"/>
        <w:sz w:val="20"/>
        <w:szCs w:val="20"/>
      </w:rPr>
      <w:fldChar w:fldCharType="separate"/>
    </w:r>
    <w:r w:rsidR="00374EDF">
      <w:rPr>
        <w:rStyle w:val="PageNumber"/>
        <w:rFonts w:ascii="Arial" w:hAnsi="Arial"/>
        <w:noProof/>
        <w:sz w:val="20"/>
        <w:szCs w:val="20"/>
      </w:rPr>
      <w:t>11</w:t>
    </w:r>
    <w:r w:rsidRPr="000264F8">
      <w:rPr>
        <w:rStyle w:val="PageNumber"/>
        <w:rFonts w:ascii="Arial" w:hAnsi="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C3" w:rsidRPr="008724E5" w:rsidRDefault="00DA39C3">
    <w:pPr>
      <w:pStyle w:val="Header"/>
    </w:pPr>
    <w:r>
      <w:rPr>
        <w:noProof/>
        <w:lang w:val="en-US" w:eastAsia="ko-KR"/>
      </w:rPr>
      <w:drawing>
        <wp:anchor distT="0" distB="0" distL="114300" distR="114300" simplePos="0" relativeHeight="251658240" behindDoc="1" locked="0" layoutInCell="1" allowOverlap="1" wp14:anchorId="3753C107" wp14:editId="2321002A">
          <wp:simplePos x="0" y="0"/>
          <wp:positionH relativeFrom="page">
            <wp:posOffset>280670</wp:posOffset>
          </wp:positionH>
          <wp:positionV relativeFrom="page">
            <wp:posOffset>261620</wp:posOffset>
          </wp:positionV>
          <wp:extent cx="2109470" cy="1421765"/>
          <wp:effectExtent l="0" t="0" r="5080" b="6985"/>
          <wp:wrapNone/>
          <wp:docPr id="6" name="Image 1"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es"/>
                  <pic:cNvPicPr>
                    <a:picLocks noChangeAspect="1" noChangeArrowheads="1"/>
                  </pic:cNvPicPr>
                </pic:nvPicPr>
                <pic:blipFill>
                  <a:blip r:embed="rId1">
                    <a:extLst>
                      <a:ext uri="{28A0092B-C50C-407E-A947-70E740481C1C}">
                        <a14:useLocalDpi xmlns:a14="http://schemas.microsoft.com/office/drawing/2010/main" val="0"/>
                      </a:ext>
                    </a:extLst>
                  </a:blip>
                  <a:srcRect b="7323"/>
                  <a:stretch>
                    <a:fillRect/>
                  </a:stretch>
                </pic:blipFill>
                <pic:spPr bwMode="auto">
                  <a:xfrm>
                    <a:off x="0" y="0"/>
                    <a:ext cx="2109470" cy="1421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9C3" w:rsidRPr="00C23A97" w:rsidRDefault="00DA39C3" w:rsidP="0068554E">
    <w:pPr>
      <w:pStyle w:val="Header"/>
      <w:spacing w:after="520"/>
      <w:jc w:val="right"/>
      <w:rPr>
        <w:rFonts w:ascii="Arial" w:hAnsi="Arial" w:cs="Arial"/>
        <w:b/>
        <w:sz w:val="44"/>
        <w:szCs w:val="44"/>
      </w:rPr>
    </w:pPr>
    <w:r>
      <w:rPr>
        <w:rFonts w:ascii="Arial" w:hAnsi="Arial"/>
        <w:b/>
        <w:sz w:val="44"/>
      </w:rPr>
      <w:t>7 GA</w:t>
    </w:r>
  </w:p>
  <w:p w:rsidR="00DA39C3" w:rsidRPr="00C23A97" w:rsidRDefault="00DA39C3" w:rsidP="0068554E">
    <w:pPr>
      <w:jc w:val="right"/>
      <w:rPr>
        <w:rFonts w:ascii="Arial" w:hAnsi="Arial" w:cs="Arial"/>
        <w:b/>
        <w:sz w:val="22"/>
        <w:szCs w:val="22"/>
      </w:rPr>
    </w:pPr>
    <w:r>
      <w:rPr>
        <w:rFonts w:ascii="Arial" w:hAnsi="Arial"/>
        <w:b/>
        <w:sz w:val="22"/>
      </w:rPr>
      <w:t>ITH/18/7.GA/8</w:t>
    </w:r>
  </w:p>
  <w:p w:rsidR="00DA39C3" w:rsidRPr="00C23A97" w:rsidRDefault="00DA39C3" w:rsidP="0068554E">
    <w:pPr>
      <w:jc w:val="right"/>
      <w:rPr>
        <w:rFonts w:ascii="Arial" w:hAnsi="Arial" w:cs="Arial"/>
        <w:b/>
        <w:sz w:val="22"/>
        <w:szCs w:val="22"/>
      </w:rPr>
    </w:pPr>
    <w:r w:rsidRPr="000264F8">
      <w:rPr>
        <w:rFonts w:ascii="Arial" w:hAnsi="Arial"/>
        <w:b/>
        <w:sz w:val="22"/>
      </w:rPr>
      <w:t xml:space="preserve">París, </w:t>
    </w:r>
    <w:r w:rsidR="002B0BEB" w:rsidRPr="000264F8">
      <w:rPr>
        <w:rFonts w:ascii="Arial" w:hAnsi="Arial"/>
        <w:b/>
        <w:sz w:val="22"/>
      </w:rPr>
      <w:t xml:space="preserve">4 </w:t>
    </w:r>
    <w:r w:rsidRPr="000264F8">
      <w:rPr>
        <w:rFonts w:ascii="Arial" w:hAnsi="Arial"/>
        <w:b/>
        <w:sz w:val="22"/>
      </w:rPr>
      <w:t>de mayo de 2018</w:t>
    </w:r>
  </w:p>
  <w:p w:rsidR="00DA39C3" w:rsidRDefault="00DA39C3" w:rsidP="0068554E">
    <w:pPr>
      <w:jc w:val="right"/>
      <w:rPr>
        <w:rFonts w:ascii="Arial" w:hAnsi="Arial" w:cs="Arial"/>
        <w:b/>
        <w:sz w:val="22"/>
        <w:szCs w:val="22"/>
      </w:rPr>
    </w:pPr>
    <w:r>
      <w:rPr>
        <w:rFonts w:ascii="Arial" w:hAnsi="Arial"/>
        <w:b/>
        <w:sz w:val="22"/>
      </w:rPr>
      <w:t>Original: inglés</w:t>
    </w:r>
  </w:p>
  <w:p w:rsidR="00DA39C3" w:rsidRPr="00BF3230" w:rsidRDefault="00DA39C3" w:rsidP="0068554E">
    <w:pPr>
      <w:rPr>
        <w:rFonts w:ascii="Arial" w:hAnsi="Arial" w:cs="Arial"/>
        <w:bCs/>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C3" w:rsidRPr="008724E5" w:rsidRDefault="00DA39C3">
    <w:pPr>
      <w:pStyle w:val="Header"/>
    </w:pPr>
    <w:r>
      <w:rPr>
        <w:noProof/>
        <w:lang w:val="en-US" w:eastAsia="ko-KR"/>
      </w:rPr>
      <w:drawing>
        <wp:anchor distT="0" distB="0" distL="114300" distR="114300" simplePos="0" relativeHeight="251657216" behindDoc="0" locked="0" layoutInCell="1" allowOverlap="1" wp14:anchorId="440FFDD6" wp14:editId="3489C586">
          <wp:simplePos x="0" y="0"/>
          <wp:positionH relativeFrom="column">
            <wp:posOffset>-567690</wp:posOffset>
          </wp:positionH>
          <wp:positionV relativeFrom="paragraph">
            <wp:posOffset>3810</wp:posOffset>
          </wp:positionV>
          <wp:extent cx="2228215" cy="1367790"/>
          <wp:effectExtent l="0" t="0" r="635" b="381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9C3" w:rsidRPr="00C23A97" w:rsidRDefault="00DA39C3" w:rsidP="0068554E">
    <w:pPr>
      <w:pStyle w:val="Header"/>
      <w:spacing w:after="520"/>
      <w:jc w:val="right"/>
      <w:rPr>
        <w:rFonts w:ascii="Arial" w:hAnsi="Arial" w:cs="Arial"/>
        <w:b/>
        <w:sz w:val="44"/>
        <w:szCs w:val="44"/>
      </w:rPr>
    </w:pPr>
    <w:r>
      <w:rPr>
        <w:rFonts w:ascii="Arial" w:hAnsi="Arial"/>
        <w:b/>
        <w:sz w:val="44"/>
      </w:rPr>
      <w:t>6 GA</w:t>
    </w:r>
  </w:p>
  <w:p w:rsidR="00DA39C3" w:rsidRPr="00C23A97" w:rsidRDefault="00DA39C3" w:rsidP="0068554E">
    <w:pPr>
      <w:jc w:val="right"/>
      <w:rPr>
        <w:rFonts w:ascii="Arial" w:hAnsi="Arial" w:cs="Arial"/>
        <w:b/>
        <w:sz w:val="22"/>
        <w:szCs w:val="22"/>
      </w:rPr>
    </w:pPr>
    <w:r>
      <w:rPr>
        <w:rFonts w:ascii="Arial" w:hAnsi="Arial"/>
        <w:b/>
        <w:sz w:val="22"/>
      </w:rPr>
      <w:t>ITH/16/6.GA/9</w:t>
    </w:r>
  </w:p>
  <w:p w:rsidR="00DA39C3" w:rsidRPr="00C23A97" w:rsidRDefault="00DA39C3" w:rsidP="0068554E">
    <w:pPr>
      <w:jc w:val="right"/>
      <w:rPr>
        <w:rFonts w:ascii="Arial" w:hAnsi="Arial" w:cs="Arial"/>
        <w:b/>
        <w:sz w:val="22"/>
        <w:szCs w:val="22"/>
      </w:rPr>
    </w:pPr>
    <w:r>
      <w:rPr>
        <w:rFonts w:ascii="Arial" w:hAnsi="Arial"/>
        <w:b/>
        <w:sz w:val="22"/>
      </w:rPr>
      <w:t xml:space="preserve">París, </w:t>
    </w:r>
    <w:r>
      <w:rPr>
        <w:rFonts w:ascii="Arial" w:hAnsi="Arial"/>
        <w:b/>
        <w:sz w:val="22"/>
        <w:highlight w:val="yellow"/>
      </w:rPr>
      <w:t xml:space="preserve">xxx </w:t>
    </w:r>
    <w:proofErr w:type="spellStart"/>
    <w:r>
      <w:rPr>
        <w:rFonts w:ascii="Arial" w:hAnsi="Arial"/>
        <w:b/>
        <w:sz w:val="22"/>
        <w:highlight w:val="yellow"/>
      </w:rPr>
      <w:t>xxx</w:t>
    </w:r>
    <w:proofErr w:type="spellEnd"/>
    <w:r>
      <w:rPr>
        <w:rFonts w:ascii="Arial" w:hAnsi="Arial"/>
        <w:b/>
        <w:sz w:val="22"/>
      </w:rPr>
      <w:t xml:space="preserve"> 2016</w:t>
    </w:r>
  </w:p>
  <w:p w:rsidR="00DA39C3" w:rsidRPr="00C23A97" w:rsidRDefault="00DA39C3" w:rsidP="0068554E">
    <w:pPr>
      <w:jc w:val="right"/>
      <w:rPr>
        <w:rFonts w:ascii="Arial" w:hAnsi="Arial" w:cs="Arial"/>
        <w:b/>
        <w:sz w:val="22"/>
        <w:szCs w:val="22"/>
      </w:rPr>
    </w:pPr>
    <w:r>
      <w:rPr>
        <w:rFonts w:ascii="Arial" w:hAnsi="Arial"/>
        <w:b/>
        <w:sz w:val="22"/>
      </w:rPr>
      <w:t xml:space="preserve">Original: </w:t>
    </w:r>
    <w:proofErr w:type="gramStart"/>
    <w:r>
      <w:rPr>
        <w:rFonts w:ascii="Arial" w:hAnsi="Arial"/>
        <w:b/>
        <w:sz w:val="22"/>
      </w:rPr>
      <w:t>Inglés</w:t>
    </w:r>
    <w:proofErr w:type="gramEnd"/>
  </w:p>
  <w:p w:rsidR="00DA39C3" w:rsidRPr="00C23A97" w:rsidRDefault="00DA3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2CD"/>
    <w:multiLevelType w:val="hybridMultilevel"/>
    <w:tmpl w:val="3C482802"/>
    <w:lvl w:ilvl="0" w:tplc="1BF0101C">
      <w:start w:val="1"/>
      <w:numFmt w:val="decimal"/>
      <w:lvlText w:val="%1."/>
      <w:lvlJc w:val="left"/>
      <w:pPr>
        <w:ind w:left="1287" w:hanging="360"/>
      </w:pPr>
    </w:lvl>
    <w:lvl w:ilvl="1" w:tplc="7220D23C" w:tentative="1">
      <w:start w:val="1"/>
      <w:numFmt w:val="lowerLetter"/>
      <w:lvlText w:val="%2."/>
      <w:lvlJc w:val="left"/>
      <w:pPr>
        <w:ind w:left="2007" w:hanging="360"/>
      </w:pPr>
    </w:lvl>
    <w:lvl w:ilvl="2" w:tplc="E282269E" w:tentative="1">
      <w:start w:val="1"/>
      <w:numFmt w:val="lowerRoman"/>
      <w:lvlText w:val="%3."/>
      <w:lvlJc w:val="right"/>
      <w:pPr>
        <w:ind w:left="2727" w:hanging="180"/>
      </w:pPr>
    </w:lvl>
    <w:lvl w:ilvl="3" w:tplc="F9BADFA6" w:tentative="1">
      <w:start w:val="1"/>
      <w:numFmt w:val="decimal"/>
      <w:lvlText w:val="%4."/>
      <w:lvlJc w:val="left"/>
      <w:pPr>
        <w:ind w:left="3447" w:hanging="360"/>
      </w:pPr>
    </w:lvl>
    <w:lvl w:ilvl="4" w:tplc="82DA522C" w:tentative="1">
      <w:start w:val="1"/>
      <w:numFmt w:val="lowerLetter"/>
      <w:lvlText w:val="%5."/>
      <w:lvlJc w:val="left"/>
      <w:pPr>
        <w:ind w:left="4167" w:hanging="360"/>
      </w:pPr>
    </w:lvl>
    <w:lvl w:ilvl="5" w:tplc="C7A246B2" w:tentative="1">
      <w:start w:val="1"/>
      <w:numFmt w:val="lowerRoman"/>
      <w:lvlText w:val="%6."/>
      <w:lvlJc w:val="right"/>
      <w:pPr>
        <w:ind w:left="4887" w:hanging="180"/>
      </w:pPr>
    </w:lvl>
    <w:lvl w:ilvl="6" w:tplc="758628E8" w:tentative="1">
      <w:start w:val="1"/>
      <w:numFmt w:val="decimal"/>
      <w:lvlText w:val="%7."/>
      <w:lvlJc w:val="left"/>
      <w:pPr>
        <w:ind w:left="5607" w:hanging="360"/>
      </w:pPr>
    </w:lvl>
    <w:lvl w:ilvl="7" w:tplc="AF42E5C6" w:tentative="1">
      <w:start w:val="1"/>
      <w:numFmt w:val="lowerLetter"/>
      <w:lvlText w:val="%8."/>
      <w:lvlJc w:val="left"/>
      <w:pPr>
        <w:ind w:left="6327" w:hanging="360"/>
      </w:pPr>
    </w:lvl>
    <w:lvl w:ilvl="8" w:tplc="A0984DAC" w:tentative="1">
      <w:start w:val="1"/>
      <w:numFmt w:val="lowerRoman"/>
      <w:lvlText w:val="%9."/>
      <w:lvlJc w:val="right"/>
      <w:pPr>
        <w:ind w:left="7047" w:hanging="180"/>
      </w:pPr>
    </w:lvl>
  </w:abstractNum>
  <w:abstractNum w:abstractNumId="1" w15:restartNumberingAfterBreak="0">
    <w:nsid w:val="0ADA76B9"/>
    <w:multiLevelType w:val="hybridMultilevel"/>
    <w:tmpl w:val="A4F2784A"/>
    <w:lvl w:ilvl="0" w:tplc="CDCA7AC2">
      <w:start w:val="1"/>
      <w:numFmt w:val="decimal"/>
      <w:lvlText w:val="%1."/>
      <w:lvlJc w:val="left"/>
      <w:pPr>
        <w:tabs>
          <w:tab w:val="num" w:pos="360"/>
        </w:tabs>
        <w:ind w:left="360" w:hanging="360"/>
      </w:pPr>
      <w:rPr>
        <w:b w:val="0"/>
      </w:rPr>
    </w:lvl>
    <w:lvl w:ilvl="1" w:tplc="F4DA1718">
      <w:start w:val="1"/>
      <w:numFmt w:val="lowerLetter"/>
      <w:lvlText w:val="%2."/>
      <w:lvlJc w:val="left"/>
      <w:pPr>
        <w:tabs>
          <w:tab w:val="num" w:pos="1080"/>
        </w:tabs>
        <w:ind w:left="1080" w:hanging="360"/>
      </w:pPr>
    </w:lvl>
    <w:lvl w:ilvl="2" w:tplc="7CD69E56" w:tentative="1">
      <w:start w:val="1"/>
      <w:numFmt w:val="lowerRoman"/>
      <w:lvlText w:val="%3."/>
      <w:lvlJc w:val="right"/>
      <w:pPr>
        <w:tabs>
          <w:tab w:val="num" w:pos="1800"/>
        </w:tabs>
        <w:ind w:left="1800" w:hanging="180"/>
      </w:pPr>
    </w:lvl>
    <w:lvl w:ilvl="3" w:tplc="B9B6EF50" w:tentative="1">
      <w:start w:val="1"/>
      <w:numFmt w:val="decimal"/>
      <w:lvlText w:val="%4."/>
      <w:lvlJc w:val="left"/>
      <w:pPr>
        <w:tabs>
          <w:tab w:val="num" w:pos="2520"/>
        </w:tabs>
        <w:ind w:left="2520" w:hanging="360"/>
      </w:pPr>
    </w:lvl>
    <w:lvl w:ilvl="4" w:tplc="6A4670FC" w:tentative="1">
      <w:start w:val="1"/>
      <w:numFmt w:val="lowerLetter"/>
      <w:lvlText w:val="%5."/>
      <w:lvlJc w:val="left"/>
      <w:pPr>
        <w:tabs>
          <w:tab w:val="num" w:pos="3240"/>
        </w:tabs>
        <w:ind w:left="3240" w:hanging="360"/>
      </w:pPr>
    </w:lvl>
    <w:lvl w:ilvl="5" w:tplc="FFB2DA5C" w:tentative="1">
      <w:start w:val="1"/>
      <w:numFmt w:val="lowerRoman"/>
      <w:lvlText w:val="%6."/>
      <w:lvlJc w:val="right"/>
      <w:pPr>
        <w:tabs>
          <w:tab w:val="num" w:pos="3960"/>
        </w:tabs>
        <w:ind w:left="3960" w:hanging="180"/>
      </w:pPr>
    </w:lvl>
    <w:lvl w:ilvl="6" w:tplc="A27AA4BE" w:tentative="1">
      <w:start w:val="1"/>
      <w:numFmt w:val="decimal"/>
      <w:lvlText w:val="%7."/>
      <w:lvlJc w:val="left"/>
      <w:pPr>
        <w:tabs>
          <w:tab w:val="num" w:pos="4680"/>
        </w:tabs>
        <w:ind w:left="4680" w:hanging="360"/>
      </w:pPr>
    </w:lvl>
    <w:lvl w:ilvl="7" w:tplc="8C76F7CE" w:tentative="1">
      <w:start w:val="1"/>
      <w:numFmt w:val="lowerLetter"/>
      <w:lvlText w:val="%8."/>
      <w:lvlJc w:val="left"/>
      <w:pPr>
        <w:tabs>
          <w:tab w:val="num" w:pos="5400"/>
        </w:tabs>
        <w:ind w:left="5400" w:hanging="360"/>
      </w:pPr>
    </w:lvl>
    <w:lvl w:ilvl="8" w:tplc="23445596" w:tentative="1">
      <w:start w:val="1"/>
      <w:numFmt w:val="lowerRoman"/>
      <w:lvlText w:val="%9."/>
      <w:lvlJc w:val="right"/>
      <w:pPr>
        <w:tabs>
          <w:tab w:val="num" w:pos="6120"/>
        </w:tabs>
        <w:ind w:left="6120" w:hanging="180"/>
      </w:pPr>
    </w:lvl>
  </w:abstractNum>
  <w:abstractNum w:abstractNumId="2" w15:restartNumberingAfterBreak="0">
    <w:nsid w:val="100B1C9C"/>
    <w:multiLevelType w:val="hybridMultilevel"/>
    <w:tmpl w:val="F60E309C"/>
    <w:lvl w:ilvl="0" w:tplc="E8441874">
      <w:start w:val="1"/>
      <w:numFmt w:val="bullet"/>
      <w:pStyle w:val="TIRETbul1cm"/>
      <w:lvlText w:val=""/>
      <w:lvlJc w:val="left"/>
      <w:pPr>
        <w:tabs>
          <w:tab w:val="num" w:pos="360"/>
        </w:tabs>
        <w:ind w:left="284" w:hanging="284"/>
      </w:pPr>
      <w:rPr>
        <w:rFonts w:ascii="Symbol" w:hAnsi="Symbol" w:hint="default"/>
      </w:rPr>
    </w:lvl>
    <w:lvl w:ilvl="1" w:tplc="93465B60">
      <w:start w:val="1"/>
      <w:numFmt w:val="decimal"/>
      <w:lvlText w:val="%2."/>
      <w:lvlJc w:val="left"/>
      <w:pPr>
        <w:tabs>
          <w:tab w:val="num" w:pos="1157"/>
        </w:tabs>
        <w:ind w:left="1157" w:hanging="360"/>
      </w:pPr>
      <w:rPr>
        <w:rFonts w:hint="default"/>
      </w:rPr>
    </w:lvl>
    <w:lvl w:ilvl="2" w:tplc="D71A7CDC" w:tentative="1">
      <w:start w:val="1"/>
      <w:numFmt w:val="bullet"/>
      <w:lvlText w:val=""/>
      <w:lvlJc w:val="left"/>
      <w:pPr>
        <w:tabs>
          <w:tab w:val="num" w:pos="1877"/>
        </w:tabs>
        <w:ind w:left="1877" w:hanging="360"/>
      </w:pPr>
      <w:rPr>
        <w:rFonts w:ascii="Wingdings" w:hAnsi="Wingdings" w:hint="default"/>
      </w:rPr>
    </w:lvl>
    <w:lvl w:ilvl="3" w:tplc="8CAC0C0C" w:tentative="1">
      <w:start w:val="1"/>
      <w:numFmt w:val="bullet"/>
      <w:lvlText w:val=""/>
      <w:lvlJc w:val="left"/>
      <w:pPr>
        <w:tabs>
          <w:tab w:val="num" w:pos="2597"/>
        </w:tabs>
        <w:ind w:left="2597" w:hanging="360"/>
      </w:pPr>
      <w:rPr>
        <w:rFonts w:ascii="Symbol" w:hAnsi="Symbol" w:hint="default"/>
      </w:rPr>
    </w:lvl>
    <w:lvl w:ilvl="4" w:tplc="6A06DF38" w:tentative="1">
      <w:start w:val="1"/>
      <w:numFmt w:val="bullet"/>
      <w:lvlText w:val="o"/>
      <w:lvlJc w:val="left"/>
      <w:pPr>
        <w:tabs>
          <w:tab w:val="num" w:pos="3317"/>
        </w:tabs>
        <w:ind w:left="3317" w:hanging="360"/>
      </w:pPr>
      <w:rPr>
        <w:rFonts w:ascii="Courier New" w:hAnsi="Courier New" w:hint="default"/>
      </w:rPr>
    </w:lvl>
    <w:lvl w:ilvl="5" w:tplc="0B12EB5E" w:tentative="1">
      <w:start w:val="1"/>
      <w:numFmt w:val="bullet"/>
      <w:lvlText w:val=""/>
      <w:lvlJc w:val="left"/>
      <w:pPr>
        <w:tabs>
          <w:tab w:val="num" w:pos="4037"/>
        </w:tabs>
        <w:ind w:left="4037" w:hanging="360"/>
      </w:pPr>
      <w:rPr>
        <w:rFonts w:ascii="Wingdings" w:hAnsi="Wingdings" w:hint="default"/>
      </w:rPr>
    </w:lvl>
    <w:lvl w:ilvl="6" w:tplc="3A2AE798" w:tentative="1">
      <w:start w:val="1"/>
      <w:numFmt w:val="bullet"/>
      <w:lvlText w:val=""/>
      <w:lvlJc w:val="left"/>
      <w:pPr>
        <w:tabs>
          <w:tab w:val="num" w:pos="4757"/>
        </w:tabs>
        <w:ind w:left="4757" w:hanging="360"/>
      </w:pPr>
      <w:rPr>
        <w:rFonts w:ascii="Symbol" w:hAnsi="Symbol" w:hint="default"/>
      </w:rPr>
    </w:lvl>
    <w:lvl w:ilvl="7" w:tplc="6B980104" w:tentative="1">
      <w:start w:val="1"/>
      <w:numFmt w:val="bullet"/>
      <w:lvlText w:val="o"/>
      <w:lvlJc w:val="left"/>
      <w:pPr>
        <w:tabs>
          <w:tab w:val="num" w:pos="5477"/>
        </w:tabs>
        <w:ind w:left="5477" w:hanging="360"/>
      </w:pPr>
      <w:rPr>
        <w:rFonts w:ascii="Courier New" w:hAnsi="Courier New" w:hint="default"/>
      </w:rPr>
    </w:lvl>
    <w:lvl w:ilvl="8" w:tplc="2D9AD040"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1AC23FD"/>
    <w:multiLevelType w:val="hybridMultilevel"/>
    <w:tmpl w:val="50705A4A"/>
    <w:lvl w:ilvl="0" w:tplc="DE343152">
      <w:start w:val="1"/>
      <w:numFmt w:val="decimal"/>
      <w:pStyle w:val="Paragraph"/>
      <w:lvlText w:val="%1."/>
      <w:lvlJc w:val="left"/>
      <w:pPr>
        <w:tabs>
          <w:tab w:val="num" w:pos="363"/>
        </w:tabs>
        <w:ind w:left="363" w:hanging="360"/>
      </w:pPr>
      <w:rPr>
        <w:b w:val="0"/>
      </w:rPr>
    </w:lvl>
    <w:lvl w:ilvl="1" w:tplc="7B363DC6">
      <w:start w:val="1"/>
      <w:numFmt w:val="bullet"/>
      <w:lvlText w:val="-"/>
      <w:lvlJc w:val="left"/>
      <w:pPr>
        <w:tabs>
          <w:tab w:val="num" w:pos="1083"/>
        </w:tabs>
        <w:ind w:left="1083" w:hanging="360"/>
      </w:pPr>
      <w:rPr>
        <w:rFonts w:ascii="Arial" w:eastAsia="Times New Roman" w:hAnsi="Arial" w:cs="Arial" w:hint="default"/>
      </w:rPr>
    </w:lvl>
    <w:lvl w:ilvl="2" w:tplc="55B09934">
      <w:start w:val="1"/>
      <w:numFmt w:val="lowerLetter"/>
      <w:lvlText w:val="%3)"/>
      <w:lvlJc w:val="left"/>
      <w:pPr>
        <w:ind w:left="1983" w:hanging="360"/>
      </w:pPr>
      <w:rPr>
        <w:rFonts w:hint="default"/>
      </w:rPr>
    </w:lvl>
    <w:lvl w:ilvl="3" w:tplc="F4946E18" w:tentative="1">
      <w:start w:val="1"/>
      <w:numFmt w:val="decimal"/>
      <w:lvlText w:val="%4."/>
      <w:lvlJc w:val="left"/>
      <w:pPr>
        <w:tabs>
          <w:tab w:val="num" w:pos="2523"/>
        </w:tabs>
        <w:ind w:left="2523" w:hanging="360"/>
      </w:pPr>
    </w:lvl>
    <w:lvl w:ilvl="4" w:tplc="E668D35C" w:tentative="1">
      <w:start w:val="1"/>
      <w:numFmt w:val="lowerLetter"/>
      <w:lvlText w:val="%5."/>
      <w:lvlJc w:val="left"/>
      <w:pPr>
        <w:tabs>
          <w:tab w:val="num" w:pos="3243"/>
        </w:tabs>
        <w:ind w:left="3243" w:hanging="360"/>
      </w:pPr>
    </w:lvl>
    <w:lvl w:ilvl="5" w:tplc="0C440B92" w:tentative="1">
      <w:start w:val="1"/>
      <w:numFmt w:val="lowerRoman"/>
      <w:lvlText w:val="%6."/>
      <w:lvlJc w:val="right"/>
      <w:pPr>
        <w:tabs>
          <w:tab w:val="num" w:pos="3963"/>
        </w:tabs>
        <w:ind w:left="3963" w:hanging="180"/>
      </w:pPr>
    </w:lvl>
    <w:lvl w:ilvl="6" w:tplc="30244360" w:tentative="1">
      <w:start w:val="1"/>
      <w:numFmt w:val="decimal"/>
      <w:lvlText w:val="%7."/>
      <w:lvlJc w:val="left"/>
      <w:pPr>
        <w:tabs>
          <w:tab w:val="num" w:pos="4683"/>
        </w:tabs>
        <w:ind w:left="4683" w:hanging="360"/>
      </w:pPr>
    </w:lvl>
    <w:lvl w:ilvl="7" w:tplc="3BA24822" w:tentative="1">
      <w:start w:val="1"/>
      <w:numFmt w:val="lowerLetter"/>
      <w:lvlText w:val="%8."/>
      <w:lvlJc w:val="left"/>
      <w:pPr>
        <w:tabs>
          <w:tab w:val="num" w:pos="5403"/>
        </w:tabs>
        <w:ind w:left="5403" w:hanging="360"/>
      </w:pPr>
    </w:lvl>
    <w:lvl w:ilvl="8" w:tplc="9CDACEE8" w:tentative="1">
      <w:start w:val="1"/>
      <w:numFmt w:val="lowerRoman"/>
      <w:lvlText w:val="%9."/>
      <w:lvlJc w:val="right"/>
      <w:pPr>
        <w:tabs>
          <w:tab w:val="num" w:pos="6123"/>
        </w:tabs>
        <w:ind w:left="6123" w:hanging="180"/>
      </w:pPr>
    </w:lvl>
  </w:abstractNum>
  <w:abstractNum w:abstractNumId="4" w15:restartNumberingAfterBreak="0">
    <w:nsid w:val="186C1329"/>
    <w:multiLevelType w:val="hybridMultilevel"/>
    <w:tmpl w:val="52F629FC"/>
    <w:lvl w:ilvl="0" w:tplc="B32E8A92">
      <w:start w:val="1"/>
      <w:numFmt w:val="upperRoman"/>
      <w:lvlText w:val="%1."/>
      <w:lvlJc w:val="left"/>
      <w:pPr>
        <w:ind w:left="1080" w:hanging="720"/>
      </w:pPr>
      <w:rPr>
        <w:rFonts w:hint="default"/>
      </w:rPr>
    </w:lvl>
    <w:lvl w:ilvl="1" w:tplc="8820D082" w:tentative="1">
      <w:start w:val="1"/>
      <w:numFmt w:val="lowerLetter"/>
      <w:lvlText w:val="%2."/>
      <w:lvlJc w:val="left"/>
      <w:pPr>
        <w:ind w:left="1440" w:hanging="360"/>
      </w:pPr>
    </w:lvl>
    <w:lvl w:ilvl="2" w:tplc="8D207B0A" w:tentative="1">
      <w:start w:val="1"/>
      <w:numFmt w:val="lowerRoman"/>
      <w:lvlText w:val="%3."/>
      <w:lvlJc w:val="right"/>
      <w:pPr>
        <w:ind w:left="2160" w:hanging="180"/>
      </w:pPr>
    </w:lvl>
    <w:lvl w:ilvl="3" w:tplc="A2D65758" w:tentative="1">
      <w:start w:val="1"/>
      <w:numFmt w:val="decimal"/>
      <w:lvlText w:val="%4."/>
      <w:lvlJc w:val="left"/>
      <w:pPr>
        <w:ind w:left="2880" w:hanging="360"/>
      </w:pPr>
    </w:lvl>
    <w:lvl w:ilvl="4" w:tplc="25522EC2" w:tentative="1">
      <w:start w:val="1"/>
      <w:numFmt w:val="lowerLetter"/>
      <w:lvlText w:val="%5."/>
      <w:lvlJc w:val="left"/>
      <w:pPr>
        <w:ind w:left="3600" w:hanging="360"/>
      </w:pPr>
    </w:lvl>
    <w:lvl w:ilvl="5" w:tplc="19A63C6E" w:tentative="1">
      <w:start w:val="1"/>
      <w:numFmt w:val="lowerRoman"/>
      <w:lvlText w:val="%6."/>
      <w:lvlJc w:val="right"/>
      <w:pPr>
        <w:ind w:left="4320" w:hanging="180"/>
      </w:pPr>
    </w:lvl>
    <w:lvl w:ilvl="6" w:tplc="D6BEF724" w:tentative="1">
      <w:start w:val="1"/>
      <w:numFmt w:val="decimal"/>
      <w:lvlText w:val="%7."/>
      <w:lvlJc w:val="left"/>
      <w:pPr>
        <w:ind w:left="5040" w:hanging="360"/>
      </w:pPr>
    </w:lvl>
    <w:lvl w:ilvl="7" w:tplc="A1C22D7A" w:tentative="1">
      <w:start w:val="1"/>
      <w:numFmt w:val="lowerLetter"/>
      <w:lvlText w:val="%8."/>
      <w:lvlJc w:val="left"/>
      <w:pPr>
        <w:ind w:left="5760" w:hanging="360"/>
      </w:pPr>
    </w:lvl>
    <w:lvl w:ilvl="8" w:tplc="23EC6800" w:tentative="1">
      <w:start w:val="1"/>
      <w:numFmt w:val="lowerRoman"/>
      <w:lvlText w:val="%9."/>
      <w:lvlJc w:val="right"/>
      <w:pPr>
        <w:ind w:left="6480" w:hanging="180"/>
      </w:pPr>
    </w:lvl>
  </w:abstractNum>
  <w:abstractNum w:abstractNumId="5" w15:restartNumberingAfterBreak="0">
    <w:nsid w:val="1C075DAB"/>
    <w:multiLevelType w:val="hybridMultilevel"/>
    <w:tmpl w:val="5804FE3C"/>
    <w:lvl w:ilvl="0" w:tplc="68E48ECC">
      <w:start w:val="1"/>
      <w:numFmt w:val="decimal"/>
      <w:lvlText w:val="%1."/>
      <w:lvlJc w:val="left"/>
      <w:pPr>
        <w:ind w:left="785" w:hanging="360"/>
      </w:pPr>
      <w:rPr>
        <w:rFonts w:hint="default"/>
      </w:rPr>
    </w:lvl>
    <w:lvl w:ilvl="1" w:tplc="A36293E6" w:tentative="1">
      <w:start w:val="1"/>
      <w:numFmt w:val="lowerLetter"/>
      <w:lvlText w:val="%2."/>
      <w:lvlJc w:val="left"/>
      <w:pPr>
        <w:ind w:left="1505" w:hanging="360"/>
      </w:pPr>
    </w:lvl>
    <w:lvl w:ilvl="2" w:tplc="7BC00D4A" w:tentative="1">
      <w:start w:val="1"/>
      <w:numFmt w:val="lowerRoman"/>
      <w:lvlText w:val="%3."/>
      <w:lvlJc w:val="right"/>
      <w:pPr>
        <w:ind w:left="2225" w:hanging="180"/>
      </w:pPr>
    </w:lvl>
    <w:lvl w:ilvl="3" w:tplc="1C2C3934" w:tentative="1">
      <w:start w:val="1"/>
      <w:numFmt w:val="decimal"/>
      <w:lvlText w:val="%4."/>
      <w:lvlJc w:val="left"/>
      <w:pPr>
        <w:ind w:left="2945" w:hanging="360"/>
      </w:pPr>
    </w:lvl>
    <w:lvl w:ilvl="4" w:tplc="C8805022" w:tentative="1">
      <w:start w:val="1"/>
      <w:numFmt w:val="lowerLetter"/>
      <w:lvlText w:val="%5."/>
      <w:lvlJc w:val="left"/>
      <w:pPr>
        <w:ind w:left="3665" w:hanging="360"/>
      </w:pPr>
    </w:lvl>
    <w:lvl w:ilvl="5" w:tplc="9E909D20" w:tentative="1">
      <w:start w:val="1"/>
      <w:numFmt w:val="lowerRoman"/>
      <w:lvlText w:val="%6."/>
      <w:lvlJc w:val="right"/>
      <w:pPr>
        <w:ind w:left="4385" w:hanging="180"/>
      </w:pPr>
    </w:lvl>
    <w:lvl w:ilvl="6" w:tplc="5956C43C" w:tentative="1">
      <w:start w:val="1"/>
      <w:numFmt w:val="decimal"/>
      <w:lvlText w:val="%7."/>
      <w:lvlJc w:val="left"/>
      <w:pPr>
        <w:ind w:left="5105" w:hanging="360"/>
      </w:pPr>
    </w:lvl>
    <w:lvl w:ilvl="7" w:tplc="A866C602" w:tentative="1">
      <w:start w:val="1"/>
      <w:numFmt w:val="lowerLetter"/>
      <w:lvlText w:val="%8."/>
      <w:lvlJc w:val="left"/>
      <w:pPr>
        <w:ind w:left="5825" w:hanging="360"/>
      </w:pPr>
    </w:lvl>
    <w:lvl w:ilvl="8" w:tplc="D1381276" w:tentative="1">
      <w:start w:val="1"/>
      <w:numFmt w:val="lowerRoman"/>
      <w:lvlText w:val="%9."/>
      <w:lvlJc w:val="right"/>
      <w:pPr>
        <w:ind w:left="6545" w:hanging="180"/>
      </w:pPr>
    </w:lvl>
  </w:abstractNum>
  <w:abstractNum w:abstractNumId="6" w15:restartNumberingAfterBreak="0">
    <w:nsid w:val="1D7D728D"/>
    <w:multiLevelType w:val="hybridMultilevel"/>
    <w:tmpl w:val="2102979A"/>
    <w:lvl w:ilvl="0" w:tplc="F844FD60">
      <w:start w:val="1"/>
      <w:numFmt w:val="decimal"/>
      <w:pStyle w:val="5GAparabodytext"/>
      <w:lvlText w:val="%1."/>
      <w:lvlJc w:val="left"/>
      <w:pPr>
        <w:ind w:left="360" w:hanging="360"/>
      </w:pPr>
    </w:lvl>
    <w:lvl w:ilvl="1" w:tplc="0F98AFC8" w:tentative="1">
      <w:start w:val="1"/>
      <w:numFmt w:val="lowerLetter"/>
      <w:lvlText w:val="%2."/>
      <w:lvlJc w:val="left"/>
      <w:pPr>
        <w:ind w:left="589" w:hanging="360"/>
      </w:pPr>
    </w:lvl>
    <w:lvl w:ilvl="2" w:tplc="008C3F92" w:tentative="1">
      <w:start w:val="1"/>
      <w:numFmt w:val="lowerRoman"/>
      <w:lvlText w:val="%3."/>
      <w:lvlJc w:val="right"/>
      <w:pPr>
        <w:ind w:left="1309" w:hanging="180"/>
      </w:pPr>
    </w:lvl>
    <w:lvl w:ilvl="3" w:tplc="13D402A0" w:tentative="1">
      <w:start w:val="1"/>
      <w:numFmt w:val="decimal"/>
      <w:lvlText w:val="%4."/>
      <w:lvlJc w:val="left"/>
      <w:pPr>
        <w:ind w:left="2029" w:hanging="360"/>
      </w:pPr>
    </w:lvl>
    <w:lvl w:ilvl="4" w:tplc="0FD4A004" w:tentative="1">
      <w:start w:val="1"/>
      <w:numFmt w:val="lowerLetter"/>
      <w:lvlText w:val="%5."/>
      <w:lvlJc w:val="left"/>
      <w:pPr>
        <w:ind w:left="2749" w:hanging="360"/>
      </w:pPr>
    </w:lvl>
    <w:lvl w:ilvl="5" w:tplc="21681D98" w:tentative="1">
      <w:start w:val="1"/>
      <w:numFmt w:val="lowerRoman"/>
      <w:lvlText w:val="%6."/>
      <w:lvlJc w:val="right"/>
      <w:pPr>
        <w:ind w:left="3469" w:hanging="180"/>
      </w:pPr>
    </w:lvl>
    <w:lvl w:ilvl="6" w:tplc="B1EC56F4" w:tentative="1">
      <w:start w:val="1"/>
      <w:numFmt w:val="decimal"/>
      <w:lvlText w:val="%7."/>
      <w:lvlJc w:val="left"/>
      <w:pPr>
        <w:ind w:left="4189" w:hanging="360"/>
      </w:pPr>
    </w:lvl>
    <w:lvl w:ilvl="7" w:tplc="5EF2E3F0" w:tentative="1">
      <w:start w:val="1"/>
      <w:numFmt w:val="lowerLetter"/>
      <w:lvlText w:val="%8."/>
      <w:lvlJc w:val="left"/>
      <w:pPr>
        <w:ind w:left="4909" w:hanging="360"/>
      </w:pPr>
    </w:lvl>
    <w:lvl w:ilvl="8" w:tplc="16D2DB0A" w:tentative="1">
      <w:start w:val="1"/>
      <w:numFmt w:val="lowerRoman"/>
      <w:lvlText w:val="%9."/>
      <w:lvlJc w:val="right"/>
      <w:pPr>
        <w:ind w:left="5629" w:hanging="180"/>
      </w:pPr>
    </w:lvl>
  </w:abstractNum>
  <w:abstractNum w:abstractNumId="7" w15:restartNumberingAfterBreak="0">
    <w:nsid w:val="1E2C357D"/>
    <w:multiLevelType w:val="hybridMultilevel"/>
    <w:tmpl w:val="47A29858"/>
    <w:lvl w:ilvl="0" w:tplc="D0B2ED9C">
      <w:start w:val="8"/>
      <w:numFmt w:val="bullet"/>
      <w:lvlText w:val="-"/>
      <w:lvlJc w:val="left"/>
      <w:pPr>
        <w:ind w:left="720" w:hanging="360"/>
      </w:pPr>
      <w:rPr>
        <w:rFonts w:ascii="Arial" w:eastAsia="Times New Roman" w:hAnsi="Arial" w:cs="Arial" w:hint="default"/>
      </w:rPr>
    </w:lvl>
    <w:lvl w:ilvl="1" w:tplc="2A7E8436" w:tentative="1">
      <w:start w:val="1"/>
      <w:numFmt w:val="bullet"/>
      <w:lvlText w:val="o"/>
      <w:lvlJc w:val="left"/>
      <w:pPr>
        <w:ind w:left="1440" w:hanging="360"/>
      </w:pPr>
      <w:rPr>
        <w:rFonts w:ascii="Courier New" w:hAnsi="Courier New" w:cs="Courier New" w:hint="default"/>
      </w:rPr>
    </w:lvl>
    <w:lvl w:ilvl="2" w:tplc="6FD26D56" w:tentative="1">
      <w:start w:val="1"/>
      <w:numFmt w:val="bullet"/>
      <w:lvlText w:val=""/>
      <w:lvlJc w:val="left"/>
      <w:pPr>
        <w:ind w:left="2160" w:hanging="360"/>
      </w:pPr>
      <w:rPr>
        <w:rFonts w:ascii="Wingdings" w:hAnsi="Wingdings" w:hint="default"/>
      </w:rPr>
    </w:lvl>
    <w:lvl w:ilvl="3" w:tplc="E8E646D8" w:tentative="1">
      <w:start w:val="1"/>
      <w:numFmt w:val="bullet"/>
      <w:lvlText w:val=""/>
      <w:lvlJc w:val="left"/>
      <w:pPr>
        <w:ind w:left="2880" w:hanging="360"/>
      </w:pPr>
      <w:rPr>
        <w:rFonts w:ascii="Symbol" w:hAnsi="Symbol" w:hint="default"/>
      </w:rPr>
    </w:lvl>
    <w:lvl w:ilvl="4" w:tplc="2BB4FFEE" w:tentative="1">
      <w:start w:val="1"/>
      <w:numFmt w:val="bullet"/>
      <w:lvlText w:val="o"/>
      <w:lvlJc w:val="left"/>
      <w:pPr>
        <w:ind w:left="3600" w:hanging="360"/>
      </w:pPr>
      <w:rPr>
        <w:rFonts w:ascii="Courier New" w:hAnsi="Courier New" w:cs="Courier New" w:hint="default"/>
      </w:rPr>
    </w:lvl>
    <w:lvl w:ilvl="5" w:tplc="DAA8EFAA" w:tentative="1">
      <w:start w:val="1"/>
      <w:numFmt w:val="bullet"/>
      <w:lvlText w:val=""/>
      <w:lvlJc w:val="left"/>
      <w:pPr>
        <w:ind w:left="4320" w:hanging="360"/>
      </w:pPr>
      <w:rPr>
        <w:rFonts w:ascii="Wingdings" w:hAnsi="Wingdings" w:hint="default"/>
      </w:rPr>
    </w:lvl>
    <w:lvl w:ilvl="6" w:tplc="16FAE06C" w:tentative="1">
      <w:start w:val="1"/>
      <w:numFmt w:val="bullet"/>
      <w:lvlText w:val=""/>
      <w:lvlJc w:val="left"/>
      <w:pPr>
        <w:ind w:left="5040" w:hanging="360"/>
      </w:pPr>
      <w:rPr>
        <w:rFonts w:ascii="Symbol" w:hAnsi="Symbol" w:hint="default"/>
      </w:rPr>
    </w:lvl>
    <w:lvl w:ilvl="7" w:tplc="132841B4" w:tentative="1">
      <w:start w:val="1"/>
      <w:numFmt w:val="bullet"/>
      <w:lvlText w:val="o"/>
      <w:lvlJc w:val="left"/>
      <w:pPr>
        <w:ind w:left="5760" w:hanging="360"/>
      </w:pPr>
      <w:rPr>
        <w:rFonts w:ascii="Courier New" w:hAnsi="Courier New" w:cs="Courier New" w:hint="default"/>
      </w:rPr>
    </w:lvl>
    <w:lvl w:ilvl="8" w:tplc="189A0BAE" w:tentative="1">
      <w:start w:val="1"/>
      <w:numFmt w:val="bullet"/>
      <w:lvlText w:val=""/>
      <w:lvlJc w:val="left"/>
      <w:pPr>
        <w:ind w:left="6480" w:hanging="360"/>
      </w:pPr>
      <w:rPr>
        <w:rFonts w:ascii="Wingdings" w:hAnsi="Wingdings" w:hint="default"/>
      </w:rPr>
    </w:lvl>
  </w:abstractNum>
  <w:abstractNum w:abstractNumId="8" w15:restartNumberingAfterBreak="0">
    <w:nsid w:val="1EC52FED"/>
    <w:multiLevelType w:val="hybridMultilevel"/>
    <w:tmpl w:val="7624C5E8"/>
    <w:lvl w:ilvl="0" w:tplc="81169270">
      <w:start w:val="1"/>
      <w:numFmt w:val="decimal"/>
      <w:lvlText w:val="%1."/>
      <w:lvlJc w:val="left"/>
      <w:pPr>
        <w:tabs>
          <w:tab w:val="num" w:pos="360"/>
        </w:tabs>
        <w:ind w:left="360" w:hanging="360"/>
      </w:pPr>
    </w:lvl>
    <w:lvl w:ilvl="1" w:tplc="7F28A130" w:tentative="1">
      <w:start w:val="1"/>
      <w:numFmt w:val="lowerLetter"/>
      <w:lvlText w:val="%2."/>
      <w:lvlJc w:val="left"/>
      <w:pPr>
        <w:tabs>
          <w:tab w:val="num" w:pos="1080"/>
        </w:tabs>
        <w:ind w:left="1080" w:hanging="360"/>
      </w:pPr>
    </w:lvl>
    <w:lvl w:ilvl="2" w:tplc="469677AE" w:tentative="1">
      <w:start w:val="1"/>
      <w:numFmt w:val="lowerRoman"/>
      <w:lvlText w:val="%3."/>
      <w:lvlJc w:val="right"/>
      <w:pPr>
        <w:tabs>
          <w:tab w:val="num" w:pos="1800"/>
        </w:tabs>
        <w:ind w:left="1800" w:hanging="180"/>
      </w:pPr>
    </w:lvl>
    <w:lvl w:ilvl="3" w:tplc="D0747E94" w:tentative="1">
      <w:start w:val="1"/>
      <w:numFmt w:val="decimal"/>
      <w:lvlText w:val="%4."/>
      <w:lvlJc w:val="left"/>
      <w:pPr>
        <w:tabs>
          <w:tab w:val="num" w:pos="2520"/>
        </w:tabs>
        <w:ind w:left="2520" w:hanging="360"/>
      </w:pPr>
    </w:lvl>
    <w:lvl w:ilvl="4" w:tplc="4FDC4384" w:tentative="1">
      <w:start w:val="1"/>
      <w:numFmt w:val="lowerLetter"/>
      <w:lvlText w:val="%5."/>
      <w:lvlJc w:val="left"/>
      <w:pPr>
        <w:tabs>
          <w:tab w:val="num" w:pos="3240"/>
        </w:tabs>
        <w:ind w:left="3240" w:hanging="360"/>
      </w:pPr>
    </w:lvl>
    <w:lvl w:ilvl="5" w:tplc="A24CE6F4" w:tentative="1">
      <w:start w:val="1"/>
      <w:numFmt w:val="lowerRoman"/>
      <w:lvlText w:val="%6."/>
      <w:lvlJc w:val="right"/>
      <w:pPr>
        <w:tabs>
          <w:tab w:val="num" w:pos="3960"/>
        </w:tabs>
        <w:ind w:left="3960" w:hanging="180"/>
      </w:pPr>
    </w:lvl>
    <w:lvl w:ilvl="6" w:tplc="9FE6AB5C" w:tentative="1">
      <w:start w:val="1"/>
      <w:numFmt w:val="decimal"/>
      <w:lvlText w:val="%7."/>
      <w:lvlJc w:val="left"/>
      <w:pPr>
        <w:tabs>
          <w:tab w:val="num" w:pos="4680"/>
        </w:tabs>
        <w:ind w:left="4680" w:hanging="360"/>
      </w:pPr>
    </w:lvl>
    <w:lvl w:ilvl="7" w:tplc="5F301326" w:tentative="1">
      <w:start w:val="1"/>
      <w:numFmt w:val="lowerLetter"/>
      <w:lvlText w:val="%8."/>
      <w:lvlJc w:val="left"/>
      <w:pPr>
        <w:tabs>
          <w:tab w:val="num" w:pos="5400"/>
        </w:tabs>
        <w:ind w:left="5400" w:hanging="360"/>
      </w:pPr>
    </w:lvl>
    <w:lvl w:ilvl="8" w:tplc="094AD154" w:tentative="1">
      <w:start w:val="1"/>
      <w:numFmt w:val="lowerRoman"/>
      <w:lvlText w:val="%9."/>
      <w:lvlJc w:val="right"/>
      <w:pPr>
        <w:tabs>
          <w:tab w:val="num" w:pos="6120"/>
        </w:tabs>
        <w:ind w:left="6120" w:hanging="180"/>
      </w:pPr>
    </w:lvl>
  </w:abstractNum>
  <w:abstractNum w:abstractNumId="9" w15:restartNumberingAfterBreak="0">
    <w:nsid w:val="31745C7C"/>
    <w:multiLevelType w:val="hybridMultilevel"/>
    <w:tmpl w:val="4958087C"/>
    <w:lvl w:ilvl="0" w:tplc="A0C4F5DC">
      <w:numFmt w:val="bullet"/>
      <w:lvlText w:val="-"/>
      <w:lvlJc w:val="left"/>
      <w:pPr>
        <w:ind w:left="720" w:hanging="360"/>
      </w:pPr>
      <w:rPr>
        <w:rFonts w:ascii="Arial" w:eastAsia="Times New Roman" w:hAnsi="Arial" w:cs="Arial" w:hint="default"/>
      </w:rPr>
    </w:lvl>
    <w:lvl w:ilvl="1" w:tplc="A3C06418" w:tentative="1">
      <w:start w:val="1"/>
      <w:numFmt w:val="bullet"/>
      <w:lvlText w:val="o"/>
      <w:lvlJc w:val="left"/>
      <w:pPr>
        <w:ind w:left="1440" w:hanging="360"/>
      </w:pPr>
      <w:rPr>
        <w:rFonts w:ascii="Courier New" w:hAnsi="Courier New" w:cs="Courier New" w:hint="default"/>
      </w:rPr>
    </w:lvl>
    <w:lvl w:ilvl="2" w:tplc="423A044C" w:tentative="1">
      <w:start w:val="1"/>
      <w:numFmt w:val="bullet"/>
      <w:lvlText w:val=""/>
      <w:lvlJc w:val="left"/>
      <w:pPr>
        <w:ind w:left="2160" w:hanging="360"/>
      </w:pPr>
      <w:rPr>
        <w:rFonts w:ascii="Wingdings" w:hAnsi="Wingdings" w:hint="default"/>
      </w:rPr>
    </w:lvl>
    <w:lvl w:ilvl="3" w:tplc="2FF67484" w:tentative="1">
      <w:start w:val="1"/>
      <w:numFmt w:val="bullet"/>
      <w:lvlText w:val=""/>
      <w:lvlJc w:val="left"/>
      <w:pPr>
        <w:ind w:left="2880" w:hanging="360"/>
      </w:pPr>
      <w:rPr>
        <w:rFonts w:ascii="Symbol" w:hAnsi="Symbol" w:hint="default"/>
      </w:rPr>
    </w:lvl>
    <w:lvl w:ilvl="4" w:tplc="6C5CA228" w:tentative="1">
      <w:start w:val="1"/>
      <w:numFmt w:val="bullet"/>
      <w:lvlText w:val="o"/>
      <w:lvlJc w:val="left"/>
      <w:pPr>
        <w:ind w:left="3600" w:hanging="360"/>
      </w:pPr>
      <w:rPr>
        <w:rFonts w:ascii="Courier New" w:hAnsi="Courier New" w:cs="Courier New" w:hint="default"/>
      </w:rPr>
    </w:lvl>
    <w:lvl w:ilvl="5" w:tplc="8A569F6C" w:tentative="1">
      <w:start w:val="1"/>
      <w:numFmt w:val="bullet"/>
      <w:lvlText w:val=""/>
      <w:lvlJc w:val="left"/>
      <w:pPr>
        <w:ind w:left="4320" w:hanging="360"/>
      </w:pPr>
      <w:rPr>
        <w:rFonts w:ascii="Wingdings" w:hAnsi="Wingdings" w:hint="default"/>
      </w:rPr>
    </w:lvl>
    <w:lvl w:ilvl="6" w:tplc="7158A0C0" w:tentative="1">
      <w:start w:val="1"/>
      <w:numFmt w:val="bullet"/>
      <w:lvlText w:val=""/>
      <w:lvlJc w:val="left"/>
      <w:pPr>
        <w:ind w:left="5040" w:hanging="360"/>
      </w:pPr>
      <w:rPr>
        <w:rFonts w:ascii="Symbol" w:hAnsi="Symbol" w:hint="default"/>
      </w:rPr>
    </w:lvl>
    <w:lvl w:ilvl="7" w:tplc="619615D4" w:tentative="1">
      <w:start w:val="1"/>
      <w:numFmt w:val="bullet"/>
      <w:lvlText w:val="o"/>
      <w:lvlJc w:val="left"/>
      <w:pPr>
        <w:ind w:left="5760" w:hanging="360"/>
      </w:pPr>
      <w:rPr>
        <w:rFonts w:ascii="Courier New" w:hAnsi="Courier New" w:cs="Courier New" w:hint="default"/>
      </w:rPr>
    </w:lvl>
    <w:lvl w:ilvl="8" w:tplc="E6CCB0E2" w:tentative="1">
      <w:start w:val="1"/>
      <w:numFmt w:val="bullet"/>
      <w:lvlText w:val=""/>
      <w:lvlJc w:val="left"/>
      <w:pPr>
        <w:ind w:left="6480" w:hanging="360"/>
      </w:pPr>
      <w:rPr>
        <w:rFonts w:ascii="Wingdings" w:hAnsi="Wingdings" w:hint="default"/>
      </w:rPr>
    </w:lvl>
  </w:abstractNum>
  <w:abstractNum w:abstractNumId="10" w15:restartNumberingAfterBreak="0">
    <w:nsid w:val="35F07BFE"/>
    <w:multiLevelType w:val="hybridMultilevel"/>
    <w:tmpl w:val="E24AD55A"/>
    <w:lvl w:ilvl="0" w:tplc="44C803B4">
      <w:start w:val="1"/>
      <w:numFmt w:val="decimal"/>
      <w:lvlText w:val="%1."/>
      <w:lvlJc w:val="left"/>
      <w:pPr>
        <w:ind w:left="502" w:hanging="360"/>
      </w:pPr>
    </w:lvl>
    <w:lvl w:ilvl="1" w:tplc="80F6EBB4">
      <w:start w:val="1"/>
      <w:numFmt w:val="lowerLetter"/>
      <w:lvlText w:val="%2."/>
      <w:lvlJc w:val="left"/>
      <w:pPr>
        <w:ind w:left="1222" w:hanging="360"/>
      </w:pPr>
    </w:lvl>
    <w:lvl w:ilvl="2" w:tplc="16F87A4E">
      <w:start w:val="1"/>
      <w:numFmt w:val="lowerRoman"/>
      <w:lvlText w:val="%3."/>
      <w:lvlJc w:val="right"/>
      <w:pPr>
        <w:ind w:left="1942" w:hanging="180"/>
      </w:pPr>
    </w:lvl>
    <w:lvl w:ilvl="3" w:tplc="A7282BA8">
      <w:start w:val="1"/>
      <w:numFmt w:val="decimal"/>
      <w:lvlText w:val="%4."/>
      <w:lvlJc w:val="left"/>
      <w:pPr>
        <w:ind w:left="2662" w:hanging="360"/>
      </w:pPr>
    </w:lvl>
    <w:lvl w:ilvl="4" w:tplc="398622CA" w:tentative="1">
      <w:start w:val="1"/>
      <w:numFmt w:val="lowerLetter"/>
      <w:lvlText w:val="%5."/>
      <w:lvlJc w:val="left"/>
      <w:pPr>
        <w:ind w:left="3382" w:hanging="360"/>
      </w:pPr>
    </w:lvl>
    <w:lvl w:ilvl="5" w:tplc="1A08F89A" w:tentative="1">
      <w:start w:val="1"/>
      <w:numFmt w:val="lowerRoman"/>
      <w:lvlText w:val="%6."/>
      <w:lvlJc w:val="right"/>
      <w:pPr>
        <w:ind w:left="4102" w:hanging="180"/>
      </w:pPr>
    </w:lvl>
    <w:lvl w:ilvl="6" w:tplc="BD469554" w:tentative="1">
      <w:start w:val="1"/>
      <w:numFmt w:val="decimal"/>
      <w:lvlText w:val="%7."/>
      <w:lvlJc w:val="left"/>
      <w:pPr>
        <w:ind w:left="4822" w:hanging="360"/>
      </w:pPr>
    </w:lvl>
    <w:lvl w:ilvl="7" w:tplc="28243AFE" w:tentative="1">
      <w:start w:val="1"/>
      <w:numFmt w:val="lowerLetter"/>
      <w:lvlText w:val="%8."/>
      <w:lvlJc w:val="left"/>
      <w:pPr>
        <w:ind w:left="5542" w:hanging="360"/>
      </w:pPr>
    </w:lvl>
    <w:lvl w:ilvl="8" w:tplc="6D2E0536" w:tentative="1">
      <w:start w:val="1"/>
      <w:numFmt w:val="lowerRoman"/>
      <w:lvlText w:val="%9."/>
      <w:lvlJc w:val="right"/>
      <w:pPr>
        <w:ind w:left="6262" w:hanging="180"/>
      </w:pPr>
    </w:lvl>
  </w:abstractNum>
  <w:abstractNum w:abstractNumId="11" w15:restartNumberingAfterBreak="0">
    <w:nsid w:val="36854BE1"/>
    <w:multiLevelType w:val="hybridMultilevel"/>
    <w:tmpl w:val="8766C2DA"/>
    <w:lvl w:ilvl="0" w:tplc="D3E4658E">
      <w:start w:val="1"/>
      <w:numFmt w:val="decimal"/>
      <w:lvlText w:val="%1."/>
      <w:lvlJc w:val="left"/>
      <w:pPr>
        <w:ind w:left="1287" w:hanging="360"/>
      </w:pPr>
    </w:lvl>
    <w:lvl w:ilvl="1" w:tplc="7966AC1A" w:tentative="1">
      <w:start w:val="1"/>
      <w:numFmt w:val="lowerLetter"/>
      <w:lvlText w:val="%2."/>
      <w:lvlJc w:val="left"/>
      <w:pPr>
        <w:ind w:left="2007" w:hanging="360"/>
      </w:pPr>
    </w:lvl>
    <w:lvl w:ilvl="2" w:tplc="DD709958" w:tentative="1">
      <w:start w:val="1"/>
      <w:numFmt w:val="lowerRoman"/>
      <w:lvlText w:val="%3."/>
      <w:lvlJc w:val="right"/>
      <w:pPr>
        <w:ind w:left="2727" w:hanging="180"/>
      </w:pPr>
    </w:lvl>
    <w:lvl w:ilvl="3" w:tplc="49A23FC8" w:tentative="1">
      <w:start w:val="1"/>
      <w:numFmt w:val="decimal"/>
      <w:lvlText w:val="%4."/>
      <w:lvlJc w:val="left"/>
      <w:pPr>
        <w:ind w:left="3447" w:hanging="360"/>
      </w:pPr>
    </w:lvl>
    <w:lvl w:ilvl="4" w:tplc="67246926" w:tentative="1">
      <w:start w:val="1"/>
      <w:numFmt w:val="lowerLetter"/>
      <w:lvlText w:val="%5."/>
      <w:lvlJc w:val="left"/>
      <w:pPr>
        <w:ind w:left="4167" w:hanging="360"/>
      </w:pPr>
    </w:lvl>
    <w:lvl w:ilvl="5" w:tplc="6B8C327E" w:tentative="1">
      <w:start w:val="1"/>
      <w:numFmt w:val="lowerRoman"/>
      <w:lvlText w:val="%6."/>
      <w:lvlJc w:val="right"/>
      <w:pPr>
        <w:ind w:left="4887" w:hanging="180"/>
      </w:pPr>
    </w:lvl>
    <w:lvl w:ilvl="6" w:tplc="987687A8" w:tentative="1">
      <w:start w:val="1"/>
      <w:numFmt w:val="decimal"/>
      <w:lvlText w:val="%7."/>
      <w:lvlJc w:val="left"/>
      <w:pPr>
        <w:ind w:left="5607" w:hanging="360"/>
      </w:pPr>
    </w:lvl>
    <w:lvl w:ilvl="7" w:tplc="A82E951C" w:tentative="1">
      <w:start w:val="1"/>
      <w:numFmt w:val="lowerLetter"/>
      <w:lvlText w:val="%8."/>
      <w:lvlJc w:val="left"/>
      <w:pPr>
        <w:ind w:left="6327" w:hanging="360"/>
      </w:pPr>
    </w:lvl>
    <w:lvl w:ilvl="8" w:tplc="F4667122" w:tentative="1">
      <w:start w:val="1"/>
      <w:numFmt w:val="lowerRoman"/>
      <w:lvlText w:val="%9."/>
      <w:lvlJc w:val="right"/>
      <w:pPr>
        <w:ind w:left="7047" w:hanging="180"/>
      </w:pPr>
    </w:lvl>
  </w:abstractNum>
  <w:abstractNum w:abstractNumId="12" w15:restartNumberingAfterBreak="0">
    <w:nsid w:val="397A4DB1"/>
    <w:multiLevelType w:val="hybridMultilevel"/>
    <w:tmpl w:val="1F36D964"/>
    <w:lvl w:ilvl="0" w:tplc="E96A35CA">
      <w:start w:val="1"/>
      <w:numFmt w:val="decimal"/>
      <w:pStyle w:val="GAParaResolution"/>
      <w:lvlText w:val="%1."/>
      <w:lvlJc w:val="left"/>
      <w:pPr>
        <w:ind w:left="1287" w:hanging="360"/>
      </w:pPr>
    </w:lvl>
    <w:lvl w:ilvl="1" w:tplc="F1EEF79C" w:tentative="1">
      <w:start w:val="1"/>
      <w:numFmt w:val="lowerLetter"/>
      <w:lvlText w:val="%2."/>
      <w:lvlJc w:val="left"/>
      <w:pPr>
        <w:ind w:left="2007" w:hanging="360"/>
      </w:pPr>
    </w:lvl>
    <w:lvl w:ilvl="2" w:tplc="C2CED0CA" w:tentative="1">
      <w:start w:val="1"/>
      <w:numFmt w:val="lowerRoman"/>
      <w:lvlText w:val="%3."/>
      <w:lvlJc w:val="right"/>
      <w:pPr>
        <w:ind w:left="2727" w:hanging="180"/>
      </w:pPr>
    </w:lvl>
    <w:lvl w:ilvl="3" w:tplc="794CECEA" w:tentative="1">
      <w:start w:val="1"/>
      <w:numFmt w:val="decimal"/>
      <w:lvlText w:val="%4."/>
      <w:lvlJc w:val="left"/>
      <w:pPr>
        <w:ind w:left="3447" w:hanging="360"/>
      </w:pPr>
    </w:lvl>
    <w:lvl w:ilvl="4" w:tplc="52029C56" w:tentative="1">
      <w:start w:val="1"/>
      <w:numFmt w:val="lowerLetter"/>
      <w:lvlText w:val="%5."/>
      <w:lvlJc w:val="left"/>
      <w:pPr>
        <w:ind w:left="4167" w:hanging="360"/>
      </w:pPr>
    </w:lvl>
    <w:lvl w:ilvl="5" w:tplc="08481A54" w:tentative="1">
      <w:start w:val="1"/>
      <w:numFmt w:val="lowerRoman"/>
      <w:lvlText w:val="%6."/>
      <w:lvlJc w:val="right"/>
      <w:pPr>
        <w:ind w:left="4887" w:hanging="180"/>
      </w:pPr>
    </w:lvl>
    <w:lvl w:ilvl="6" w:tplc="7ABABC90" w:tentative="1">
      <w:start w:val="1"/>
      <w:numFmt w:val="decimal"/>
      <w:lvlText w:val="%7."/>
      <w:lvlJc w:val="left"/>
      <w:pPr>
        <w:ind w:left="5607" w:hanging="360"/>
      </w:pPr>
    </w:lvl>
    <w:lvl w:ilvl="7" w:tplc="77DA7CA2" w:tentative="1">
      <w:start w:val="1"/>
      <w:numFmt w:val="lowerLetter"/>
      <w:lvlText w:val="%8."/>
      <w:lvlJc w:val="left"/>
      <w:pPr>
        <w:ind w:left="6327" w:hanging="360"/>
      </w:pPr>
    </w:lvl>
    <w:lvl w:ilvl="8" w:tplc="D2602CD8"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4AF2A1AE">
      <w:start w:val="1"/>
      <w:numFmt w:val="upperRoman"/>
      <w:pStyle w:val="Heading4"/>
      <w:lvlText w:val="%1."/>
      <w:lvlJc w:val="right"/>
      <w:pPr>
        <w:ind w:left="720" w:hanging="360"/>
      </w:pPr>
      <w:rPr>
        <w:rFonts w:hint="default"/>
        <w:b/>
        <w:i w:val="0"/>
      </w:rPr>
    </w:lvl>
    <w:lvl w:ilvl="1" w:tplc="00923BBC" w:tentative="1">
      <w:start w:val="1"/>
      <w:numFmt w:val="lowerLetter"/>
      <w:lvlText w:val="%2."/>
      <w:lvlJc w:val="left"/>
      <w:pPr>
        <w:ind w:left="1440" w:hanging="360"/>
      </w:pPr>
    </w:lvl>
    <w:lvl w:ilvl="2" w:tplc="2160D93A" w:tentative="1">
      <w:start w:val="1"/>
      <w:numFmt w:val="lowerRoman"/>
      <w:lvlText w:val="%3."/>
      <w:lvlJc w:val="right"/>
      <w:pPr>
        <w:ind w:left="2160" w:hanging="180"/>
      </w:pPr>
    </w:lvl>
    <w:lvl w:ilvl="3" w:tplc="009EE9AA" w:tentative="1">
      <w:start w:val="1"/>
      <w:numFmt w:val="decimal"/>
      <w:lvlText w:val="%4."/>
      <w:lvlJc w:val="left"/>
      <w:pPr>
        <w:ind w:left="2880" w:hanging="360"/>
      </w:pPr>
    </w:lvl>
    <w:lvl w:ilvl="4" w:tplc="CA3022C6" w:tentative="1">
      <w:start w:val="1"/>
      <w:numFmt w:val="lowerLetter"/>
      <w:lvlText w:val="%5."/>
      <w:lvlJc w:val="left"/>
      <w:pPr>
        <w:ind w:left="3600" w:hanging="360"/>
      </w:pPr>
    </w:lvl>
    <w:lvl w:ilvl="5" w:tplc="5234F4D6" w:tentative="1">
      <w:start w:val="1"/>
      <w:numFmt w:val="lowerRoman"/>
      <w:lvlText w:val="%6."/>
      <w:lvlJc w:val="right"/>
      <w:pPr>
        <w:ind w:left="4320" w:hanging="180"/>
      </w:pPr>
    </w:lvl>
    <w:lvl w:ilvl="6" w:tplc="6C1847F4" w:tentative="1">
      <w:start w:val="1"/>
      <w:numFmt w:val="decimal"/>
      <w:lvlText w:val="%7."/>
      <w:lvlJc w:val="left"/>
      <w:pPr>
        <w:ind w:left="5040" w:hanging="360"/>
      </w:pPr>
    </w:lvl>
    <w:lvl w:ilvl="7" w:tplc="B246A7C2" w:tentative="1">
      <w:start w:val="1"/>
      <w:numFmt w:val="lowerLetter"/>
      <w:lvlText w:val="%8."/>
      <w:lvlJc w:val="left"/>
      <w:pPr>
        <w:ind w:left="5760" w:hanging="360"/>
      </w:pPr>
    </w:lvl>
    <w:lvl w:ilvl="8" w:tplc="6874B0F4"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E36AEC7C">
      <w:start w:val="1"/>
      <w:numFmt w:val="decimal"/>
      <w:lvlText w:val="%1."/>
      <w:lvlJc w:val="left"/>
      <w:pPr>
        <w:ind w:left="1779" w:hanging="360"/>
      </w:pPr>
      <w:rPr>
        <w:rFonts w:hint="default"/>
        <w:u w:val="single"/>
      </w:rPr>
    </w:lvl>
    <w:lvl w:ilvl="1" w:tplc="EA58EE44" w:tentative="1">
      <w:start w:val="1"/>
      <w:numFmt w:val="lowerLetter"/>
      <w:lvlText w:val="%2."/>
      <w:lvlJc w:val="left"/>
      <w:pPr>
        <w:ind w:left="2499" w:hanging="360"/>
      </w:pPr>
    </w:lvl>
    <w:lvl w:ilvl="2" w:tplc="33A2163C" w:tentative="1">
      <w:start w:val="1"/>
      <w:numFmt w:val="lowerRoman"/>
      <w:lvlText w:val="%3."/>
      <w:lvlJc w:val="right"/>
      <w:pPr>
        <w:ind w:left="3219" w:hanging="180"/>
      </w:pPr>
    </w:lvl>
    <w:lvl w:ilvl="3" w:tplc="7DD6035A" w:tentative="1">
      <w:start w:val="1"/>
      <w:numFmt w:val="decimal"/>
      <w:lvlText w:val="%4."/>
      <w:lvlJc w:val="left"/>
      <w:pPr>
        <w:ind w:left="3939" w:hanging="360"/>
      </w:pPr>
    </w:lvl>
    <w:lvl w:ilvl="4" w:tplc="000E94AA" w:tentative="1">
      <w:start w:val="1"/>
      <w:numFmt w:val="lowerLetter"/>
      <w:lvlText w:val="%5."/>
      <w:lvlJc w:val="left"/>
      <w:pPr>
        <w:ind w:left="4659" w:hanging="360"/>
      </w:pPr>
    </w:lvl>
    <w:lvl w:ilvl="5" w:tplc="DE4A6884" w:tentative="1">
      <w:start w:val="1"/>
      <w:numFmt w:val="lowerRoman"/>
      <w:lvlText w:val="%6."/>
      <w:lvlJc w:val="right"/>
      <w:pPr>
        <w:ind w:left="5379" w:hanging="180"/>
      </w:pPr>
    </w:lvl>
    <w:lvl w:ilvl="6" w:tplc="27621E2A" w:tentative="1">
      <w:start w:val="1"/>
      <w:numFmt w:val="decimal"/>
      <w:lvlText w:val="%7."/>
      <w:lvlJc w:val="left"/>
      <w:pPr>
        <w:ind w:left="6099" w:hanging="360"/>
      </w:pPr>
    </w:lvl>
    <w:lvl w:ilvl="7" w:tplc="83002B2A" w:tentative="1">
      <w:start w:val="1"/>
      <w:numFmt w:val="lowerLetter"/>
      <w:lvlText w:val="%8."/>
      <w:lvlJc w:val="left"/>
      <w:pPr>
        <w:ind w:left="6819" w:hanging="360"/>
      </w:pPr>
    </w:lvl>
    <w:lvl w:ilvl="8" w:tplc="2DD216D8" w:tentative="1">
      <w:start w:val="1"/>
      <w:numFmt w:val="lowerRoman"/>
      <w:lvlText w:val="%9."/>
      <w:lvlJc w:val="right"/>
      <w:pPr>
        <w:ind w:left="7539" w:hanging="180"/>
      </w:pPr>
    </w:lvl>
  </w:abstractNum>
  <w:abstractNum w:abstractNumId="15" w15:restartNumberingAfterBreak="0">
    <w:nsid w:val="44EA799B"/>
    <w:multiLevelType w:val="hybridMultilevel"/>
    <w:tmpl w:val="E29C370C"/>
    <w:lvl w:ilvl="0" w:tplc="58AE6C14">
      <w:start w:val="15"/>
      <w:numFmt w:val="bullet"/>
      <w:lvlText w:val="-"/>
      <w:lvlJc w:val="left"/>
      <w:pPr>
        <w:ind w:left="1494" w:hanging="360"/>
      </w:pPr>
      <w:rPr>
        <w:rFonts w:ascii="Arial" w:eastAsia="Times New Roman" w:hAnsi="Arial" w:cs="Arial" w:hint="default"/>
      </w:rPr>
    </w:lvl>
    <w:lvl w:ilvl="1" w:tplc="A3BC0CF6" w:tentative="1">
      <w:start w:val="1"/>
      <w:numFmt w:val="bullet"/>
      <w:lvlText w:val="o"/>
      <w:lvlJc w:val="left"/>
      <w:pPr>
        <w:ind w:left="2214" w:hanging="360"/>
      </w:pPr>
      <w:rPr>
        <w:rFonts w:ascii="Courier New" w:hAnsi="Courier New" w:cs="Courier New" w:hint="default"/>
      </w:rPr>
    </w:lvl>
    <w:lvl w:ilvl="2" w:tplc="AAA4EA56" w:tentative="1">
      <w:start w:val="1"/>
      <w:numFmt w:val="bullet"/>
      <w:lvlText w:val=""/>
      <w:lvlJc w:val="left"/>
      <w:pPr>
        <w:ind w:left="2934" w:hanging="360"/>
      </w:pPr>
      <w:rPr>
        <w:rFonts w:ascii="Wingdings" w:hAnsi="Wingdings" w:hint="default"/>
      </w:rPr>
    </w:lvl>
    <w:lvl w:ilvl="3" w:tplc="A50AF1FE" w:tentative="1">
      <w:start w:val="1"/>
      <w:numFmt w:val="bullet"/>
      <w:lvlText w:val=""/>
      <w:lvlJc w:val="left"/>
      <w:pPr>
        <w:ind w:left="3654" w:hanging="360"/>
      </w:pPr>
      <w:rPr>
        <w:rFonts w:ascii="Symbol" w:hAnsi="Symbol" w:hint="default"/>
      </w:rPr>
    </w:lvl>
    <w:lvl w:ilvl="4" w:tplc="204C693C" w:tentative="1">
      <w:start w:val="1"/>
      <w:numFmt w:val="bullet"/>
      <w:lvlText w:val="o"/>
      <w:lvlJc w:val="left"/>
      <w:pPr>
        <w:ind w:left="4374" w:hanging="360"/>
      </w:pPr>
      <w:rPr>
        <w:rFonts w:ascii="Courier New" w:hAnsi="Courier New" w:cs="Courier New" w:hint="default"/>
      </w:rPr>
    </w:lvl>
    <w:lvl w:ilvl="5" w:tplc="BA3C2178" w:tentative="1">
      <w:start w:val="1"/>
      <w:numFmt w:val="bullet"/>
      <w:lvlText w:val=""/>
      <w:lvlJc w:val="left"/>
      <w:pPr>
        <w:ind w:left="5094" w:hanging="360"/>
      </w:pPr>
      <w:rPr>
        <w:rFonts w:ascii="Wingdings" w:hAnsi="Wingdings" w:hint="default"/>
      </w:rPr>
    </w:lvl>
    <w:lvl w:ilvl="6" w:tplc="7B947228" w:tentative="1">
      <w:start w:val="1"/>
      <w:numFmt w:val="bullet"/>
      <w:lvlText w:val=""/>
      <w:lvlJc w:val="left"/>
      <w:pPr>
        <w:ind w:left="5814" w:hanging="360"/>
      </w:pPr>
      <w:rPr>
        <w:rFonts w:ascii="Symbol" w:hAnsi="Symbol" w:hint="default"/>
      </w:rPr>
    </w:lvl>
    <w:lvl w:ilvl="7" w:tplc="043A9D56" w:tentative="1">
      <w:start w:val="1"/>
      <w:numFmt w:val="bullet"/>
      <w:lvlText w:val="o"/>
      <w:lvlJc w:val="left"/>
      <w:pPr>
        <w:ind w:left="6534" w:hanging="360"/>
      </w:pPr>
      <w:rPr>
        <w:rFonts w:ascii="Courier New" w:hAnsi="Courier New" w:cs="Courier New" w:hint="default"/>
      </w:rPr>
    </w:lvl>
    <w:lvl w:ilvl="8" w:tplc="8E3AC878" w:tentative="1">
      <w:start w:val="1"/>
      <w:numFmt w:val="bullet"/>
      <w:lvlText w:val=""/>
      <w:lvlJc w:val="left"/>
      <w:pPr>
        <w:ind w:left="7254" w:hanging="360"/>
      </w:pPr>
      <w:rPr>
        <w:rFonts w:ascii="Wingdings" w:hAnsi="Wingdings" w:hint="default"/>
      </w:rPr>
    </w:lvl>
  </w:abstractNum>
  <w:abstractNum w:abstractNumId="16" w15:restartNumberingAfterBreak="0">
    <w:nsid w:val="47A66CBA"/>
    <w:multiLevelType w:val="hybridMultilevel"/>
    <w:tmpl w:val="2676D780"/>
    <w:lvl w:ilvl="0" w:tplc="6F521B2C">
      <w:start w:val="1"/>
      <w:numFmt w:val="decimal"/>
      <w:lvlText w:val="%1."/>
      <w:lvlJc w:val="left"/>
      <w:pPr>
        <w:ind w:left="1137" w:hanging="570"/>
      </w:pPr>
      <w:rPr>
        <w:rFonts w:hint="default"/>
      </w:rPr>
    </w:lvl>
    <w:lvl w:ilvl="1" w:tplc="E6E69550" w:tentative="1">
      <w:start w:val="1"/>
      <w:numFmt w:val="lowerLetter"/>
      <w:lvlText w:val="%2."/>
      <w:lvlJc w:val="left"/>
      <w:pPr>
        <w:ind w:left="1647" w:hanging="360"/>
      </w:pPr>
    </w:lvl>
    <w:lvl w:ilvl="2" w:tplc="856E44D4" w:tentative="1">
      <w:start w:val="1"/>
      <w:numFmt w:val="lowerRoman"/>
      <w:lvlText w:val="%3."/>
      <w:lvlJc w:val="right"/>
      <w:pPr>
        <w:ind w:left="2367" w:hanging="180"/>
      </w:pPr>
    </w:lvl>
    <w:lvl w:ilvl="3" w:tplc="FC5CDDBA" w:tentative="1">
      <w:start w:val="1"/>
      <w:numFmt w:val="decimal"/>
      <w:lvlText w:val="%4."/>
      <w:lvlJc w:val="left"/>
      <w:pPr>
        <w:ind w:left="3087" w:hanging="360"/>
      </w:pPr>
    </w:lvl>
    <w:lvl w:ilvl="4" w:tplc="D94006AA" w:tentative="1">
      <w:start w:val="1"/>
      <w:numFmt w:val="lowerLetter"/>
      <w:lvlText w:val="%5."/>
      <w:lvlJc w:val="left"/>
      <w:pPr>
        <w:ind w:left="3807" w:hanging="360"/>
      </w:pPr>
    </w:lvl>
    <w:lvl w:ilvl="5" w:tplc="29CE503A" w:tentative="1">
      <w:start w:val="1"/>
      <w:numFmt w:val="lowerRoman"/>
      <w:lvlText w:val="%6."/>
      <w:lvlJc w:val="right"/>
      <w:pPr>
        <w:ind w:left="4527" w:hanging="180"/>
      </w:pPr>
    </w:lvl>
    <w:lvl w:ilvl="6" w:tplc="32567FD8" w:tentative="1">
      <w:start w:val="1"/>
      <w:numFmt w:val="decimal"/>
      <w:lvlText w:val="%7."/>
      <w:lvlJc w:val="left"/>
      <w:pPr>
        <w:ind w:left="5247" w:hanging="360"/>
      </w:pPr>
    </w:lvl>
    <w:lvl w:ilvl="7" w:tplc="E0F0FC7A" w:tentative="1">
      <w:start w:val="1"/>
      <w:numFmt w:val="lowerLetter"/>
      <w:lvlText w:val="%8."/>
      <w:lvlJc w:val="left"/>
      <w:pPr>
        <w:ind w:left="5967" w:hanging="360"/>
      </w:pPr>
    </w:lvl>
    <w:lvl w:ilvl="8" w:tplc="A1445552" w:tentative="1">
      <w:start w:val="1"/>
      <w:numFmt w:val="lowerRoman"/>
      <w:lvlText w:val="%9."/>
      <w:lvlJc w:val="right"/>
      <w:pPr>
        <w:ind w:left="6687" w:hanging="180"/>
      </w:pPr>
    </w:lvl>
  </w:abstractNum>
  <w:abstractNum w:abstractNumId="17" w15:restartNumberingAfterBreak="0">
    <w:nsid w:val="55155AE9"/>
    <w:multiLevelType w:val="hybridMultilevel"/>
    <w:tmpl w:val="DFE29FF2"/>
    <w:lvl w:ilvl="0" w:tplc="64487252">
      <w:start w:val="1"/>
      <w:numFmt w:val="upperRoman"/>
      <w:lvlText w:val="%1."/>
      <w:lvlJc w:val="left"/>
      <w:pPr>
        <w:ind w:left="1080" w:hanging="720"/>
      </w:pPr>
      <w:rPr>
        <w:rFonts w:hint="default"/>
      </w:rPr>
    </w:lvl>
    <w:lvl w:ilvl="1" w:tplc="2728B45E" w:tentative="1">
      <w:start w:val="1"/>
      <w:numFmt w:val="lowerLetter"/>
      <w:lvlText w:val="%2."/>
      <w:lvlJc w:val="left"/>
      <w:pPr>
        <w:ind w:left="1440" w:hanging="360"/>
      </w:pPr>
    </w:lvl>
    <w:lvl w:ilvl="2" w:tplc="292E4C50" w:tentative="1">
      <w:start w:val="1"/>
      <w:numFmt w:val="lowerRoman"/>
      <w:lvlText w:val="%3."/>
      <w:lvlJc w:val="right"/>
      <w:pPr>
        <w:ind w:left="2160" w:hanging="180"/>
      </w:pPr>
    </w:lvl>
    <w:lvl w:ilvl="3" w:tplc="226E48F0" w:tentative="1">
      <w:start w:val="1"/>
      <w:numFmt w:val="decimal"/>
      <w:lvlText w:val="%4."/>
      <w:lvlJc w:val="left"/>
      <w:pPr>
        <w:ind w:left="2880" w:hanging="360"/>
      </w:pPr>
    </w:lvl>
    <w:lvl w:ilvl="4" w:tplc="B2225D9E" w:tentative="1">
      <w:start w:val="1"/>
      <w:numFmt w:val="lowerLetter"/>
      <w:lvlText w:val="%5."/>
      <w:lvlJc w:val="left"/>
      <w:pPr>
        <w:ind w:left="3600" w:hanging="360"/>
      </w:pPr>
    </w:lvl>
    <w:lvl w:ilvl="5" w:tplc="F7F641B0" w:tentative="1">
      <w:start w:val="1"/>
      <w:numFmt w:val="lowerRoman"/>
      <w:lvlText w:val="%6."/>
      <w:lvlJc w:val="right"/>
      <w:pPr>
        <w:ind w:left="4320" w:hanging="180"/>
      </w:pPr>
    </w:lvl>
    <w:lvl w:ilvl="6" w:tplc="6D20C706" w:tentative="1">
      <w:start w:val="1"/>
      <w:numFmt w:val="decimal"/>
      <w:lvlText w:val="%7."/>
      <w:lvlJc w:val="left"/>
      <w:pPr>
        <w:ind w:left="5040" w:hanging="360"/>
      </w:pPr>
    </w:lvl>
    <w:lvl w:ilvl="7" w:tplc="E156642A" w:tentative="1">
      <w:start w:val="1"/>
      <w:numFmt w:val="lowerLetter"/>
      <w:lvlText w:val="%8."/>
      <w:lvlJc w:val="left"/>
      <w:pPr>
        <w:ind w:left="5760" w:hanging="360"/>
      </w:pPr>
    </w:lvl>
    <w:lvl w:ilvl="8" w:tplc="0AE2DFBC" w:tentative="1">
      <w:start w:val="1"/>
      <w:numFmt w:val="lowerRoman"/>
      <w:lvlText w:val="%9."/>
      <w:lvlJc w:val="right"/>
      <w:pPr>
        <w:ind w:left="6480" w:hanging="180"/>
      </w:pPr>
    </w:lvl>
  </w:abstractNum>
  <w:abstractNum w:abstractNumId="18" w15:restartNumberingAfterBreak="0">
    <w:nsid w:val="571E7254"/>
    <w:multiLevelType w:val="hybridMultilevel"/>
    <w:tmpl w:val="49909E62"/>
    <w:lvl w:ilvl="0" w:tplc="DA625D26">
      <w:start w:val="1"/>
      <w:numFmt w:val="upperRoman"/>
      <w:lvlText w:val="%1."/>
      <w:lvlJc w:val="left"/>
      <w:pPr>
        <w:ind w:left="1287" w:hanging="720"/>
      </w:pPr>
      <w:rPr>
        <w:rFonts w:hint="default"/>
      </w:rPr>
    </w:lvl>
    <w:lvl w:ilvl="1" w:tplc="D764B6E8" w:tentative="1">
      <w:start w:val="1"/>
      <w:numFmt w:val="lowerLetter"/>
      <w:lvlText w:val="%2."/>
      <w:lvlJc w:val="left"/>
      <w:pPr>
        <w:ind w:left="1647" w:hanging="360"/>
      </w:pPr>
    </w:lvl>
    <w:lvl w:ilvl="2" w:tplc="8A767AC2" w:tentative="1">
      <w:start w:val="1"/>
      <w:numFmt w:val="lowerRoman"/>
      <w:lvlText w:val="%3."/>
      <w:lvlJc w:val="right"/>
      <w:pPr>
        <w:ind w:left="2367" w:hanging="180"/>
      </w:pPr>
    </w:lvl>
    <w:lvl w:ilvl="3" w:tplc="E92A98EC" w:tentative="1">
      <w:start w:val="1"/>
      <w:numFmt w:val="decimal"/>
      <w:lvlText w:val="%4."/>
      <w:lvlJc w:val="left"/>
      <w:pPr>
        <w:ind w:left="3087" w:hanging="360"/>
      </w:pPr>
    </w:lvl>
    <w:lvl w:ilvl="4" w:tplc="1876B196" w:tentative="1">
      <w:start w:val="1"/>
      <w:numFmt w:val="lowerLetter"/>
      <w:lvlText w:val="%5."/>
      <w:lvlJc w:val="left"/>
      <w:pPr>
        <w:ind w:left="3807" w:hanging="360"/>
      </w:pPr>
    </w:lvl>
    <w:lvl w:ilvl="5" w:tplc="50FA069A" w:tentative="1">
      <w:start w:val="1"/>
      <w:numFmt w:val="lowerRoman"/>
      <w:lvlText w:val="%6."/>
      <w:lvlJc w:val="right"/>
      <w:pPr>
        <w:ind w:left="4527" w:hanging="180"/>
      </w:pPr>
    </w:lvl>
    <w:lvl w:ilvl="6" w:tplc="AA786622" w:tentative="1">
      <w:start w:val="1"/>
      <w:numFmt w:val="decimal"/>
      <w:lvlText w:val="%7."/>
      <w:lvlJc w:val="left"/>
      <w:pPr>
        <w:ind w:left="5247" w:hanging="360"/>
      </w:pPr>
    </w:lvl>
    <w:lvl w:ilvl="7" w:tplc="801AF37C" w:tentative="1">
      <w:start w:val="1"/>
      <w:numFmt w:val="lowerLetter"/>
      <w:lvlText w:val="%8."/>
      <w:lvlJc w:val="left"/>
      <w:pPr>
        <w:ind w:left="5967" w:hanging="360"/>
      </w:pPr>
    </w:lvl>
    <w:lvl w:ilvl="8" w:tplc="7556ED0E" w:tentative="1">
      <w:start w:val="1"/>
      <w:numFmt w:val="lowerRoman"/>
      <w:lvlText w:val="%9."/>
      <w:lvlJc w:val="right"/>
      <w:pPr>
        <w:ind w:left="6687" w:hanging="180"/>
      </w:pPr>
    </w:lvl>
  </w:abstractNum>
  <w:abstractNum w:abstractNumId="19" w15:restartNumberingAfterBreak="0">
    <w:nsid w:val="5ECD35B7"/>
    <w:multiLevelType w:val="hybridMultilevel"/>
    <w:tmpl w:val="E40E8992"/>
    <w:lvl w:ilvl="0" w:tplc="81227492">
      <w:start w:val="1"/>
      <w:numFmt w:val="decimal"/>
      <w:lvlText w:val="%1."/>
      <w:lvlJc w:val="left"/>
      <w:pPr>
        <w:ind w:left="1353" w:hanging="360"/>
      </w:pPr>
      <w:rPr>
        <w:rFonts w:hint="default"/>
      </w:rPr>
    </w:lvl>
    <w:lvl w:ilvl="1" w:tplc="5E3C9BBC">
      <w:start w:val="1"/>
      <w:numFmt w:val="lowerLetter"/>
      <w:lvlText w:val="%2."/>
      <w:lvlJc w:val="left"/>
      <w:pPr>
        <w:ind w:left="2073" w:hanging="360"/>
      </w:pPr>
    </w:lvl>
    <w:lvl w:ilvl="2" w:tplc="E7EC08D4" w:tentative="1">
      <w:start w:val="1"/>
      <w:numFmt w:val="lowerRoman"/>
      <w:lvlText w:val="%3."/>
      <w:lvlJc w:val="right"/>
      <w:pPr>
        <w:ind w:left="2793" w:hanging="180"/>
      </w:pPr>
    </w:lvl>
    <w:lvl w:ilvl="3" w:tplc="F928F55E" w:tentative="1">
      <w:start w:val="1"/>
      <w:numFmt w:val="decimal"/>
      <w:lvlText w:val="%4."/>
      <w:lvlJc w:val="left"/>
      <w:pPr>
        <w:ind w:left="3513" w:hanging="360"/>
      </w:pPr>
    </w:lvl>
    <w:lvl w:ilvl="4" w:tplc="DD300CBE" w:tentative="1">
      <w:start w:val="1"/>
      <w:numFmt w:val="lowerLetter"/>
      <w:lvlText w:val="%5."/>
      <w:lvlJc w:val="left"/>
      <w:pPr>
        <w:ind w:left="4233" w:hanging="360"/>
      </w:pPr>
    </w:lvl>
    <w:lvl w:ilvl="5" w:tplc="223CD2AC" w:tentative="1">
      <w:start w:val="1"/>
      <w:numFmt w:val="lowerRoman"/>
      <w:lvlText w:val="%6."/>
      <w:lvlJc w:val="right"/>
      <w:pPr>
        <w:ind w:left="4953" w:hanging="180"/>
      </w:pPr>
    </w:lvl>
    <w:lvl w:ilvl="6" w:tplc="98CAFC80" w:tentative="1">
      <w:start w:val="1"/>
      <w:numFmt w:val="decimal"/>
      <w:lvlText w:val="%7."/>
      <w:lvlJc w:val="left"/>
      <w:pPr>
        <w:ind w:left="5673" w:hanging="360"/>
      </w:pPr>
    </w:lvl>
    <w:lvl w:ilvl="7" w:tplc="5424734A" w:tentative="1">
      <w:start w:val="1"/>
      <w:numFmt w:val="lowerLetter"/>
      <w:lvlText w:val="%8."/>
      <w:lvlJc w:val="left"/>
      <w:pPr>
        <w:ind w:left="6393" w:hanging="360"/>
      </w:pPr>
    </w:lvl>
    <w:lvl w:ilvl="8" w:tplc="527CC656"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19A29A26">
      <w:start w:val="1"/>
      <w:numFmt w:val="decimal"/>
      <w:lvlText w:val="%1."/>
      <w:lvlJc w:val="left"/>
      <w:pPr>
        <w:ind w:left="720" w:hanging="360"/>
      </w:pPr>
    </w:lvl>
    <w:lvl w:ilvl="1" w:tplc="26C4B4FC" w:tentative="1">
      <w:start w:val="1"/>
      <w:numFmt w:val="lowerLetter"/>
      <w:lvlText w:val="%2."/>
      <w:lvlJc w:val="left"/>
      <w:pPr>
        <w:ind w:left="1440" w:hanging="360"/>
      </w:pPr>
    </w:lvl>
    <w:lvl w:ilvl="2" w:tplc="9BAA6D12" w:tentative="1">
      <w:start w:val="1"/>
      <w:numFmt w:val="lowerRoman"/>
      <w:lvlText w:val="%3."/>
      <w:lvlJc w:val="right"/>
      <w:pPr>
        <w:ind w:left="2160" w:hanging="180"/>
      </w:pPr>
    </w:lvl>
    <w:lvl w:ilvl="3" w:tplc="E5F6906C" w:tentative="1">
      <w:start w:val="1"/>
      <w:numFmt w:val="decimal"/>
      <w:lvlText w:val="%4."/>
      <w:lvlJc w:val="left"/>
      <w:pPr>
        <w:ind w:left="2880" w:hanging="360"/>
      </w:pPr>
    </w:lvl>
    <w:lvl w:ilvl="4" w:tplc="17068D76" w:tentative="1">
      <w:start w:val="1"/>
      <w:numFmt w:val="lowerLetter"/>
      <w:lvlText w:val="%5."/>
      <w:lvlJc w:val="left"/>
      <w:pPr>
        <w:ind w:left="3600" w:hanging="360"/>
      </w:pPr>
    </w:lvl>
    <w:lvl w:ilvl="5" w:tplc="58EAA3B0" w:tentative="1">
      <w:start w:val="1"/>
      <w:numFmt w:val="lowerRoman"/>
      <w:lvlText w:val="%6."/>
      <w:lvlJc w:val="right"/>
      <w:pPr>
        <w:ind w:left="4320" w:hanging="180"/>
      </w:pPr>
    </w:lvl>
    <w:lvl w:ilvl="6" w:tplc="171E2B70" w:tentative="1">
      <w:start w:val="1"/>
      <w:numFmt w:val="decimal"/>
      <w:lvlText w:val="%7."/>
      <w:lvlJc w:val="left"/>
      <w:pPr>
        <w:ind w:left="5040" w:hanging="360"/>
      </w:pPr>
    </w:lvl>
    <w:lvl w:ilvl="7" w:tplc="F2C895D2" w:tentative="1">
      <w:start w:val="1"/>
      <w:numFmt w:val="lowerLetter"/>
      <w:lvlText w:val="%8."/>
      <w:lvlJc w:val="left"/>
      <w:pPr>
        <w:ind w:left="5760" w:hanging="360"/>
      </w:pPr>
    </w:lvl>
    <w:lvl w:ilvl="8" w:tplc="3E5A7300" w:tentative="1">
      <w:start w:val="1"/>
      <w:numFmt w:val="lowerRoman"/>
      <w:lvlText w:val="%9."/>
      <w:lvlJc w:val="right"/>
      <w:pPr>
        <w:ind w:left="6480" w:hanging="180"/>
      </w:pPr>
    </w:lvl>
  </w:abstractNum>
  <w:abstractNum w:abstractNumId="21" w15:restartNumberingAfterBreak="0">
    <w:nsid w:val="6DDF52C6"/>
    <w:multiLevelType w:val="hybridMultilevel"/>
    <w:tmpl w:val="0486E188"/>
    <w:lvl w:ilvl="0" w:tplc="0B66876E">
      <w:start w:val="1"/>
      <w:numFmt w:val="decimal"/>
      <w:lvlText w:val="%1."/>
      <w:lvlJc w:val="left"/>
      <w:pPr>
        <w:ind w:left="1070" w:hanging="360"/>
      </w:pPr>
      <w:rPr>
        <w:rFonts w:hint="default"/>
      </w:rPr>
    </w:lvl>
    <w:lvl w:ilvl="1" w:tplc="02B2E2F4" w:tentative="1">
      <w:start w:val="1"/>
      <w:numFmt w:val="lowerLetter"/>
      <w:lvlText w:val="%2."/>
      <w:lvlJc w:val="left"/>
      <w:pPr>
        <w:ind w:left="1440" w:hanging="360"/>
      </w:pPr>
    </w:lvl>
    <w:lvl w:ilvl="2" w:tplc="2C82F58C" w:tentative="1">
      <w:start w:val="1"/>
      <w:numFmt w:val="lowerRoman"/>
      <w:lvlText w:val="%3."/>
      <w:lvlJc w:val="right"/>
      <w:pPr>
        <w:ind w:left="2160" w:hanging="180"/>
      </w:pPr>
    </w:lvl>
    <w:lvl w:ilvl="3" w:tplc="BE6CBFE6" w:tentative="1">
      <w:start w:val="1"/>
      <w:numFmt w:val="decimal"/>
      <w:lvlText w:val="%4."/>
      <w:lvlJc w:val="left"/>
      <w:pPr>
        <w:ind w:left="2880" w:hanging="360"/>
      </w:pPr>
    </w:lvl>
    <w:lvl w:ilvl="4" w:tplc="7D44F5E0" w:tentative="1">
      <w:start w:val="1"/>
      <w:numFmt w:val="lowerLetter"/>
      <w:lvlText w:val="%5."/>
      <w:lvlJc w:val="left"/>
      <w:pPr>
        <w:ind w:left="3600" w:hanging="360"/>
      </w:pPr>
    </w:lvl>
    <w:lvl w:ilvl="5" w:tplc="1C7286C2" w:tentative="1">
      <w:start w:val="1"/>
      <w:numFmt w:val="lowerRoman"/>
      <w:lvlText w:val="%6."/>
      <w:lvlJc w:val="right"/>
      <w:pPr>
        <w:ind w:left="4320" w:hanging="180"/>
      </w:pPr>
    </w:lvl>
    <w:lvl w:ilvl="6" w:tplc="4E9663E4" w:tentative="1">
      <w:start w:val="1"/>
      <w:numFmt w:val="decimal"/>
      <w:lvlText w:val="%7."/>
      <w:lvlJc w:val="left"/>
      <w:pPr>
        <w:ind w:left="5040" w:hanging="360"/>
      </w:pPr>
    </w:lvl>
    <w:lvl w:ilvl="7" w:tplc="9570777A" w:tentative="1">
      <w:start w:val="1"/>
      <w:numFmt w:val="lowerLetter"/>
      <w:lvlText w:val="%8."/>
      <w:lvlJc w:val="left"/>
      <w:pPr>
        <w:ind w:left="5760" w:hanging="360"/>
      </w:pPr>
    </w:lvl>
    <w:lvl w:ilvl="8" w:tplc="19A2AEE0" w:tentative="1">
      <w:start w:val="1"/>
      <w:numFmt w:val="lowerRoman"/>
      <w:lvlText w:val="%9."/>
      <w:lvlJc w:val="right"/>
      <w:pPr>
        <w:ind w:left="6480" w:hanging="180"/>
      </w:pPr>
    </w:lvl>
  </w:abstractNum>
  <w:abstractNum w:abstractNumId="22" w15:restartNumberingAfterBreak="0">
    <w:nsid w:val="6FB82F79"/>
    <w:multiLevelType w:val="hybridMultilevel"/>
    <w:tmpl w:val="EE7243B4"/>
    <w:lvl w:ilvl="0" w:tplc="4CAA8954">
      <w:start w:val="1"/>
      <w:numFmt w:val="upperRoman"/>
      <w:lvlText w:val="%1."/>
      <w:lvlJc w:val="right"/>
      <w:pPr>
        <w:ind w:left="720" w:hanging="360"/>
      </w:pPr>
      <w:rPr>
        <w:rFonts w:hint="default"/>
      </w:rPr>
    </w:lvl>
    <w:lvl w:ilvl="1" w:tplc="E0803462" w:tentative="1">
      <w:start w:val="1"/>
      <w:numFmt w:val="lowerLetter"/>
      <w:lvlText w:val="%2."/>
      <w:lvlJc w:val="left"/>
      <w:pPr>
        <w:ind w:left="1440" w:hanging="360"/>
      </w:pPr>
    </w:lvl>
    <w:lvl w:ilvl="2" w:tplc="1DFA69CE" w:tentative="1">
      <w:start w:val="1"/>
      <w:numFmt w:val="lowerRoman"/>
      <w:lvlText w:val="%3."/>
      <w:lvlJc w:val="right"/>
      <w:pPr>
        <w:ind w:left="2160" w:hanging="180"/>
      </w:pPr>
    </w:lvl>
    <w:lvl w:ilvl="3" w:tplc="90F21290" w:tentative="1">
      <w:start w:val="1"/>
      <w:numFmt w:val="decimal"/>
      <w:lvlText w:val="%4."/>
      <w:lvlJc w:val="left"/>
      <w:pPr>
        <w:ind w:left="2880" w:hanging="360"/>
      </w:pPr>
    </w:lvl>
    <w:lvl w:ilvl="4" w:tplc="6D0A8F46" w:tentative="1">
      <w:start w:val="1"/>
      <w:numFmt w:val="lowerLetter"/>
      <w:lvlText w:val="%5."/>
      <w:lvlJc w:val="left"/>
      <w:pPr>
        <w:ind w:left="3600" w:hanging="360"/>
      </w:pPr>
    </w:lvl>
    <w:lvl w:ilvl="5" w:tplc="0C14DE8C" w:tentative="1">
      <w:start w:val="1"/>
      <w:numFmt w:val="lowerRoman"/>
      <w:lvlText w:val="%6."/>
      <w:lvlJc w:val="right"/>
      <w:pPr>
        <w:ind w:left="4320" w:hanging="180"/>
      </w:pPr>
    </w:lvl>
    <w:lvl w:ilvl="6" w:tplc="54BC10A6" w:tentative="1">
      <w:start w:val="1"/>
      <w:numFmt w:val="decimal"/>
      <w:lvlText w:val="%7."/>
      <w:lvlJc w:val="left"/>
      <w:pPr>
        <w:ind w:left="5040" w:hanging="360"/>
      </w:pPr>
    </w:lvl>
    <w:lvl w:ilvl="7" w:tplc="28B28C70" w:tentative="1">
      <w:start w:val="1"/>
      <w:numFmt w:val="lowerLetter"/>
      <w:lvlText w:val="%8."/>
      <w:lvlJc w:val="left"/>
      <w:pPr>
        <w:ind w:left="5760" w:hanging="360"/>
      </w:pPr>
    </w:lvl>
    <w:lvl w:ilvl="8" w:tplc="209C4A22" w:tentative="1">
      <w:start w:val="1"/>
      <w:numFmt w:val="lowerRoman"/>
      <w:lvlText w:val="%9."/>
      <w:lvlJc w:val="right"/>
      <w:pPr>
        <w:ind w:left="6480" w:hanging="180"/>
      </w:pPr>
    </w:lvl>
  </w:abstractNum>
  <w:abstractNum w:abstractNumId="23" w15:restartNumberingAfterBreak="0">
    <w:nsid w:val="7962713E"/>
    <w:multiLevelType w:val="hybridMultilevel"/>
    <w:tmpl w:val="35E27E5A"/>
    <w:lvl w:ilvl="0" w:tplc="CA9A1978">
      <w:start w:val="1"/>
      <w:numFmt w:val="decimal"/>
      <w:lvlText w:val="%1."/>
      <w:lvlJc w:val="left"/>
      <w:pPr>
        <w:ind w:left="785" w:hanging="360"/>
      </w:pPr>
      <w:rPr>
        <w:rFonts w:hint="default"/>
      </w:rPr>
    </w:lvl>
    <w:lvl w:ilvl="1" w:tplc="5E2EA416" w:tentative="1">
      <w:start w:val="1"/>
      <w:numFmt w:val="lowerLetter"/>
      <w:lvlText w:val="%2."/>
      <w:lvlJc w:val="left"/>
      <w:pPr>
        <w:ind w:left="1440" w:hanging="360"/>
      </w:pPr>
    </w:lvl>
    <w:lvl w:ilvl="2" w:tplc="6F4AD09A" w:tentative="1">
      <w:start w:val="1"/>
      <w:numFmt w:val="lowerRoman"/>
      <w:lvlText w:val="%3."/>
      <w:lvlJc w:val="right"/>
      <w:pPr>
        <w:ind w:left="2160" w:hanging="180"/>
      </w:pPr>
    </w:lvl>
    <w:lvl w:ilvl="3" w:tplc="5CE40A58" w:tentative="1">
      <w:start w:val="1"/>
      <w:numFmt w:val="decimal"/>
      <w:lvlText w:val="%4."/>
      <w:lvlJc w:val="left"/>
      <w:pPr>
        <w:ind w:left="2880" w:hanging="360"/>
      </w:pPr>
    </w:lvl>
    <w:lvl w:ilvl="4" w:tplc="4C18A6EA" w:tentative="1">
      <w:start w:val="1"/>
      <w:numFmt w:val="lowerLetter"/>
      <w:lvlText w:val="%5."/>
      <w:lvlJc w:val="left"/>
      <w:pPr>
        <w:ind w:left="3600" w:hanging="360"/>
      </w:pPr>
    </w:lvl>
    <w:lvl w:ilvl="5" w:tplc="001C831C" w:tentative="1">
      <w:start w:val="1"/>
      <w:numFmt w:val="lowerRoman"/>
      <w:lvlText w:val="%6."/>
      <w:lvlJc w:val="right"/>
      <w:pPr>
        <w:ind w:left="4320" w:hanging="180"/>
      </w:pPr>
    </w:lvl>
    <w:lvl w:ilvl="6" w:tplc="447EF322" w:tentative="1">
      <w:start w:val="1"/>
      <w:numFmt w:val="decimal"/>
      <w:lvlText w:val="%7."/>
      <w:lvlJc w:val="left"/>
      <w:pPr>
        <w:ind w:left="5040" w:hanging="360"/>
      </w:pPr>
    </w:lvl>
    <w:lvl w:ilvl="7" w:tplc="FC34FA4C" w:tentative="1">
      <w:start w:val="1"/>
      <w:numFmt w:val="lowerLetter"/>
      <w:lvlText w:val="%8."/>
      <w:lvlJc w:val="left"/>
      <w:pPr>
        <w:ind w:left="5760" w:hanging="360"/>
      </w:pPr>
    </w:lvl>
    <w:lvl w:ilvl="8" w:tplc="F1141F62" w:tentative="1">
      <w:start w:val="1"/>
      <w:numFmt w:val="lowerRoman"/>
      <w:lvlText w:val="%9."/>
      <w:lvlJc w:val="right"/>
      <w:pPr>
        <w:ind w:left="6480" w:hanging="180"/>
      </w:pPr>
    </w:lvl>
  </w:abstractNum>
  <w:num w:numId="1">
    <w:abstractNumId w:val="19"/>
  </w:num>
  <w:num w:numId="2">
    <w:abstractNumId w:val="11"/>
  </w:num>
  <w:num w:numId="3">
    <w:abstractNumId w:val="5"/>
  </w:num>
  <w:num w:numId="4">
    <w:abstractNumId w:val="23"/>
  </w:num>
  <w:num w:numId="5">
    <w:abstractNumId w:val="20"/>
  </w:num>
  <w:num w:numId="6">
    <w:abstractNumId w:val="2"/>
  </w:num>
  <w:num w:numId="7">
    <w:abstractNumId w:val="8"/>
  </w:num>
  <w:num w:numId="8">
    <w:abstractNumId w:val="15"/>
  </w:num>
  <w:num w:numId="9">
    <w:abstractNumId w:val="10"/>
  </w:num>
  <w:num w:numId="10">
    <w:abstractNumId w:val="12"/>
  </w:num>
  <w:num w:numId="11">
    <w:abstractNumId w:val="14"/>
  </w:num>
  <w:num w:numId="12">
    <w:abstractNumId w:val="13"/>
  </w:num>
  <w:num w:numId="13">
    <w:abstractNumId w:val="22"/>
  </w:num>
  <w:num w:numId="14">
    <w:abstractNumId w:val="17"/>
  </w:num>
  <w:num w:numId="15">
    <w:abstractNumId w:val="18"/>
  </w:num>
  <w:num w:numId="16">
    <w:abstractNumId w:val="12"/>
  </w:num>
  <w:num w:numId="17">
    <w:abstractNumId w:val="12"/>
  </w:num>
  <w:num w:numId="18">
    <w:abstractNumId w:val="12"/>
  </w:num>
  <w:num w:numId="19">
    <w:abstractNumId w:val="6"/>
  </w:num>
  <w:num w:numId="20">
    <w:abstractNumId w:val="3"/>
  </w:num>
  <w:num w:numId="21">
    <w:abstractNumId w:val="1"/>
  </w:num>
  <w:num w:numId="22">
    <w:abstractNumId w:val="0"/>
  </w:num>
  <w:num w:numId="23">
    <w:abstractNumId w:val="16"/>
  </w:num>
  <w:num w:numId="24">
    <w:abstractNumId w:val="6"/>
  </w:num>
  <w:num w:numId="25">
    <w:abstractNumId w:val="21"/>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4"/>
  </w:num>
  <w:num w:numId="53">
    <w:abstractNumId w:val="6"/>
  </w:num>
  <w:num w:numId="54">
    <w:abstractNumId w:val="6"/>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7"/>
  </w:num>
  <w:num w:numId="5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1471B"/>
    <w:rsid w:val="000264F8"/>
    <w:rsid w:val="00035F24"/>
    <w:rsid w:val="000423EE"/>
    <w:rsid w:val="000518AE"/>
    <w:rsid w:val="000D5214"/>
    <w:rsid w:val="000E20B6"/>
    <w:rsid w:val="000F14E4"/>
    <w:rsid w:val="000F77FB"/>
    <w:rsid w:val="001F5992"/>
    <w:rsid w:val="002366D9"/>
    <w:rsid w:val="00247C30"/>
    <w:rsid w:val="002A02B0"/>
    <w:rsid w:val="002B0BEB"/>
    <w:rsid w:val="002D4565"/>
    <w:rsid w:val="00347F9C"/>
    <w:rsid w:val="00362A5F"/>
    <w:rsid w:val="00374EDF"/>
    <w:rsid w:val="0040357E"/>
    <w:rsid w:val="0042567E"/>
    <w:rsid w:val="0046316C"/>
    <w:rsid w:val="00486105"/>
    <w:rsid w:val="0049220E"/>
    <w:rsid w:val="00525DEF"/>
    <w:rsid w:val="0057339C"/>
    <w:rsid w:val="005D6D57"/>
    <w:rsid w:val="0068554E"/>
    <w:rsid w:val="006864E8"/>
    <w:rsid w:val="006907D7"/>
    <w:rsid w:val="00692095"/>
    <w:rsid w:val="00717BF1"/>
    <w:rsid w:val="00735252"/>
    <w:rsid w:val="0074146B"/>
    <w:rsid w:val="00780D6F"/>
    <w:rsid w:val="007B0F10"/>
    <w:rsid w:val="007C7810"/>
    <w:rsid w:val="007D3C4C"/>
    <w:rsid w:val="007D4FA8"/>
    <w:rsid w:val="007E2435"/>
    <w:rsid w:val="008145E4"/>
    <w:rsid w:val="0082057C"/>
    <w:rsid w:val="00845CF0"/>
    <w:rsid w:val="00850DB0"/>
    <w:rsid w:val="00852866"/>
    <w:rsid w:val="008566DA"/>
    <w:rsid w:val="008F61DB"/>
    <w:rsid w:val="00903955"/>
    <w:rsid w:val="00910E7F"/>
    <w:rsid w:val="009A42D4"/>
    <w:rsid w:val="009A60D4"/>
    <w:rsid w:val="009A6590"/>
    <w:rsid w:val="009B0AA6"/>
    <w:rsid w:val="009D1FD7"/>
    <w:rsid w:val="00A04080"/>
    <w:rsid w:val="00AA1D6E"/>
    <w:rsid w:val="00AD16F4"/>
    <w:rsid w:val="00B744D0"/>
    <w:rsid w:val="00BB4E73"/>
    <w:rsid w:val="00BE2FBF"/>
    <w:rsid w:val="00C1574A"/>
    <w:rsid w:val="00C2079C"/>
    <w:rsid w:val="00C21A95"/>
    <w:rsid w:val="00CC4B48"/>
    <w:rsid w:val="00CD3039"/>
    <w:rsid w:val="00CF0853"/>
    <w:rsid w:val="00D00A2A"/>
    <w:rsid w:val="00D51439"/>
    <w:rsid w:val="00DA39C3"/>
    <w:rsid w:val="00DE2AF2"/>
    <w:rsid w:val="00E03425"/>
    <w:rsid w:val="00E33E6B"/>
    <w:rsid w:val="00EC154A"/>
    <w:rsid w:val="00EC1B4D"/>
    <w:rsid w:val="00EE3781"/>
    <w:rsid w:val="00F446D1"/>
    <w:rsid w:val="00F6349B"/>
    <w:rsid w:val="00F977B1"/>
    <w:rsid w:val="00FD3628"/>
    <w:rsid w:val="00FF7D9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AA5A7BC"/>
  <w15:docId w15:val="{72D5CADD-CC2E-4BB2-BE8E-721E0D9D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es-ES" w:eastAsia="es-ES"/>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s-ES" w:eastAsia="es-ES"/>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s-ES" w:eastAsia="es-ES"/>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s-ES" w:eastAsia="es-ES"/>
    </w:rPr>
  </w:style>
  <w:style w:type="paragraph" w:customStyle="1" w:styleId="Sansinterligne2">
    <w:name w:val="Sans interligne2"/>
    <w:uiPriority w:val="1"/>
    <w:rsid w:val="006C3FFC"/>
    <w:rPr>
      <w:rFonts w:ascii="Times New Roman" w:eastAsia="Times New Roman" w:hAnsi="Times New Roman"/>
      <w:sz w:val="24"/>
      <w:szCs w:val="24"/>
      <w:lang w:val="es-ES" w:eastAsia="es-ES"/>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val="es-ES" w:eastAsia="es-E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s-ES" w:eastAsia="es-ES"/>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s-ES" w:eastAsia="es-ES"/>
    </w:rPr>
  </w:style>
  <w:style w:type="paragraph" w:customStyle="1" w:styleId="GAPara">
    <w:name w:val="GA Para"/>
    <w:qFormat/>
    <w:rsid w:val="00345CB4"/>
    <w:pPr>
      <w:spacing w:after="120"/>
    </w:pPr>
    <w:rPr>
      <w:rFonts w:ascii="Arial" w:eastAsia="Times New Roman" w:hAnsi="Arial" w:cs="Arial"/>
      <w:snapToGrid w:val="0"/>
      <w:sz w:val="22"/>
      <w:szCs w:val="22"/>
      <w:lang w:val="es-ES" w:eastAsia="es-E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character" w:customStyle="1" w:styleId="hps">
    <w:name w:val="hps"/>
    <w:rsid w:val="003D5AD2"/>
  </w:style>
  <w:style w:type="paragraph" w:customStyle="1" w:styleId="5GAparabodytext">
    <w:name w:val="5GA para body text"/>
    <w:basedOn w:val="Marge"/>
    <w:autoRedefine/>
    <w:qFormat/>
    <w:rsid w:val="00490911"/>
    <w:pPr>
      <w:numPr>
        <w:numId w:val="19"/>
      </w:numPr>
      <w:spacing w:after="120"/>
    </w:pPr>
    <w:rPr>
      <w:rFonts w:cs="Arial"/>
      <w:szCs w:val="22"/>
    </w:rPr>
  </w:style>
  <w:style w:type="character" w:styleId="Hyperlink">
    <w:name w:val="Hyperlink"/>
    <w:unhideWhenUsed/>
    <w:rsid w:val="003D5AD2"/>
    <w:rPr>
      <w:color w:val="0000FF"/>
      <w:u w:val="single"/>
      <w:lang w:val="es-ES" w:eastAsia="es-ES"/>
    </w:rPr>
  </w:style>
  <w:style w:type="character" w:styleId="FollowedHyperlink">
    <w:name w:val="FollowedHyperlink"/>
    <w:uiPriority w:val="99"/>
    <w:semiHidden/>
    <w:unhideWhenUsed/>
    <w:rsid w:val="003D5AD2"/>
    <w:rPr>
      <w:color w:val="954F72"/>
      <w:u w:val="single"/>
      <w:lang w:val="es-ES" w:eastAsia="es-ES"/>
    </w:rPr>
  </w:style>
  <w:style w:type="paragraph" w:styleId="FootnoteText">
    <w:name w:val="footnote text"/>
    <w:basedOn w:val="Normal"/>
    <w:link w:val="FootnoteTextChar"/>
    <w:uiPriority w:val="99"/>
    <w:unhideWhenUsed/>
    <w:rsid w:val="00AD6494"/>
    <w:rPr>
      <w:sz w:val="20"/>
      <w:szCs w:val="20"/>
    </w:rPr>
  </w:style>
  <w:style w:type="character" w:customStyle="1" w:styleId="FootnoteTextChar">
    <w:name w:val="Footnote Text Char"/>
    <w:link w:val="FootnoteText"/>
    <w:uiPriority w:val="99"/>
    <w:rsid w:val="00AD6494"/>
    <w:rPr>
      <w:rFonts w:ascii="Times New Roman" w:eastAsia="Times New Roman" w:hAnsi="Times New Roman"/>
      <w:lang w:val="es-ES" w:eastAsia="es-ES"/>
    </w:rPr>
  </w:style>
  <w:style w:type="character" w:styleId="FootnoteReference">
    <w:name w:val="footnote reference"/>
    <w:uiPriority w:val="99"/>
    <w:unhideWhenUsed/>
    <w:rsid w:val="00AD6494"/>
    <w:rPr>
      <w:vertAlign w:val="superscript"/>
      <w:lang w:val="es-ES" w:eastAsia="es-ES"/>
    </w:rPr>
  </w:style>
  <w:style w:type="paragraph" w:customStyle="1" w:styleId="Default">
    <w:name w:val="Default"/>
    <w:link w:val="DefaultChar"/>
    <w:uiPriority w:val="99"/>
    <w:rsid w:val="0002544E"/>
    <w:pPr>
      <w:autoSpaceDE w:val="0"/>
      <w:autoSpaceDN w:val="0"/>
      <w:adjustRightInd w:val="0"/>
    </w:pPr>
    <w:rPr>
      <w:rFonts w:ascii="Arial" w:hAnsi="Arial" w:cs="Arial"/>
      <w:color w:val="000000"/>
      <w:sz w:val="24"/>
      <w:szCs w:val="24"/>
      <w:lang w:val="es-ES" w:eastAsia="es-ES"/>
    </w:rPr>
  </w:style>
  <w:style w:type="character" w:customStyle="1" w:styleId="DefaultChar">
    <w:name w:val="Default Char"/>
    <w:link w:val="Default"/>
    <w:uiPriority w:val="99"/>
    <w:rsid w:val="0002544E"/>
    <w:rPr>
      <w:rFonts w:ascii="Arial" w:hAnsi="Arial" w:cs="Arial"/>
      <w:color w:val="000000"/>
      <w:sz w:val="24"/>
      <w:szCs w:val="24"/>
      <w:lang w:val="es-ES" w:eastAsia="es-ES"/>
    </w:rPr>
  </w:style>
  <w:style w:type="paragraph" w:customStyle="1" w:styleId="COMPara">
    <w:name w:val="COM Para"/>
    <w:qFormat/>
    <w:rsid w:val="00AF1052"/>
    <w:pPr>
      <w:spacing w:after="120"/>
      <w:ind w:left="567" w:hanging="567"/>
    </w:pPr>
    <w:rPr>
      <w:rFonts w:ascii="Arial" w:eastAsia="Times New Roman" w:hAnsi="Arial" w:cs="Arial"/>
      <w:snapToGrid w:val="0"/>
      <w:sz w:val="22"/>
      <w:szCs w:val="22"/>
      <w:lang w:val="es-ES" w:eastAsia="es-ES"/>
    </w:rPr>
  </w:style>
  <w:style w:type="paragraph" w:customStyle="1" w:styleId="Paragraph">
    <w:name w:val="Paragraph"/>
    <w:basedOn w:val="Default"/>
    <w:link w:val="ParagraphChar"/>
    <w:qFormat/>
    <w:rsid w:val="001749C6"/>
    <w:pPr>
      <w:numPr>
        <w:numId w:val="20"/>
      </w:numPr>
      <w:spacing w:after="240"/>
      <w:jc w:val="both"/>
    </w:pPr>
    <w:rPr>
      <w:bCs/>
      <w:sz w:val="22"/>
      <w:szCs w:val="22"/>
    </w:rPr>
  </w:style>
  <w:style w:type="character" w:customStyle="1" w:styleId="ParagraphChar">
    <w:name w:val="Paragraph Char"/>
    <w:link w:val="Paragraph"/>
    <w:rsid w:val="001749C6"/>
    <w:rPr>
      <w:rFonts w:ascii="Arial" w:hAnsi="Arial" w:cs="Arial"/>
      <w:bCs/>
      <w:color w:val="000000"/>
      <w:sz w:val="22"/>
      <w:szCs w:val="22"/>
      <w:lang w:val="es-ES" w:eastAsia="es-ES"/>
    </w:rPr>
  </w:style>
  <w:style w:type="paragraph" w:customStyle="1" w:styleId="5GAParaResolution">
    <w:name w:val="5GA Para Resolution"/>
    <w:basedOn w:val="Normal"/>
    <w:qFormat/>
    <w:rsid w:val="00EB3866"/>
    <w:pPr>
      <w:autoSpaceDE w:val="0"/>
      <w:autoSpaceDN w:val="0"/>
      <w:adjustRightInd w:val="0"/>
      <w:spacing w:after="120"/>
      <w:ind w:left="1134" w:hanging="567"/>
      <w:jc w:val="both"/>
    </w:pPr>
    <w:rPr>
      <w:rFonts w:ascii="Arial" w:eastAsia="SimSun" w:hAnsi="Arial" w:cs="Arial"/>
      <w:sz w:val="22"/>
      <w:szCs w:val="22"/>
    </w:rPr>
  </w:style>
  <w:style w:type="character" w:styleId="CommentReference">
    <w:name w:val="annotation reference"/>
    <w:uiPriority w:val="99"/>
    <w:semiHidden/>
    <w:unhideWhenUsed/>
    <w:rsid w:val="003B61C2"/>
    <w:rPr>
      <w:sz w:val="16"/>
      <w:szCs w:val="16"/>
      <w:lang w:val="es-ES" w:eastAsia="es-ES"/>
    </w:rPr>
  </w:style>
  <w:style w:type="paragraph" w:styleId="CommentText">
    <w:name w:val="annotation text"/>
    <w:basedOn w:val="Normal"/>
    <w:link w:val="CommentTextChar"/>
    <w:uiPriority w:val="99"/>
    <w:semiHidden/>
    <w:unhideWhenUsed/>
    <w:rsid w:val="003B61C2"/>
    <w:rPr>
      <w:sz w:val="20"/>
      <w:szCs w:val="20"/>
    </w:rPr>
  </w:style>
  <w:style w:type="character" w:customStyle="1" w:styleId="CommentTextChar">
    <w:name w:val="Comment Text Char"/>
    <w:link w:val="CommentText"/>
    <w:uiPriority w:val="99"/>
    <w:semiHidden/>
    <w:rsid w:val="003B61C2"/>
    <w:rPr>
      <w:rFonts w:ascii="Times New Roman" w:eastAsia="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3B61C2"/>
    <w:rPr>
      <w:b/>
      <w:bCs/>
    </w:rPr>
  </w:style>
  <w:style w:type="character" w:customStyle="1" w:styleId="CommentSubjectChar">
    <w:name w:val="Comment Subject Char"/>
    <w:link w:val="CommentSubject"/>
    <w:uiPriority w:val="99"/>
    <w:semiHidden/>
    <w:rsid w:val="003B61C2"/>
    <w:rPr>
      <w:rFonts w:ascii="Times New Roman" w:eastAsia="Times New Roman" w:hAnsi="Times New Roman"/>
      <w:b/>
      <w:bCs/>
      <w:lang w:val="es-ES" w:eastAsia="es-ES"/>
    </w:rPr>
  </w:style>
  <w:style w:type="paragraph" w:customStyle="1" w:styleId="COMParaDecision">
    <w:name w:val="COM Para Decision"/>
    <w:basedOn w:val="Normal"/>
    <w:qFormat/>
    <w:rsid w:val="007F24BE"/>
    <w:pPr>
      <w:autoSpaceDE w:val="0"/>
      <w:autoSpaceDN w:val="0"/>
      <w:adjustRightInd w:val="0"/>
      <w:spacing w:after="120"/>
      <w:ind w:left="1287" w:hanging="360"/>
      <w:jc w:val="both"/>
    </w:pPr>
    <w:rPr>
      <w:rFonts w:ascii="Arial" w:eastAsia="SimSun" w:hAnsi="Arial" w:cs="Arial"/>
      <w:sz w:val="22"/>
      <w:szCs w:val="22"/>
      <w:u w:val="single"/>
    </w:rPr>
  </w:style>
  <w:style w:type="paragraph" w:customStyle="1" w:styleId="5GATitleResolution">
    <w:name w:val="5GA Title Resolution"/>
    <w:basedOn w:val="Normal"/>
    <w:qFormat/>
    <w:rsid w:val="00617CA4"/>
    <w:pPr>
      <w:keepNext/>
      <w:spacing w:before="240" w:after="120"/>
      <w:ind w:left="567"/>
      <w:jc w:val="both"/>
    </w:pPr>
    <w:rPr>
      <w:rFonts w:ascii="Arial" w:hAnsi="Arial" w:cs="Arial"/>
      <w:b/>
      <w:sz w:val="22"/>
      <w:szCs w:val="22"/>
    </w:rPr>
  </w:style>
  <w:style w:type="paragraph" w:customStyle="1" w:styleId="5GAPreambulaResolution">
    <w:name w:val="5GA Preambula Resolution"/>
    <w:basedOn w:val="Normal"/>
    <w:qFormat/>
    <w:rsid w:val="00617CA4"/>
    <w:pPr>
      <w:keepNext/>
      <w:spacing w:after="120"/>
      <w:ind w:left="567"/>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qfs\OurDrive\CLT\ProgrammeExecution\2003Convention\2003-StatutoryMeetings\2017\2017-12%2012.COM-Jeju\Decisions\ITH-17-12.COM-Decisions-EN.pdf" TargetMode="External"/><Relationship Id="rId13" Type="http://schemas.openxmlformats.org/officeDocument/2006/relationships/hyperlink" Target="https://ich.unesco.org/en/Resolutions/6.GA/7" TargetMode="External"/><Relationship Id="rId18" Type="http://schemas.openxmlformats.org/officeDocument/2006/relationships/hyperlink" Target="https://ich.unesco.org/en/Decisions/12.COM/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doc/src/ITH-18-7.GA-INF.8-EN.docx" TargetMode="External"/><Relationship Id="rId17" Type="http://schemas.openxmlformats.org/officeDocument/2006/relationships/hyperlink" Target="https://ich.unesco.org/en/Decisions/12.COM/7"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ch.unesco.org/en/Decisions/8.COM/7.c" TargetMode="External"/><Relationship Id="rId20" Type="http://schemas.openxmlformats.org/officeDocument/2006/relationships/hyperlink" Target="https://ich.unesco.org/en/Resolutions/6.G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6" TargetMode="External"/><Relationship Id="rId24" Type="http://schemas.openxmlformats.org/officeDocument/2006/relationships/hyperlink" Target="https://ich.unesco.org/en/Decisions/10.COM/8"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hyperlink" Target="https://ich.unesco.org/en/Resolutions/6.GA/9" TargetMode="External"/><Relationship Id="rId19" Type="http://schemas.openxmlformats.org/officeDocument/2006/relationships/hyperlink" Target="https://ich.unesco.org/en/Decisions/10.COM/8" TargetMode="External"/><Relationship Id="rId4" Type="http://schemas.openxmlformats.org/officeDocument/2006/relationships/settings" Target="settings.xml"/><Relationship Id="rId9" Type="http://schemas.openxmlformats.org/officeDocument/2006/relationships/hyperlink" Target="https://ich.unesco.org/doc/src/ITH-18-7.GA-INF.8-EN.docx" TargetMode="Externa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n/dono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18\2018-06_7GA_PARIS\Documents\08_7GA_Use%20of%20the%20resources%20of%20the%20ICH%20Fund\Draft\Trends%20on%20the%20use%20of%20IAS%20and%20PRA%20-%20S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18\2018-06_7GA_PARIS\Documents\08_7GA_Use%20of%20the%20resources%20of%20the%20ICH%20Fund\Draft\Trends%20on%20the%20use%20of%20IAS%20and%20PRA%20-%20S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fr-FR" sz="1300" b="1">
                <a:solidFill>
                  <a:sysClr val="windowText" lastClr="000000"/>
                </a:solidFill>
              </a:rPr>
              <a:t>Tasa</a:t>
            </a:r>
            <a:r>
              <a:rPr lang="fr-FR" sz="1300" b="1" baseline="0">
                <a:solidFill>
                  <a:sysClr val="windowText" lastClr="000000"/>
                </a:solidFill>
              </a:rPr>
              <a:t> de implementación</a:t>
            </a:r>
            <a:r>
              <a:rPr lang="fr-FR" sz="1300" b="1">
                <a:solidFill>
                  <a:sysClr val="windowText" lastClr="000000"/>
                </a:solidFill>
              </a:rPr>
              <a:t>:</a:t>
            </a:r>
            <a:r>
              <a:rPr lang="fr-FR" sz="1300" b="1" baseline="0">
                <a:solidFill>
                  <a:sysClr val="windowText" lastClr="000000"/>
                </a:solidFill>
              </a:rPr>
              <a:t> Asistencia internacional y </a:t>
            </a:r>
            <a:r>
              <a:rPr lang="fr-FR" sz="1300" b="1">
                <a:solidFill>
                  <a:sysClr val="windowText" lastClr="000000"/>
                </a:solidFill>
              </a:rPr>
              <a:t>preparatoria</a:t>
            </a:r>
            <a:r>
              <a:rPr lang="fr-FR" sz="1300" b="1" baseline="0">
                <a:solidFill>
                  <a:sysClr val="windowText" lastClr="000000"/>
                </a:solidFill>
              </a:rPr>
              <a:t> </a:t>
            </a:r>
            <a:r>
              <a:rPr lang="fr-FR" sz="1300" b="1" i="0" u="none" strike="noStrike" baseline="0">
                <a:effectLst/>
              </a:rPr>
              <a:t>(partida presupuestaria 1 y 2) </a:t>
            </a:r>
            <a:r>
              <a:rPr lang="fr-FR" sz="1300" b="1" baseline="0">
                <a:solidFill>
                  <a:sysClr val="windowText" lastClr="000000"/>
                </a:solidFill>
              </a:rPr>
              <a:t> </a:t>
            </a:r>
            <a:endParaRPr lang="fr-FR" sz="1300" b="1">
              <a:solidFill>
                <a:sysClr val="windowText" lastClr="000000"/>
              </a:solidFill>
            </a:endParaRPr>
          </a:p>
        </c:rich>
      </c:tx>
      <c:layout>
        <c:manualLayout>
          <c:xMode val="edge"/>
          <c:yMode val="edge"/>
          <c:x val="0.10726114649681529"/>
          <c:y val="1.73535791757049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'Data '!$C$21</c:f>
              <c:strCache>
                <c:ptCount val="1"/>
                <c:pt idx="0">
                  <c:v>Fondos desembolsados</c:v>
                </c:pt>
              </c:strCache>
            </c:strRef>
          </c:tx>
          <c:spPr>
            <a:pattFill prst="pct5">
              <a:fgClr>
                <a:srgbClr val="C00000"/>
              </a:fgClr>
              <a:bgClr>
                <a:schemeClr val="bg2"/>
              </a:bgClr>
            </a:pattFill>
            <a:ln>
              <a:solidFill>
                <a:srgbClr val="FF0000"/>
              </a:solidFill>
            </a:ln>
            <a:effectLst/>
          </c:spPr>
          <c:invertIfNegative val="0"/>
          <c:dLbls>
            <c:dLbl>
              <c:idx val="0"/>
              <c:layout/>
              <c:tx>
                <c:rich>
                  <a:bodyPr/>
                  <a:lstStyle/>
                  <a:p>
                    <a:fld id="{FB5C0FB1-36F8-47AF-BF9E-FA6D6E15BCB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832A-4A36-AA3E-7777326DFE00}"/>
                </c:ext>
              </c:extLst>
            </c:dLbl>
            <c:dLbl>
              <c:idx val="1"/>
              <c:layout/>
              <c:tx>
                <c:rich>
                  <a:bodyPr/>
                  <a:lstStyle/>
                  <a:p>
                    <a:fld id="{D7DF15C4-48EF-4B8A-8B97-7E98F6C2DC4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832A-4A36-AA3E-7777326DFE00}"/>
                </c:ext>
              </c:extLst>
            </c:dLbl>
            <c:dLbl>
              <c:idx val="2"/>
              <c:layout/>
              <c:tx>
                <c:rich>
                  <a:bodyPr/>
                  <a:lstStyle/>
                  <a:p>
                    <a:fld id="{968C13DA-B708-497D-9B24-E70E3C81739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832A-4A36-AA3E-7777326DFE00}"/>
                </c:ext>
              </c:extLst>
            </c:dLbl>
            <c:dLbl>
              <c:idx val="3"/>
              <c:layout/>
              <c:tx>
                <c:rich>
                  <a:bodyPr/>
                  <a:lstStyle/>
                  <a:p>
                    <a:fld id="{774495FA-3D41-48F4-99FC-B7D438A6FA3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832A-4A36-AA3E-7777326DFE0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'Data '!$A$22:$A$25</c:f>
              <c:strCache>
                <c:ptCount val="4"/>
                <c:pt idx="0">
                  <c:v>Bienio 35 C/5 (10-11)</c:v>
                </c:pt>
                <c:pt idx="1">
                  <c:v>Bienio 36 C/5 (12-13)</c:v>
                </c:pt>
                <c:pt idx="2">
                  <c:v>Bienio 37 C/5 (14-15)</c:v>
                </c:pt>
                <c:pt idx="3">
                  <c:v>Bienio 38 C/5 (16-17)</c:v>
                </c:pt>
              </c:strCache>
            </c:strRef>
          </c:cat>
          <c:val>
            <c:numRef>
              <c:f>'Data '!$C$22:$C$25</c:f>
              <c:numCache>
                <c:formatCode>#,##0</c:formatCode>
                <c:ptCount val="4"/>
                <c:pt idx="0">
                  <c:v>343280</c:v>
                </c:pt>
                <c:pt idx="1">
                  <c:v>1274417.58</c:v>
                </c:pt>
                <c:pt idx="2">
                  <c:v>530655.65</c:v>
                </c:pt>
                <c:pt idx="3">
                  <c:v>1331131.9000000001</c:v>
                </c:pt>
              </c:numCache>
            </c:numRef>
          </c:val>
          <c:extLst>
            <c:ext xmlns:c15="http://schemas.microsoft.com/office/drawing/2012/chart" uri="{02D57815-91ED-43cb-92C2-25804820EDAC}">
              <c15:datalabelsRange>
                <c15:f>'Data '!$F$22:$F$25</c15:f>
                <c15:dlblRangeCache>
                  <c:ptCount val="4"/>
                  <c:pt idx="0">
                    <c:v>12%</c:v>
                  </c:pt>
                  <c:pt idx="1">
                    <c:v>35%</c:v>
                  </c:pt>
                  <c:pt idx="2">
                    <c:v>13%</c:v>
                  </c:pt>
                  <c:pt idx="3">
                    <c:v>26%</c:v>
                  </c:pt>
                </c15:dlblRangeCache>
              </c15:datalabelsRange>
            </c:ext>
            <c:ext xmlns:c16="http://schemas.microsoft.com/office/drawing/2014/chart" uri="{C3380CC4-5D6E-409C-BE32-E72D297353CC}">
              <c16:uniqueId val="{00000004-832A-4A36-AA3E-7777326DFE00}"/>
            </c:ext>
          </c:extLst>
        </c:ser>
        <c:ser>
          <c:idx val="1"/>
          <c:order val="1"/>
          <c:tx>
            <c:strRef>
              <c:f>'Data '!$D$21</c:f>
              <c:strCache>
                <c:ptCount val="1"/>
                <c:pt idx="0">
                  <c:v>Fondos no utilizados</c:v>
                </c:pt>
              </c:strCache>
            </c:strRef>
          </c:tx>
          <c:spPr>
            <a:pattFill prst="wdDnDiag">
              <a:fgClr>
                <a:srgbClr val="FF0000"/>
              </a:fgClr>
              <a:bgClr>
                <a:schemeClr val="bg2"/>
              </a:bgClr>
            </a:pattFill>
            <a:ln>
              <a:solidFill>
                <a:srgbClr val="FF0000"/>
              </a:solidFill>
            </a:ln>
            <a:effectLst/>
          </c:spPr>
          <c:invertIfNegative val="0"/>
          <c:cat>
            <c:strRef>
              <c:f>'Data '!$A$22:$A$25</c:f>
              <c:strCache>
                <c:ptCount val="4"/>
                <c:pt idx="0">
                  <c:v>Bienio 35 C/5 (10-11)</c:v>
                </c:pt>
                <c:pt idx="1">
                  <c:v>Bienio 36 C/5 (12-13)</c:v>
                </c:pt>
                <c:pt idx="2">
                  <c:v>Bienio 37 C/5 (14-15)</c:v>
                </c:pt>
                <c:pt idx="3">
                  <c:v>Bienio 38 C/5 (16-17)</c:v>
                </c:pt>
              </c:strCache>
            </c:strRef>
          </c:cat>
          <c:val>
            <c:numRef>
              <c:f>'Data '!$D$22:$D$25</c:f>
              <c:numCache>
                <c:formatCode>#,##0</c:formatCode>
                <c:ptCount val="4"/>
                <c:pt idx="0">
                  <c:v>2465563</c:v>
                </c:pt>
                <c:pt idx="1">
                  <c:v>2418286.42</c:v>
                </c:pt>
                <c:pt idx="2">
                  <c:v>3488829.35</c:v>
                </c:pt>
                <c:pt idx="3">
                  <c:v>3799023.0999999996</c:v>
                </c:pt>
              </c:numCache>
            </c:numRef>
          </c:val>
          <c:extLst>
            <c:ext xmlns:c16="http://schemas.microsoft.com/office/drawing/2014/chart" uri="{C3380CC4-5D6E-409C-BE32-E72D297353CC}">
              <c16:uniqueId val="{00000005-832A-4A36-AA3E-7777326DFE00}"/>
            </c:ext>
          </c:extLst>
        </c:ser>
        <c:dLbls>
          <c:showLegendKey val="0"/>
          <c:showVal val="0"/>
          <c:showCatName val="0"/>
          <c:showSerName val="0"/>
          <c:showPercent val="0"/>
          <c:showBubbleSize val="0"/>
        </c:dLbls>
        <c:gapWidth val="219"/>
        <c:overlap val="100"/>
        <c:axId val="645176664"/>
        <c:axId val="645175352"/>
      </c:barChart>
      <c:lineChart>
        <c:grouping val="standard"/>
        <c:varyColors val="0"/>
        <c:ser>
          <c:idx val="2"/>
          <c:order val="2"/>
          <c:tx>
            <c:strRef>
              <c:f>'Data '!$E$21</c:f>
              <c:strCache>
                <c:ptCount val="1"/>
                <c:pt idx="0">
                  <c:v>Contribuciones asignadas IAS + PRA</c:v>
                </c:pt>
              </c:strCache>
            </c:strRef>
          </c:tx>
          <c:spPr>
            <a:ln w="28575" cap="rnd">
              <a:solidFill>
                <a:schemeClr val="accent6">
                  <a:lumMod val="75000"/>
                </a:schemeClr>
              </a:solidFill>
              <a:round/>
            </a:ln>
            <a:effectLst/>
          </c:spPr>
          <c:marker>
            <c:symbol val="none"/>
          </c:marker>
          <c:val>
            <c:numRef>
              <c:f>'Data '!$E$22:$E$25</c:f>
              <c:numCache>
                <c:formatCode>#,##0</c:formatCode>
                <c:ptCount val="4"/>
                <c:pt idx="0">
                  <c:v>2047131.3149999999</c:v>
                </c:pt>
                <c:pt idx="1">
                  <c:v>2375566.6049999995</c:v>
                </c:pt>
                <c:pt idx="2">
                  <c:v>2490513.3449999997</c:v>
                </c:pt>
                <c:pt idx="3">
                  <c:v>2491490.52</c:v>
                </c:pt>
              </c:numCache>
            </c:numRef>
          </c:val>
          <c:smooth val="0"/>
          <c:extLst>
            <c:ext xmlns:c16="http://schemas.microsoft.com/office/drawing/2014/chart" uri="{C3380CC4-5D6E-409C-BE32-E72D297353CC}">
              <c16:uniqueId val="{00000006-832A-4A36-AA3E-7777326DFE00}"/>
            </c:ext>
          </c:extLst>
        </c:ser>
        <c:dLbls>
          <c:showLegendKey val="0"/>
          <c:showVal val="0"/>
          <c:showCatName val="0"/>
          <c:showSerName val="0"/>
          <c:showPercent val="0"/>
          <c:showBubbleSize val="0"/>
        </c:dLbls>
        <c:marker val="1"/>
        <c:smooth val="0"/>
        <c:axId val="645176664"/>
        <c:axId val="645175352"/>
      </c:lineChart>
      <c:dateAx>
        <c:axId val="645176664"/>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175352"/>
        <c:crosses val="autoZero"/>
        <c:auto val="0"/>
        <c:lblOffset val="100"/>
        <c:baseTimeUnit val="days"/>
        <c:majorUnit val="1"/>
      </c:dateAx>
      <c:valAx>
        <c:axId val="645175352"/>
        <c:scaling>
          <c:orientation val="minMax"/>
          <c:max val="5300000"/>
          <c:min val="0"/>
        </c:scaling>
        <c:delete val="0"/>
        <c:axPos val="l"/>
        <c:majorGridlines>
          <c:spPr>
            <a:ln w="9525" cap="flat" cmpd="sng" algn="ctr">
              <a:solidFill>
                <a:schemeClr val="tx1">
                  <a:lumMod val="15000"/>
                  <a:lumOff val="85000"/>
                </a:schemeClr>
              </a:solidFill>
              <a:round/>
            </a:ln>
            <a:effectLst>
              <a:outerShdw blurRad="50800" dist="50800" dir="5400000" algn="ctr" rotWithShape="0">
                <a:schemeClr val="bg1"/>
              </a:outerShdw>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176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i="0" u="none" strike="noStrike" baseline="0">
                <a:solidFill>
                  <a:sysClr val="windowText" lastClr="000000"/>
                </a:solidFill>
                <a:effectLst/>
              </a:rPr>
              <a:t>Previsión</a:t>
            </a:r>
            <a:r>
              <a:rPr lang="es-ES" sz="1400" b="1" i="0" u="none" strike="noStrike" baseline="0">
                <a:effectLst/>
              </a:rPr>
              <a:t> </a:t>
            </a:r>
            <a:r>
              <a:rPr lang="fr-FR" b="1">
                <a:solidFill>
                  <a:sysClr val="windowText" lastClr="000000"/>
                </a:solidFill>
              </a:rPr>
              <a:t>de evolución</a:t>
            </a:r>
            <a:r>
              <a:rPr lang="fr-FR" b="1" baseline="0">
                <a:solidFill>
                  <a:sysClr val="windowText" lastClr="000000"/>
                </a:solidFill>
              </a:rPr>
              <a:t>: Fondo del Patrimonio Inmaterial</a:t>
            </a:r>
            <a:endParaRPr lang="fr-FR"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262509806634151E-2"/>
          <c:y val="0.11636081305809802"/>
          <c:w val="0.89264027058176532"/>
          <c:h val="0.66380105945371248"/>
        </c:manualLayout>
      </c:layout>
      <c:lineChart>
        <c:grouping val="standard"/>
        <c:varyColors val="0"/>
        <c:ser>
          <c:idx val="0"/>
          <c:order val="0"/>
          <c:tx>
            <c:strRef>
              <c:f>'Data '!$B$101</c:f>
              <c:strCache>
                <c:ptCount val="1"/>
                <c:pt idx="0">
                  <c:v>Contribuciones asignadas</c:v>
                </c:pt>
              </c:strCache>
            </c:strRef>
          </c:tx>
          <c:spPr>
            <a:ln w="28575" cap="rnd">
              <a:solidFill>
                <a:schemeClr val="accent6"/>
              </a:solidFill>
              <a:round/>
            </a:ln>
            <a:effectLst/>
          </c:spPr>
          <c:marker>
            <c:symbol val="none"/>
          </c:marker>
          <c:cat>
            <c:strRef>
              <c:f>'Data '!$A$102:$A$110</c:f>
              <c:strCache>
                <c:ptCount val="9"/>
                <c:pt idx="0">
                  <c:v>38 C/5</c:v>
                </c:pt>
                <c:pt idx="1">
                  <c:v>39 C/5 </c:v>
                </c:pt>
                <c:pt idx="2">
                  <c:v>40 C/5 </c:v>
                </c:pt>
                <c:pt idx="3">
                  <c:v>41 C/5 </c:v>
                </c:pt>
                <c:pt idx="4">
                  <c:v>42 C/5 </c:v>
                </c:pt>
                <c:pt idx="5">
                  <c:v>43 C/5 </c:v>
                </c:pt>
                <c:pt idx="6">
                  <c:v>44 C/5 </c:v>
                </c:pt>
                <c:pt idx="7">
                  <c:v>45 C/5 </c:v>
                </c:pt>
                <c:pt idx="8">
                  <c:v>46 C/5 </c:v>
                </c:pt>
              </c:strCache>
            </c:strRef>
          </c:cat>
          <c:val>
            <c:numRef>
              <c:f>'Data '!$B$102:$B$110</c:f>
              <c:numCache>
                <c:formatCode>_-* #\ ##0\ _€_-;\-* #\ ##0\ _€_-;_-* "-"??\ _€_-;_-@_-</c:formatCode>
                <c:ptCount val="9"/>
                <c:pt idx="0">
                  <c:v>3863049</c:v>
                </c:pt>
                <c:pt idx="1">
                  <c:v>3978940.47</c:v>
                </c:pt>
                <c:pt idx="2">
                  <c:v>4098308.6841000002</c:v>
                </c:pt>
                <c:pt idx="3">
                  <c:v>4221257.944623</c:v>
                </c:pt>
                <c:pt idx="4">
                  <c:v>4347895.6829616902</c:v>
                </c:pt>
                <c:pt idx="5">
                  <c:v>4478332.5534505406</c:v>
                </c:pt>
                <c:pt idx="6">
                  <c:v>4612682.530054057</c:v>
                </c:pt>
                <c:pt idx="7">
                  <c:v>4751063.0059556784</c:v>
                </c:pt>
                <c:pt idx="8">
                  <c:v>4893594.8961343486</c:v>
                </c:pt>
              </c:numCache>
            </c:numRef>
          </c:val>
          <c:smooth val="0"/>
          <c:extLst>
            <c:ext xmlns:c16="http://schemas.microsoft.com/office/drawing/2014/chart" uri="{C3380CC4-5D6E-409C-BE32-E72D297353CC}">
              <c16:uniqueId val="{00000000-64A8-42D8-B332-384D488FB560}"/>
            </c:ext>
          </c:extLst>
        </c:ser>
        <c:ser>
          <c:idx val="1"/>
          <c:order val="1"/>
          <c:tx>
            <c:strRef>
              <c:f>'Data '!$C$101</c:f>
              <c:strCache>
                <c:ptCount val="1"/>
                <c:pt idx="0">
                  <c:v>Gastos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'Data '!$A$102:$A$110</c:f>
              <c:strCache>
                <c:ptCount val="9"/>
                <c:pt idx="0">
                  <c:v>38 C/5</c:v>
                </c:pt>
                <c:pt idx="1">
                  <c:v>39 C/5 </c:v>
                </c:pt>
                <c:pt idx="2">
                  <c:v>40 C/5 </c:v>
                </c:pt>
                <c:pt idx="3">
                  <c:v>41 C/5 </c:v>
                </c:pt>
                <c:pt idx="4">
                  <c:v>42 C/5 </c:v>
                </c:pt>
                <c:pt idx="5">
                  <c:v>43 C/5 </c:v>
                </c:pt>
                <c:pt idx="6">
                  <c:v>44 C/5 </c:v>
                </c:pt>
                <c:pt idx="7">
                  <c:v>45 C/5 </c:v>
                </c:pt>
                <c:pt idx="8">
                  <c:v>46 C/5 </c:v>
                </c:pt>
              </c:strCache>
            </c:strRef>
          </c:cat>
          <c:val>
            <c:numRef>
              <c:f>'Data '!$C$102:$C$110</c:f>
              <c:numCache>
                <c:formatCode>#\ ##0;[Red]#\ ##0</c:formatCode>
                <c:ptCount val="9"/>
                <c:pt idx="0">
                  <c:v>3609487.97</c:v>
                </c:pt>
                <c:pt idx="1">
                  <c:v>4978402.57</c:v>
                </c:pt>
                <c:pt idx="2">
                  <c:v>4978402.57</c:v>
                </c:pt>
                <c:pt idx="3">
                  <c:v>4978402.57</c:v>
                </c:pt>
                <c:pt idx="4">
                  <c:v>4978402.57</c:v>
                </c:pt>
                <c:pt idx="5">
                  <c:v>4978402.57</c:v>
                </c:pt>
                <c:pt idx="6">
                  <c:v>4823644.8951352304</c:v>
                </c:pt>
                <c:pt idx="7">
                  <c:v>4751063.0059556784</c:v>
                </c:pt>
                <c:pt idx="8">
                  <c:v>4893594.8961343486</c:v>
                </c:pt>
              </c:numCache>
            </c:numRef>
          </c:val>
          <c:smooth val="0"/>
          <c:extLst>
            <c:ext xmlns:c16="http://schemas.microsoft.com/office/drawing/2014/chart" uri="{C3380CC4-5D6E-409C-BE32-E72D297353CC}">
              <c16:uniqueId val="{00000001-64A8-42D8-B332-384D488FB560}"/>
            </c:ext>
          </c:extLst>
        </c:ser>
        <c:ser>
          <c:idx val="2"/>
          <c:order val="2"/>
          <c:tx>
            <c:strRef>
              <c:f>'Data '!$D$101</c:f>
              <c:strCache>
                <c:ptCount val="1"/>
                <c:pt idx="0">
                  <c:v>Presupuesto aprobado</c:v>
                </c:pt>
              </c:strCache>
            </c:strRef>
          </c:tx>
          <c:spPr>
            <a:ln w="31750" cap="rnd">
              <a:solidFill>
                <a:schemeClr val="accent4"/>
              </a:solidFill>
              <a:round/>
            </a:ln>
            <a:effectLst/>
          </c:spPr>
          <c:marker>
            <c:symbol val="circle"/>
            <c:size val="5"/>
            <c:spPr>
              <a:solidFill>
                <a:schemeClr val="accent4"/>
              </a:solidFill>
              <a:ln w="9525">
                <a:solidFill>
                  <a:schemeClr val="accent4"/>
                </a:solidFill>
              </a:ln>
              <a:effectLst/>
            </c:spPr>
          </c:marker>
          <c:cat>
            <c:strRef>
              <c:f>'Data '!$A$102:$A$110</c:f>
              <c:strCache>
                <c:ptCount val="9"/>
                <c:pt idx="0">
                  <c:v>38 C/5</c:v>
                </c:pt>
                <c:pt idx="1">
                  <c:v>39 C/5 </c:v>
                </c:pt>
                <c:pt idx="2">
                  <c:v>40 C/5 </c:v>
                </c:pt>
                <c:pt idx="3">
                  <c:v>41 C/5 </c:v>
                </c:pt>
                <c:pt idx="4">
                  <c:v>42 C/5 </c:v>
                </c:pt>
                <c:pt idx="5">
                  <c:v>43 C/5 </c:v>
                </c:pt>
                <c:pt idx="6">
                  <c:v>44 C/5 </c:v>
                </c:pt>
                <c:pt idx="7">
                  <c:v>45 C/5 </c:v>
                </c:pt>
                <c:pt idx="8">
                  <c:v>46 C/5 </c:v>
                </c:pt>
              </c:strCache>
            </c:strRef>
          </c:cat>
          <c:val>
            <c:numRef>
              <c:f>'Data '!$D$102:$D$110</c:f>
              <c:numCache>
                <c:formatCode>#\ ##0;[Red]#\ ##0</c:formatCode>
                <c:ptCount val="9"/>
                <c:pt idx="0">
                  <c:v>7977920</c:v>
                </c:pt>
                <c:pt idx="1">
                  <c:v>8590922.4100000001</c:v>
                </c:pt>
                <c:pt idx="2">
                  <c:v>7591460.3100000005</c:v>
                </c:pt>
                <c:pt idx="3">
                  <c:v>6711366.4241000004</c:v>
                </c:pt>
                <c:pt idx="4">
                  <c:v>5954221.7987230001</c:v>
                </c:pt>
                <c:pt idx="5">
                  <c:v>5323714.91168469</c:v>
                </c:pt>
                <c:pt idx="6">
                  <c:v>4823644.8951352304</c:v>
                </c:pt>
                <c:pt idx="7">
                  <c:v>4751063.0059556784</c:v>
                </c:pt>
                <c:pt idx="8">
                  <c:v>4893594.8961343486</c:v>
                </c:pt>
              </c:numCache>
            </c:numRef>
          </c:val>
          <c:smooth val="0"/>
          <c:extLst>
            <c:ext xmlns:c16="http://schemas.microsoft.com/office/drawing/2014/chart" uri="{C3380CC4-5D6E-409C-BE32-E72D297353CC}">
              <c16:uniqueId val="{00000002-64A8-42D8-B332-384D488FB560}"/>
            </c:ext>
          </c:extLst>
        </c:ser>
        <c:dLbls>
          <c:showLegendKey val="0"/>
          <c:showVal val="0"/>
          <c:showCatName val="0"/>
          <c:showSerName val="0"/>
          <c:showPercent val="0"/>
          <c:showBubbleSize val="0"/>
        </c:dLbls>
        <c:smooth val="0"/>
        <c:axId val="515330040"/>
        <c:axId val="515332008"/>
      </c:lineChart>
      <c:catAx>
        <c:axId val="51533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332008"/>
        <c:crossesAt val="0"/>
        <c:auto val="1"/>
        <c:lblAlgn val="ctr"/>
        <c:lblOffset val="100"/>
        <c:noMultiLvlLbl val="0"/>
      </c:catAx>
      <c:valAx>
        <c:axId val="515332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330040"/>
        <c:crosses val="autoZero"/>
        <c:crossBetween val="between"/>
      </c:valAx>
      <c:spPr>
        <a:solidFill>
          <a:schemeClr val="bg1"/>
        </a:solidFill>
        <a:ln>
          <a:noFill/>
        </a:ln>
        <a:effectLst/>
      </c:spPr>
    </c:plotArea>
    <c:legend>
      <c:legendPos val="b"/>
      <c:layout>
        <c:manualLayout>
          <c:xMode val="edge"/>
          <c:yMode val="edge"/>
          <c:x val="7.0336276474152942E-2"/>
          <c:y val="0.85607802527788179"/>
          <c:w val="0.89057730607812402"/>
          <c:h val="8.117686118310604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540F-09AA-415C-A95B-57B4DFF6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6</TotalTime>
  <Pages>11</Pages>
  <Words>4902</Words>
  <Characters>27944</Characters>
  <Application>Microsoft Office Word</Application>
  <DocSecurity>0</DocSecurity>
  <Lines>232</Lines>
  <Paragraphs>65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UNESCO</Company>
  <LinksUpToDate>false</LinksUpToDate>
  <CharactersWithSpaces>32781</CharactersWithSpaces>
  <SharedDoc>false</SharedDoc>
  <HLinks>
    <vt:vector size="66" baseType="variant">
      <vt:variant>
        <vt:i4>6422628</vt:i4>
      </vt:variant>
      <vt:variant>
        <vt:i4>33</vt:i4>
      </vt:variant>
      <vt:variant>
        <vt:i4>0</vt:i4>
      </vt:variant>
      <vt:variant>
        <vt:i4>5</vt:i4>
      </vt:variant>
      <vt:variant>
        <vt:lpwstr>http://www.unesco.org/culture/ich/en/Decisions/10.COM/8</vt:lpwstr>
      </vt:variant>
      <vt:variant>
        <vt:lpwstr/>
      </vt:variant>
      <vt:variant>
        <vt:i4>5046356</vt:i4>
      </vt:variant>
      <vt:variant>
        <vt:i4>30</vt:i4>
      </vt:variant>
      <vt:variant>
        <vt:i4>0</vt:i4>
      </vt:variant>
      <vt:variant>
        <vt:i4>5</vt:i4>
      </vt:variant>
      <vt:variant>
        <vt:lpwstr>https://ich.unesco.org/en/Resolutions/6.GA/9</vt:lpwstr>
      </vt:variant>
      <vt:variant>
        <vt:lpwstr/>
      </vt:variant>
      <vt:variant>
        <vt:i4>5111832</vt:i4>
      </vt:variant>
      <vt:variant>
        <vt:i4>27</vt:i4>
      </vt:variant>
      <vt:variant>
        <vt:i4>0</vt:i4>
      </vt:variant>
      <vt:variant>
        <vt:i4>5</vt:i4>
      </vt:variant>
      <vt:variant>
        <vt:lpwstr>https://ich.unesco.org/en/Decisions/10.COM/8</vt:lpwstr>
      </vt:variant>
      <vt:variant>
        <vt:lpwstr/>
      </vt:variant>
      <vt:variant>
        <vt:i4>101</vt:i4>
      </vt:variant>
      <vt:variant>
        <vt:i4>24</vt:i4>
      </vt:variant>
      <vt:variant>
        <vt:i4>0</vt:i4>
      </vt:variant>
      <vt:variant>
        <vt:i4>5</vt:i4>
      </vt:variant>
      <vt:variant>
        <vt:lpwstr>\\hqfs\OurDrive\CLT\ProgrammeExecution\2003Convention\2003-StatutoryMeetings\2017\2017-12 12.COM-Jeju\Decisions\ITH-17-12.COM-Decisions-EN.pdf</vt:lpwstr>
      </vt:variant>
      <vt:variant>
        <vt:lpwstr/>
      </vt:variant>
      <vt:variant>
        <vt:i4>101</vt:i4>
      </vt:variant>
      <vt:variant>
        <vt:i4>21</vt:i4>
      </vt:variant>
      <vt:variant>
        <vt:i4>0</vt:i4>
      </vt:variant>
      <vt:variant>
        <vt:i4>5</vt:i4>
      </vt:variant>
      <vt:variant>
        <vt:lpwstr>\\hqfs\OurDrive\CLT\ProgrammeExecution\2003Convention\2003-StatutoryMeetings\2017\2017-12 12.COM-Jeju\Decisions\ITH-17-12.COM-Decisions-EN.pdf</vt:lpwstr>
      </vt:variant>
      <vt:variant>
        <vt:lpwstr/>
      </vt:variant>
      <vt:variant>
        <vt:i4>6225946</vt:i4>
      </vt:variant>
      <vt:variant>
        <vt:i4>18</vt:i4>
      </vt:variant>
      <vt:variant>
        <vt:i4>0</vt:i4>
      </vt:variant>
      <vt:variant>
        <vt:i4>5</vt:i4>
      </vt:variant>
      <vt:variant>
        <vt:lpwstr>http://www.unesco.org/culture/ich/en/Decisions/8.COM/7.c</vt:lpwstr>
      </vt:variant>
      <vt:variant>
        <vt:lpwstr/>
      </vt:variant>
      <vt:variant>
        <vt:i4>4390996</vt:i4>
      </vt:variant>
      <vt:variant>
        <vt:i4>9</vt:i4>
      </vt:variant>
      <vt:variant>
        <vt:i4>0</vt:i4>
      </vt:variant>
      <vt:variant>
        <vt:i4>5</vt:i4>
      </vt:variant>
      <vt:variant>
        <vt:lpwstr>https://ich.unesco.org/en/Resolutions/6.GA/7</vt:lpwstr>
      </vt:variant>
      <vt:variant>
        <vt:lpwstr/>
      </vt:variant>
      <vt:variant>
        <vt:i4>101</vt:i4>
      </vt:variant>
      <vt:variant>
        <vt:i4>6</vt:i4>
      </vt:variant>
      <vt:variant>
        <vt:i4>0</vt:i4>
      </vt:variant>
      <vt:variant>
        <vt:i4>5</vt:i4>
      </vt:variant>
      <vt:variant>
        <vt:lpwstr>\\hqfs\OurDrive\CLT\ProgrammeExecution\2003Convention\2003-StatutoryMeetings\2017\2017-12 12.COM-Jeju\Decisions\ITH-17-12.COM-Decisions-EN.pdf</vt:lpwstr>
      </vt:variant>
      <vt:variant>
        <vt:lpwstr/>
      </vt:variant>
      <vt:variant>
        <vt:i4>1769590</vt:i4>
      </vt:variant>
      <vt:variant>
        <vt:i4>3</vt:i4>
      </vt:variant>
      <vt:variant>
        <vt:i4>0</vt:i4>
      </vt:variant>
      <vt:variant>
        <vt:i4>5</vt:i4>
      </vt:variant>
      <vt:variant>
        <vt:lpwstr>\\hqfs\OurDrive\CLT\ProgrammeExecution\2003Convention\2003-StatutoryMeetings\2016\2016-06_6GA_PARIS\Resolutions\6GA_Resolutions_EN.docx</vt:lpwstr>
      </vt:variant>
      <vt:variant>
        <vt:lpwstr/>
      </vt:variant>
      <vt:variant>
        <vt:i4>101</vt:i4>
      </vt:variant>
      <vt:variant>
        <vt:i4>0</vt:i4>
      </vt:variant>
      <vt:variant>
        <vt:i4>0</vt:i4>
      </vt:variant>
      <vt:variant>
        <vt:i4>5</vt:i4>
      </vt:variant>
      <vt:variant>
        <vt:lpwstr>\\hqfs\OurDrive\CLT\ProgrammeExecution\2003Convention\2003-StatutoryMeetings\2017\2017-12 12.COM-Jeju\Decisions\ITH-17-12.COM-Decisions-EN.pdf</vt:lpwstr>
      </vt:variant>
      <vt:variant>
        <vt:lpwstr/>
      </vt:variant>
      <vt:variant>
        <vt:i4>2031703</vt:i4>
      </vt:variant>
      <vt:variant>
        <vt:i4>0</vt:i4>
      </vt:variant>
      <vt:variant>
        <vt:i4>0</vt:i4>
      </vt:variant>
      <vt:variant>
        <vt:i4>5</vt:i4>
      </vt:variant>
      <vt:variant>
        <vt:lpwstr>https://ich.unesco.org/en/donors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4</cp:revision>
  <cp:lastPrinted>2018-04-04T05:03:00Z</cp:lastPrinted>
  <dcterms:created xsi:type="dcterms:W3CDTF">2018-05-04T17:02:00Z</dcterms:created>
  <dcterms:modified xsi:type="dcterms:W3CDTF">2018-05-04T17:16:00Z</dcterms:modified>
</cp:coreProperties>
</file>