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04258" w14:textId="1A7F6B5C" w:rsidR="00EC6F8D" w:rsidRPr="00127F14" w:rsidRDefault="00EC6F8D" w:rsidP="00020477">
      <w:pPr>
        <w:spacing w:before="1440"/>
        <w:jc w:val="center"/>
        <w:rPr>
          <w:rFonts w:ascii="Arial" w:hAnsi="Arial" w:cs="Arial"/>
          <w:b/>
          <w:sz w:val="22"/>
          <w:szCs w:val="22"/>
        </w:rPr>
      </w:pPr>
      <w:r w:rsidRPr="00127F14">
        <w:rPr>
          <w:rFonts w:ascii="Arial" w:hAnsi="Arial"/>
          <w:b/>
          <w:sz w:val="22"/>
          <w:szCs w:val="22"/>
        </w:rPr>
        <w:t>CONVENTION POUR LA SAUVEGARDE DU</w:t>
      </w:r>
      <w:r w:rsidRPr="00127F14">
        <w:rPr>
          <w:rFonts w:ascii="Arial" w:hAnsi="Arial"/>
          <w:b/>
          <w:sz w:val="22"/>
          <w:szCs w:val="22"/>
        </w:rPr>
        <w:br/>
        <w:t>PATRIMOINE CULTUREL IMMATÉRIEL</w:t>
      </w:r>
    </w:p>
    <w:p w14:paraId="4C01E3E6" w14:textId="77777777" w:rsidR="004A39C2" w:rsidRPr="00127F14" w:rsidRDefault="004A39C2" w:rsidP="004A39C2">
      <w:pPr>
        <w:spacing w:before="1200"/>
        <w:jc w:val="center"/>
        <w:rPr>
          <w:rFonts w:ascii="Arial" w:hAnsi="Arial" w:cs="Arial"/>
          <w:b/>
          <w:sz w:val="22"/>
          <w:szCs w:val="22"/>
        </w:rPr>
      </w:pPr>
      <w:r w:rsidRPr="00127F14">
        <w:rPr>
          <w:rFonts w:ascii="Arial" w:hAnsi="Arial"/>
          <w:b/>
          <w:sz w:val="22"/>
          <w:szCs w:val="22"/>
        </w:rPr>
        <w:t>ASSEMBLÉE GÉNÉRALE DES ÉTATS PARTIES À LA CONVENTION</w:t>
      </w:r>
    </w:p>
    <w:p w14:paraId="2E7A587E" w14:textId="576070FA" w:rsidR="00DD1072" w:rsidRPr="00127F14" w:rsidRDefault="004A39C2" w:rsidP="00DD1072">
      <w:pPr>
        <w:spacing w:before="840"/>
        <w:jc w:val="center"/>
        <w:rPr>
          <w:rFonts w:ascii="Arial" w:hAnsi="Arial" w:cs="Arial"/>
          <w:b/>
          <w:sz w:val="22"/>
          <w:szCs w:val="22"/>
        </w:rPr>
      </w:pPr>
      <w:r w:rsidRPr="00127F14">
        <w:rPr>
          <w:rFonts w:ascii="Arial" w:hAnsi="Arial"/>
          <w:b/>
          <w:sz w:val="22"/>
          <w:szCs w:val="22"/>
        </w:rPr>
        <w:t>Septième session</w:t>
      </w:r>
    </w:p>
    <w:p w14:paraId="550F2AC0" w14:textId="233058D2" w:rsidR="004A39C2" w:rsidRPr="00127F14" w:rsidRDefault="004A39C2" w:rsidP="004A39C2">
      <w:pPr>
        <w:jc w:val="center"/>
        <w:rPr>
          <w:rFonts w:ascii="Arial" w:hAnsi="Arial" w:cs="Arial"/>
          <w:b/>
          <w:sz w:val="22"/>
          <w:szCs w:val="22"/>
        </w:rPr>
      </w:pPr>
      <w:r w:rsidRPr="00127F14">
        <w:rPr>
          <w:rFonts w:ascii="Arial" w:hAnsi="Arial"/>
          <w:b/>
          <w:sz w:val="22"/>
          <w:szCs w:val="22"/>
        </w:rPr>
        <w:t>Siège de l</w:t>
      </w:r>
      <w:r w:rsidR="005B64FB">
        <w:rPr>
          <w:rFonts w:ascii="Arial" w:hAnsi="Arial"/>
          <w:b/>
          <w:sz w:val="22"/>
          <w:szCs w:val="22"/>
        </w:rPr>
        <w:t>’</w:t>
      </w:r>
      <w:r w:rsidRPr="00127F14">
        <w:rPr>
          <w:rFonts w:ascii="Arial" w:hAnsi="Arial"/>
          <w:b/>
          <w:sz w:val="22"/>
          <w:szCs w:val="22"/>
        </w:rPr>
        <w:t>UNESCO, Salle II</w:t>
      </w:r>
    </w:p>
    <w:p w14:paraId="244C2185" w14:textId="74E4E3AE" w:rsidR="00DD1072" w:rsidRPr="00127F14" w:rsidRDefault="004A39C2" w:rsidP="005B64FB">
      <w:pPr>
        <w:jc w:val="center"/>
        <w:rPr>
          <w:rFonts w:ascii="Arial" w:eastAsiaTheme="minorEastAsia" w:hAnsi="Arial" w:cs="Arial"/>
          <w:b/>
          <w:sz w:val="22"/>
          <w:szCs w:val="22"/>
        </w:rPr>
      </w:pPr>
      <w:r w:rsidRPr="00127F14">
        <w:rPr>
          <w:rFonts w:ascii="Arial" w:hAnsi="Arial"/>
          <w:b/>
          <w:sz w:val="22"/>
          <w:szCs w:val="22"/>
        </w:rPr>
        <w:t>4 –6 juin 2018</w:t>
      </w:r>
    </w:p>
    <w:p w14:paraId="17AEB1AD" w14:textId="04D50D3D" w:rsidR="00EC6F8D" w:rsidRPr="00127F14" w:rsidRDefault="00EC6F8D" w:rsidP="00DD1072">
      <w:pPr>
        <w:spacing w:before="1200"/>
        <w:jc w:val="center"/>
        <w:rPr>
          <w:rFonts w:ascii="Arial" w:hAnsi="Arial" w:cs="Arial"/>
          <w:b/>
          <w:sz w:val="22"/>
          <w:szCs w:val="22"/>
        </w:rPr>
      </w:pPr>
      <w:r w:rsidRPr="00127F14">
        <w:rPr>
          <w:rFonts w:ascii="Arial" w:hAnsi="Arial"/>
          <w:b/>
          <w:sz w:val="22"/>
          <w:szCs w:val="22"/>
          <w:u w:val="single"/>
        </w:rPr>
        <w:t>Point 9 de l</w:t>
      </w:r>
      <w:r w:rsidR="005B64FB">
        <w:rPr>
          <w:rFonts w:ascii="Arial" w:hAnsi="Arial"/>
          <w:b/>
          <w:sz w:val="22"/>
          <w:szCs w:val="22"/>
          <w:u w:val="single"/>
        </w:rPr>
        <w:t>’</w:t>
      </w:r>
      <w:r w:rsidRPr="00127F14">
        <w:rPr>
          <w:rFonts w:ascii="Arial" w:hAnsi="Arial"/>
          <w:b/>
          <w:sz w:val="22"/>
          <w:szCs w:val="22"/>
          <w:u w:val="single"/>
        </w:rPr>
        <w:t>ordre du jour provisoire </w:t>
      </w:r>
      <w:r w:rsidRPr="00127F14">
        <w:rPr>
          <w:rFonts w:ascii="Arial" w:hAnsi="Arial"/>
          <w:b/>
          <w:sz w:val="22"/>
          <w:szCs w:val="22"/>
        </w:rPr>
        <w:t>:</w:t>
      </w:r>
    </w:p>
    <w:p w14:paraId="23E302D4" w14:textId="1E82934A" w:rsidR="00EC6F8D" w:rsidRPr="00127F14" w:rsidRDefault="00D05AD5" w:rsidP="00EC6F8D">
      <w:pPr>
        <w:pStyle w:val="Sansinterligne2"/>
        <w:spacing w:after="1200"/>
        <w:jc w:val="center"/>
        <w:rPr>
          <w:rFonts w:ascii="Arial" w:hAnsi="Arial" w:cs="Arial"/>
          <w:b/>
          <w:sz w:val="22"/>
          <w:szCs w:val="22"/>
        </w:rPr>
      </w:pPr>
      <w:r w:rsidRPr="00127F14">
        <w:rPr>
          <w:rFonts w:ascii="Arial" w:hAnsi="Arial"/>
          <w:b/>
          <w:sz w:val="22"/>
          <w:szCs w:val="22"/>
        </w:rPr>
        <w:t>Projet de cadre global de résultats</w:t>
      </w:r>
    </w:p>
    <w:tbl>
      <w:tblPr>
        <w:tblW w:w="6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5"/>
      </w:tblGrid>
      <w:tr w:rsidR="00EC6F8D" w:rsidRPr="00127F14" w14:paraId="4445E75D" w14:textId="77777777" w:rsidTr="00D838E4">
        <w:trPr>
          <w:jc w:val="center"/>
        </w:trPr>
        <w:tc>
          <w:tcPr>
            <w:tcW w:w="6305" w:type="dxa"/>
            <w:vAlign w:val="center"/>
          </w:tcPr>
          <w:p w14:paraId="56F055B5" w14:textId="77777777" w:rsidR="00EC6F8D" w:rsidRPr="00127F14" w:rsidRDefault="00EC6F8D" w:rsidP="00D87B5A">
            <w:pPr>
              <w:pStyle w:val="Sansinterligne1"/>
              <w:spacing w:before="200" w:after="200"/>
              <w:jc w:val="center"/>
              <w:rPr>
                <w:rFonts w:ascii="Arial" w:hAnsi="Arial" w:cs="Arial"/>
                <w:b/>
                <w:sz w:val="22"/>
                <w:szCs w:val="22"/>
              </w:rPr>
            </w:pPr>
            <w:r w:rsidRPr="00127F14">
              <w:rPr>
                <w:rFonts w:ascii="Arial" w:hAnsi="Arial"/>
                <w:b/>
                <w:sz w:val="22"/>
                <w:szCs w:val="22"/>
              </w:rPr>
              <w:t>Résumé</w:t>
            </w:r>
          </w:p>
          <w:p w14:paraId="5D14E0A9" w14:textId="63650978" w:rsidR="00EC6F8D" w:rsidRPr="00127F14" w:rsidRDefault="00435296" w:rsidP="00B84F65">
            <w:pPr>
              <w:pStyle w:val="Sansinterligne1"/>
              <w:spacing w:before="60" w:after="60"/>
              <w:jc w:val="both"/>
              <w:rPr>
                <w:rFonts w:ascii="Arial" w:hAnsi="Arial" w:cs="Arial"/>
                <w:sz w:val="22"/>
                <w:szCs w:val="22"/>
              </w:rPr>
            </w:pPr>
            <w:r w:rsidRPr="00127F14">
              <w:rPr>
                <w:rFonts w:ascii="Arial" w:hAnsi="Arial"/>
                <w:sz w:val="22"/>
                <w:szCs w:val="22"/>
              </w:rPr>
              <w:t>Lors de sa huitième session, le Comité a décidé d</w:t>
            </w:r>
            <w:r w:rsidR="005B64FB">
              <w:rPr>
                <w:rFonts w:ascii="Arial" w:hAnsi="Arial"/>
                <w:sz w:val="22"/>
                <w:szCs w:val="22"/>
              </w:rPr>
              <w:t>’</w:t>
            </w:r>
            <w:r w:rsidRPr="00127F14">
              <w:rPr>
                <w:rFonts w:ascii="Arial" w:hAnsi="Arial"/>
                <w:sz w:val="22"/>
                <w:szCs w:val="22"/>
              </w:rPr>
              <w:t>élaborer un cadre global de résultats pour la Convention. Ce dernier a été préparé par une réunion préliminaire d</w:t>
            </w:r>
            <w:r w:rsidR="005B64FB">
              <w:rPr>
                <w:rFonts w:ascii="Arial" w:hAnsi="Arial"/>
                <w:sz w:val="22"/>
                <w:szCs w:val="22"/>
              </w:rPr>
              <w:t>’</w:t>
            </w:r>
            <w:r w:rsidRPr="00127F14">
              <w:rPr>
                <w:rFonts w:ascii="Arial" w:hAnsi="Arial"/>
                <w:sz w:val="22"/>
                <w:szCs w:val="22"/>
              </w:rPr>
              <w:t>experts qui s</w:t>
            </w:r>
            <w:r w:rsidR="005B64FB">
              <w:rPr>
                <w:rFonts w:ascii="Arial" w:hAnsi="Arial"/>
                <w:sz w:val="22"/>
                <w:szCs w:val="22"/>
              </w:rPr>
              <w:t>’</w:t>
            </w:r>
            <w:r w:rsidRPr="00127F14">
              <w:rPr>
                <w:rFonts w:ascii="Arial" w:hAnsi="Arial"/>
                <w:sz w:val="22"/>
                <w:szCs w:val="22"/>
              </w:rPr>
              <w:t>est tenue à Beijing, en Chine, du 7 au 9 septembre 2016 puis par les travaux d</w:t>
            </w:r>
            <w:r w:rsidR="005B64FB">
              <w:rPr>
                <w:rFonts w:ascii="Arial" w:hAnsi="Arial"/>
                <w:sz w:val="22"/>
                <w:szCs w:val="22"/>
              </w:rPr>
              <w:t>’</w:t>
            </w:r>
            <w:r w:rsidRPr="00127F14">
              <w:rPr>
                <w:rFonts w:ascii="Arial" w:hAnsi="Arial"/>
                <w:sz w:val="22"/>
                <w:szCs w:val="22"/>
              </w:rPr>
              <w:t>un groupe de travail intergouvernemental à composition non limitée qui s</w:t>
            </w:r>
            <w:r w:rsidR="005B64FB">
              <w:rPr>
                <w:rFonts w:ascii="Arial" w:hAnsi="Arial"/>
                <w:sz w:val="22"/>
                <w:szCs w:val="22"/>
              </w:rPr>
              <w:t>’</w:t>
            </w:r>
            <w:r w:rsidRPr="00127F14">
              <w:rPr>
                <w:rFonts w:ascii="Arial" w:hAnsi="Arial"/>
                <w:sz w:val="22"/>
                <w:szCs w:val="22"/>
              </w:rPr>
              <w:t>est rassemblé à Chengdu, en Chine, du 11 au 13 juin 2017. Lors de sa douzième session, le Comité a examiné le projet de cadre global de résultats et a recommandé à l</w:t>
            </w:r>
            <w:r w:rsidR="005B64FB">
              <w:rPr>
                <w:rFonts w:ascii="Arial" w:hAnsi="Arial"/>
                <w:sz w:val="22"/>
                <w:szCs w:val="22"/>
              </w:rPr>
              <w:t>’</w:t>
            </w:r>
            <w:r w:rsidRPr="00127F14">
              <w:rPr>
                <w:rFonts w:ascii="Arial" w:hAnsi="Arial"/>
                <w:sz w:val="22"/>
                <w:szCs w:val="22"/>
              </w:rPr>
              <w:t>Assemblée générale de l</w:t>
            </w:r>
            <w:r w:rsidR="005B64FB">
              <w:rPr>
                <w:rFonts w:ascii="Arial" w:hAnsi="Arial"/>
                <w:sz w:val="22"/>
                <w:szCs w:val="22"/>
              </w:rPr>
              <w:t>’</w:t>
            </w:r>
            <w:r w:rsidRPr="00127F14">
              <w:rPr>
                <w:rFonts w:ascii="Arial" w:hAnsi="Arial"/>
                <w:sz w:val="22"/>
                <w:szCs w:val="22"/>
              </w:rPr>
              <w:t>approuver. Le présent document – en annexe duquel figure le cadre en question – fournit un aperçu de son contenu, examine ses implications pour les États parties et indique différentes méthodes qui pourraient être utilisées pour le déployer.</w:t>
            </w:r>
          </w:p>
          <w:p w14:paraId="04FBA06B" w14:textId="4804934A" w:rsidR="00D87B5A" w:rsidRPr="00127F14" w:rsidRDefault="00D87B5A" w:rsidP="001F2C6C">
            <w:pPr>
              <w:pStyle w:val="Sansinterligne1"/>
              <w:spacing w:before="200" w:after="200"/>
              <w:jc w:val="both"/>
              <w:rPr>
                <w:rFonts w:ascii="Arial" w:hAnsi="Arial" w:cs="Arial"/>
                <w:b/>
                <w:sz w:val="22"/>
                <w:szCs w:val="22"/>
              </w:rPr>
            </w:pPr>
            <w:r w:rsidRPr="00127F14">
              <w:rPr>
                <w:rFonts w:ascii="Arial" w:hAnsi="Arial"/>
                <w:b/>
                <w:sz w:val="22"/>
                <w:szCs w:val="22"/>
              </w:rPr>
              <w:t xml:space="preserve">Décision requise : </w:t>
            </w:r>
            <w:r w:rsidRPr="00127F14">
              <w:rPr>
                <w:rFonts w:ascii="Arial" w:hAnsi="Arial"/>
                <w:bCs/>
                <w:sz w:val="22"/>
                <w:szCs w:val="22"/>
              </w:rPr>
              <w:t>paragraphe </w:t>
            </w:r>
            <w:r w:rsidRPr="00127F14">
              <w:rPr>
                <w:rFonts w:ascii="Arial" w:hAnsi="Arial"/>
                <w:sz w:val="22"/>
                <w:szCs w:val="22"/>
              </w:rPr>
              <w:t>19</w:t>
            </w:r>
          </w:p>
        </w:tc>
      </w:tr>
    </w:tbl>
    <w:p w14:paraId="48C9A0FE" w14:textId="77777777" w:rsidR="005545D4" w:rsidRPr="00127F14" w:rsidRDefault="00655736" w:rsidP="002367BC">
      <w:pPr>
        <w:pStyle w:val="COMParaDecision"/>
      </w:pPr>
      <w:r w:rsidRPr="00127F14">
        <w:br w:type="page"/>
      </w:r>
    </w:p>
    <w:p w14:paraId="7A3211AD" w14:textId="77777777" w:rsidR="005545D4" w:rsidRPr="00127F14" w:rsidRDefault="005545D4" w:rsidP="005545D4">
      <w:pPr>
        <w:pStyle w:val="Heading4"/>
        <w:ind w:left="567" w:hanging="567"/>
      </w:pPr>
      <w:r w:rsidRPr="00127F14">
        <w:lastRenderedPageBreak/>
        <w:t>Introduction</w:t>
      </w:r>
    </w:p>
    <w:p w14:paraId="6DDD1F25" w14:textId="7083AFD6" w:rsidR="00E72501" w:rsidRPr="00127F14" w:rsidRDefault="003E177A" w:rsidP="005545D4">
      <w:pPr>
        <w:pStyle w:val="COMPara"/>
      </w:pPr>
      <w:r w:rsidRPr="00127F14">
        <w:t>Dans son évaluation du travail normatif du Secteur de la culture de l</w:t>
      </w:r>
      <w:r w:rsidR="005B64FB">
        <w:t>’</w:t>
      </w:r>
      <w:r w:rsidRPr="00127F14">
        <w:t>UNESCO menée en 2013</w:t>
      </w:r>
      <w:r w:rsidRPr="00127F14">
        <w:rPr>
          <w:rStyle w:val="FootnoteReference"/>
        </w:rPr>
        <w:footnoteReference w:id="1"/>
      </w:r>
      <w:r w:rsidRPr="00127F14">
        <w:t>, le Service d</w:t>
      </w:r>
      <w:r w:rsidR="005B64FB">
        <w:t>’</w:t>
      </w:r>
      <w:r w:rsidRPr="00127F14">
        <w:t>évaluation et d</w:t>
      </w:r>
      <w:r w:rsidR="005B64FB">
        <w:t>’</w:t>
      </w:r>
      <w:r w:rsidRPr="00127F14">
        <w:t>audit de l</w:t>
      </w:r>
      <w:r w:rsidR="005B64FB">
        <w:t>’</w:t>
      </w:r>
      <w:r w:rsidRPr="00127F14">
        <w:t>UNESCO (IOS) a noté que le Comité n</w:t>
      </w:r>
      <w:r w:rsidR="005B64FB">
        <w:t>’</w:t>
      </w:r>
      <w:r w:rsidRPr="00127F14">
        <w:t xml:space="preserve">avait pas pu mener à bien sa mission de suivi de la </w:t>
      </w:r>
      <w:r w:rsidRPr="00127F14">
        <w:rPr>
          <w:rStyle w:val="hps"/>
        </w:rPr>
        <w:t>mise en œuvre</w:t>
      </w:r>
      <w:r w:rsidRPr="00127F14">
        <w:t xml:space="preserve"> de la Convention – l</w:t>
      </w:r>
      <w:r w:rsidR="005B64FB">
        <w:t>’</w:t>
      </w:r>
      <w:r w:rsidRPr="00127F14">
        <w:t xml:space="preserve">une de ses fonctions définies </w:t>
      </w:r>
      <w:r w:rsidR="005C5ED5">
        <w:t>à</w:t>
      </w:r>
      <w:r w:rsidRPr="00127F14">
        <w:t xml:space="preserve"> l</w:t>
      </w:r>
      <w:r w:rsidR="005B64FB">
        <w:t>’</w:t>
      </w:r>
      <w:r w:rsidRPr="00127F14">
        <w:t>article 7 de la Convention – faute d</w:t>
      </w:r>
      <w:r w:rsidR="005B64FB">
        <w:t>’</w:t>
      </w:r>
      <w:r w:rsidRPr="00127F14">
        <w:t>adoption par ses États parties d</w:t>
      </w:r>
      <w:r w:rsidR="005B64FB">
        <w:t>’</w:t>
      </w:r>
      <w:r w:rsidRPr="00127F14">
        <w:t>un cadre global de résultats. Comme le signalait l</w:t>
      </w:r>
      <w:r w:rsidR="005B64FB">
        <w:t>’</w:t>
      </w:r>
      <w:r w:rsidRPr="00127F14">
        <w:t>IOS, « la collecte et la description des résultats (effets directs et extrants) ne sont possibles que si la situation indique clairement quels résultats il faut obtenir. Ce n</w:t>
      </w:r>
      <w:r w:rsidR="005B64FB">
        <w:t>’</w:t>
      </w:r>
      <w:r w:rsidRPr="00127F14">
        <w:t>est pas le cas de la situation actuelle. [...] En l</w:t>
      </w:r>
      <w:r w:rsidR="005B64FB">
        <w:t>’</w:t>
      </w:r>
      <w:r w:rsidRPr="00127F14">
        <w:t>absence d</w:t>
      </w:r>
      <w:r w:rsidR="005B64FB">
        <w:t>’</w:t>
      </w:r>
      <w:r w:rsidRPr="00127F14">
        <w:t>objectifs, d</w:t>
      </w:r>
      <w:r w:rsidR="005B64FB">
        <w:t>’</w:t>
      </w:r>
      <w:r w:rsidRPr="00127F14">
        <w:t>indicateurs et de points de référence, il est difficile de tirer des conclusions à partir des progrès réalisés concernant la mise en œuvre de la Convention. » À l</w:t>
      </w:r>
      <w:r w:rsidR="005B64FB">
        <w:t>’</w:t>
      </w:r>
      <w:r w:rsidRPr="00127F14">
        <w:t>issue d</w:t>
      </w:r>
      <w:r w:rsidR="005B64FB">
        <w:t>’</w:t>
      </w:r>
      <w:r w:rsidRPr="00127F14">
        <w:t>un débat mené lors de sa huitième session, le Comité a donc décidé d</w:t>
      </w:r>
      <w:r w:rsidR="005B64FB">
        <w:t>’</w:t>
      </w:r>
      <w:r w:rsidRPr="00127F14">
        <w:t>« élaborer un cadre global de résultats pour la Convention, incluant des objectifs clairs et précis, des calendriers, des indicateurs et des repères » (</w:t>
      </w:r>
      <w:hyperlink r:id="rId8" w:history="1">
        <w:r w:rsidRPr="00127F14">
          <w:rPr>
            <w:rStyle w:val="Hyperlink"/>
          </w:rPr>
          <w:t>décision 8.COM 5.c.1</w:t>
        </w:r>
      </w:hyperlink>
      <w:r w:rsidRPr="00127F14">
        <w:t>).</w:t>
      </w:r>
    </w:p>
    <w:p w14:paraId="5700ADAD" w14:textId="03ABF163" w:rsidR="00C7457C" w:rsidRPr="00127F14" w:rsidRDefault="00A6601E" w:rsidP="005545D4">
      <w:pPr>
        <w:pStyle w:val="COMPara"/>
      </w:pPr>
      <w:r w:rsidRPr="00127F14">
        <w:t>Reconnaissant « la nécessité d</w:t>
      </w:r>
      <w:r w:rsidR="005B64FB">
        <w:t>’</w:t>
      </w:r>
      <w:r w:rsidRPr="00127F14">
        <w:t>un processus inclusif de consultation et de discussion pour l</w:t>
      </w:r>
      <w:r w:rsidR="005B64FB">
        <w:t>’</w:t>
      </w:r>
      <w:r w:rsidRPr="00127F14">
        <w:t>élaboration dudit cadre », le Comité a décidé de convoquer</w:t>
      </w:r>
      <w:r w:rsidR="005C5ED5">
        <w:t xml:space="preserve"> </w:t>
      </w:r>
      <w:r w:rsidRPr="00127F14">
        <w:t>un groupe de travail intergouvernemental</w:t>
      </w:r>
      <w:r w:rsidR="005C5ED5" w:rsidRPr="00127F14">
        <w:t xml:space="preserve"> à cette fin,</w:t>
      </w:r>
      <w:r w:rsidRPr="00127F14">
        <w:t xml:space="preserve"> sous réserve que les ressources extrabudgétaires adéquates soient mobilisées (</w:t>
      </w:r>
      <w:hyperlink r:id="rId9" w:history="1">
        <w:r w:rsidRPr="00127F14">
          <w:rPr>
            <w:rStyle w:val="Hyperlink"/>
          </w:rPr>
          <w:t>décision 9.COM 13.e</w:t>
        </w:r>
      </w:hyperlink>
      <w:r w:rsidRPr="00127F14">
        <w:t xml:space="preserve">). Dans un premier temps, la </w:t>
      </w:r>
      <w:r w:rsidRPr="00127F14">
        <w:rPr>
          <w:rStyle w:val="hps"/>
        </w:rPr>
        <w:t>Commission nationale de la République populaire de Chine pour l</w:t>
      </w:r>
      <w:r w:rsidR="005B64FB">
        <w:rPr>
          <w:rStyle w:val="hps"/>
        </w:rPr>
        <w:t>’</w:t>
      </w:r>
      <w:r w:rsidRPr="00127F14">
        <w:rPr>
          <w:rStyle w:val="hps"/>
        </w:rPr>
        <w:t>UNESCO a proposé de soutenir une réunion plus restreinte d</w:t>
      </w:r>
      <w:r w:rsidR="005B64FB">
        <w:rPr>
          <w:rStyle w:val="hps"/>
        </w:rPr>
        <w:t>’</w:t>
      </w:r>
      <w:r w:rsidRPr="00127F14">
        <w:rPr>
          <w:rStyle w:val="hps"/>
        </w:rPr>
        <w:t>experts afin qu</w:t>
      </w:r>
      <w:r w:rsidR="005B64FB">
        <w:rPr>
          <w:rStyle w:val="hps"/>
        </w:rPr>
        <w:t>’</w:t>
      </w:r>
      <w:r w:rsidRPr="00127F14">
        <w:rPr>
          <w:rStyle w:val="hps"/>
        </w:rPr>
        <w:t>ils élaborent un cadre préliminaire qui serait soumis à un groupe de travail intergouvernemental ultérieur. D</w:t>
      </w:r>
      <w:r w:rsidRPr="00127F14">
        <w:t>u 7 au 9 septembre 2016, l</w:t>
      </w:r>
      <w:r w:rsidR="005B64FB">
        <w:t>’</w:t>
      </w:r>
      <w:r w:rsidRPr="00127F14">
        <w:t>UNESCO a organisé à Beijing, en Chine, une réunion de catégorie VI, c</w:t>
      </w:r>
      <w:r w:rsidR="005B64FB">
        <w:t>’</w:t>
      </w:r>
      <w:r w:rsidRPr="00127F14">
        <w:t>est-à-dire une réunion à caractère non représentatif d</w:t>
      </w:r>
      <w:r w:rsidR="005B64FB">
        <w:t>’</w:t>
      </w:r>
      <w:r w:rsidRPr="00127F14">
        <w:t>experts nommés par la Directrice générale et siégeant à titre personnel. Cette réunion a rassemblé vingt-et-un experts originaires de différents États membres et membres associés de l</w:t>
      </w:r>
      <w:r w:rsidR="005B64FB">
        <w:t>’</w:t>
      </w:r>
      <w:r w:rsidRPr="00127F14">
        <w:t xml:space="preserve">UNESCO qui travaillent dans des institutions gouvernementales et </w:t>
      </w:r>
      <w:r w:rsidRPr="00127F14">
        <w:rPr>
          <w:rStyle w:val="IntenseEmphasis"/>
        </w:rPr>
        <w:t>non gouvernementales</w:t>
      </w:r>
      <w:r w:rsidRPr="00127F14">
        <w:t>, au sein de communautés ou de groupes de praticiens. Le rapport de cette réunion d</w:t>
      </w:r>
      <w:r w:rsidR="005B64FB">
        <w:t>’</w:t>
      </w:r>
      <w:r w:rsidRPr="00127F14">
        <w:t xml:space="preserve">experts est présenté dans le document </w:t>
      </w:r>
      <w:hyperlink r:id="rId10" w:history="1">
        <w:r w:rsidRPr="00127F14">
          <w:rPr>
            <w:rStyle w:val="Hyperlink"/>
          </w:rPr>
          <w:t>ITH/16/11.COM/14</w:t>
        </w:r>
      </w:hyperlink>
      <w:r w:rsidRPr="00127F14">
        <w:t>.</w:t>
      </w:r>
    </w:p>
    <w:p w14:paraId="50139A97" w14:textId="2DA81BE5" w:rsidR="00C7457C" w:rsidRPr="00127F14" w:rsidRDefault="00F36353" w:rsidP="005545D4">
      <w:pPr>
        <w:pStyle w:val="COMPara"/>
      </w:pPr>
      <w:r w:rsidRPr="00127F14">
        <w:t>Lors de sa onzième session, le Comité a constaté avec satisfaction les conclusions de la réunion d</w:t>
      </w:r>
      <w:r w:rsidR="005B64FB">
        <w:t>’</w:t>
      </w:r>
      <w:r w:rsidRPr="00127F14">
        <w:t>experts, prenant notamment note de la carte de résultats réalisée par les experts (</w:t>
      </w:r>
      <w:hyperlink r:id="rId11" w:history="1">
        <w:r w:rsidRPr="00127F14">
          <w:rPr>
            <w:rStyle w:val="Hyperlink"/>
          </w:rPr>
          <w:t>décision 11.COM 14</w:t>
        </w:r>
      </w:hyperlink>
      <w:r w:rsidRPr="00127F14">
        <w:t>). Le Comité a salué l</w:t>
      </w:r>
      <w:r w:rsidR="005B64FB">
        <w:t>’</w:t>
      </w:r>
      <w:r w:rsidRPr="00127F14">
        <w:t>intention exprimée par la Chine d</w:t>
      </w:r>
      <w:r w:rsidR="005B64FB">
        <w:t>’</w:t>
      </w:r>
      <w:r w:rsidRPr="00127F14">
        <w:t>accueillir le groupe de travail intergouvernemental à composition non limitée, suivant une recommandation formulée lors de sa neuvième session. Cette réunion, rendue possible grâce à la généreuse contribution du Centre pour la sauvegarde du patrimoine culturel immatériel à Chengdu, s</w:t>
      </w:r>
      <w:r w:rsidR="005B64FB">
        <w:t>’</w:t>
      </w:r>
      <w:r w:rsidRPr="00127F14">
        <w:t>est déroulée du 11 au 13 juin 2017. Le rapport du groupe de travail figure à l</w:t>
      </w:r>
      <w:r w:rsidR="005B64FB">
        <w:t>’</w:t>
      </w:r>
      <w:r w:rsidRPr="00127F14">
        <w:t xml:space="preserve">annexe 1 du document </w:t>
      </w:r>
      <w:hyperlink r:id="rId12" w:history="1">
        <w:r w:rsidRPr="00127F14">
          <w:rPr>
            <w:rStyle w:val="Hyperlink"/>
          </w:rPr>
          <w:t>ITH/17/12.COM/9</w:t>
        </w:r>
      </w:hyperlink>
      <w:r w:rsidRPr="00127F14">
        <w:t xml:space="preserve">, et le compte-rendu est fourni dans le document </w:t>
      </w:r>
      <w:hyperlink r:id="rId13" w:history="1">
        <w:r w:rsidRPr="00127F14">
          <w:rPr>
            <w:rStyle w:val="Hyperlink"/>
          </w:rPr>
          <w:t>ITH/17/12.COM/INF.9</w:t>
        </w:r>
      </w:hyperlink>
      <w:r w:rsidRPr="00127F14">
        <w:t>.</w:t>
      </w:r>
    </w:p>
    <w:p w14:paraId="391B8C40" w14:textId="458E0200" w:rsidR="006158D2" w:rsidRPr="00127F14" w:rsidRDefault="00B04086" w:rsidP="00CA4DBB">
      <w:pPr>
        <w:pStyle w:val="COMPara"/>
      </w:pPr>
      <w:r w:rsidRPr="00127F14">
        <w:t xml:space="preserve">Le groupe </w:t>
      </w:r>
      <w:r w:rsidR="005C5ED5">
        <w:t>a basé son travail sur</w:t>
      </w:r>
      <w:r w:rsidRPr="00127F14">
        <w:t xml:space="preserve"> la carte de résultats de haut niveau qui avait été proposée par le groupe d</w:t>
      </w:r>
      <w:r w:rsidR="005B64FB">
        <w:t>’</w:t>
      </w:r>
      <w:r w:rsidRPr="00127F14">
        <w:t>experts en 2016. Il a ainsi pu approuver à l</w:t>
      </w:r>
      <w:r w:rsidR="005B64FB">
        <w:t>’</w:t>
      </w:r>
      <w:r w:rsidRPr="00127F14">
        <w:t>unanimité et avec enthousiasme un projet de cadre global de résultats qu</w:t>
      </w:r>
      <w:r w:rsidR="005B64FB">
        <w:t>’</w:t>
      </w:r>
      <w:r w:rsidRPr="00127F14">
        <w:t>il a ensuite transmis au Comité en vue de son examen. Le Comité a donc examiné ce projet de cadre lors de sa douzième session, du 4 au 9 décembre 2017 sur l</w:t>
      </w:r>
      <w:r w:rsidR="005B64FB">
        <w:t>’</w:t>
      </w:r>
      <w:r w:rsidRPr="00127F14">
        <w:t xml:space="preserve">île de </w:t>
      </w:r>
      <w:proofErr w:type="spellStart"/>
      <w:r w:rsidRPr="00127F14">
        <w:t>Jeju</w:t>
      </w:r>
      <w:proofErr w:type="spellEnd"/>
      <w:r w:rsidRPr="00127F14">
        <w:t>, République de Corée (document </w:t>
      </w:r>
      <w:hyperlink r:id="rId14" w:history="1">
        <w:r w:rsidRPr="00127F14">
          <w:rPr>
            <w:rStyle w:val="Hyperlink"/>
          </w:rPr>
          <w:t>ITH/17/12.COM/9</w:t>
        </w:r>
      </w:hyperlink>
      <w:r w:rsidRPr="00127F14">
        <w:t>). Il a alors exprimé sa satisfaction face aux résultats du groupe de travail et il a recommandé à l</w:t>
      </w:r>
      <w:r w:rsidR="005B64FB">
        <w:t>’</w:t>
      </w:r>
      <w:r w:rsidRPr="00127F14">
        <w:t>Assemblée générale d</w:t>
      </w:r>
      <w:r w:rsidR="005B64FB">
        <w:t>’</w:t>
      </w:r>
      <w:r w:rsidRPr="00127F14">
        <w:t>approuver le cadre global de résultats figurant en annexe du présent document.</w:t>
      </w:r>
    </w:p>
    <w:p w14:paraId="416C78DF" w14:textId="1798E5D4" w:rsidR="0087729E" w:rsidRPr="00127F14" w:rsidRDefault="0051753C" w:rsidP="00CA4DBB">
      <w:pPr>
        <w:pStyle w:val="COMPara"/>
      </w:pPr>
      <w:r w:rsidRPr="00127F14">
        <w:t>Le Comité a également demandé au Secrétariat d</w:t>
      </w:r>
      <w:r w:rsidR="005B64FB">
        <w:t>’</w:t>
      </w:r>
      <w:r w:rsidRPr="00127F14">
        <w:t>organiser une réunion d</w:t>
      </w:r>
      <w:r w:rsidR="005B64FB">
        <w:t>’</w:t>
      </w:r>
      <w:r w:rsidRPr="00127F14">
        <w:t>information au sujet du cadre global de résultats (</w:t>
      </w:r>
      <w:hyperlink r:id="rId15" w:history="1">
        <w:r w:rsidRPr="00127F14">
          <w:rPr>
            <w:rStyle w:val="Hyperlink"/>
          </w:rPr>
          <w:t>décision 12.COM 9</w:t>
        </w:r>
      </w:hyperlink>
      <w:r w:rsidRPr="00127F14">
        <w:t>). À la date de rédaction du présent document, cette réunion était prévue le 20 avril 2018 et avait pour but de permettre aux États de se familiariser avec ce cadre et son contenu</w:t>
      </w:r>
      <w:r w:rsidR="005C5ED5">
        <w:t>, ainsi que</w:t>
      </w:r>
      <w:r w:rsidRPr="00127F14">
        <w:t xml:space="preserve"> de mieux comprendre ses implications pratiques et les </w:t>
      </w:r>
      <w:r w:rsidR="005C5ED5">
        <w:t xml:space="preserve">prochaines </w:t>
      </w:r>
      <w:r w:rsidRPr="00127F14">
        <w:t xml:space="preserve">étapes </w:t>
      </w:r>
      <w:r w:rsidR="005C5ED5">
        <w:t xml:space="preserve">possible </w:t>
      </w:r>
      <w:r w:rsidRPr="00127F14">
        <w:t>de sa mise en œuvre</w:t>
      </w:r>
      <w:r w:rsidR="005C5ED5">
        <w:t>,</w:t>
      </w:r>
      <w:r w:rsidRPr="00127F14">
        <w:t xml:space="preserve"> qui sont également abordées lors de la présente session de l</w:t>
      </w:r>
      <w:r w:rsidR="005B64FB">
        <w:t>’</w:t>
      </w:r>
      <w:r w:rsidRPr="00127F14">
        <w:t>Assemblée générale</w:t>
      </w:r>
    </w:p>
    <w:p w14:paraId="70E0484A" w14:textId="6606A619" w:rsidR="00B04086" w:rsidRPr="00127F14" w:rsidRDefault="000B1513" w:rsidP="00AF3A07">
      <w:pPr>
        <w:pStyle w:val="Heading4"/>
        <w:ind w:left="567" w:hanging="567"/>
      </w:pPr>
      <w:r w:rsidRPr="00127F14">
        <w:lastRenderedPageBreak/>
        <w:t>Projet de cadre global de résultats</w:t>
      </w:r>
    </w:p>
    <w:p w14:paraId="15C25390" w14:textId="65FCD180" w:rsidR="00826E53" w:rsidRPr="00127F14" w:rsidRDefault="00826E53" w:rsidP="00DA17F8">
      <w:pPr>
        <w:pStyle w:val="COMPara"/>
      </w:pPr>
      <w:r w:rsidRPr="00127F14">
        <w:t>Le projet de cadre global de résultats identifie des effets à long, moyen et court termes, ainsi que huit thématiques qui regroupent un ensemble de vingt-six indicateurs de base auxquels sont associés quatre-vingt-six facteurs d</w:t>
      </w:r>
      <w:r w:rsidR="005B64FB">
        <w:t>’</w:t>
      </w:r>
      <w:r w:rsidRPr="00127F14">
        <w:t>appréciation qui visent à permettre de mesurer de manière efficace les produits, les effets et les impacts de la Convention de 2003.</w:t>
      </w:r>
    </w:p>
    <w:p w14:paraId="11AF67D1" w14:textId="029D9C4C" w:rsidR="00DE1691" w:rsidRPr="00127F14" w:rsidRDefault="00826E53" w:rsidP="00DA17F8">
      <w:pPr>
        <w:pStyle w:val="COMPara"/>
      </w:pPr>
      <w:r w:rsidRPr="00127F14">
        <w:t>Les vingt-six indicateurs représentent un consensus sur les informations pouvant être considérées comme signe de succès ou de progrès dans la mise en œuvre de la Convention. Le projet de cadre présente pour chaque indicateur de base deux facteurs d</w:t>
      </w:r>
      <w:r w:rsidR="005B64FB">
        <w:t>’</w:t>
      </w:r>
      <w:r w:rsidRPr="00127F14">
        <w:t>appréciation ou plus devant servir à son évaluation ; ces facteurs ont généralement trait à la situation au sein d</w:t>
      </w:r>
      <w:r w:rsidR="005B64FB">
        <w:t>’</w:t>
      </w:r>
      <w:r w:rsidRPr="00127F14">
        <w:t>un seul État partie et incluent des effets ou des produits. Chaque État suit ces facteurs dans son territoire et établit des rapports concernant leur existence (ou absence). Chaque indicateur étant accompagné d</w:t>
      </w:r>
      <w:r w:rsidR="005B64FB">
        <w:t>’</w:t>
      </w:r>
      <w:r w:rsidRPr="00127F14">
        <w:t>au moins deux facteurs qui serviront à l</w:t>
      </w:r>
      <w:r w:rsidR="005B64FB">
        <w:t>’</w:t>
      </w:r>
      <w:r w:rsidRPr="00127F14">
        <w:t>évaluer, il est possible de déterminer au sein d</w:t>
      </w:r>
      <w:r w:rsidR="005B64FB">
        <w:t>’</w:t>
      </w:r>
      <w:r w:rsidRPr="00127F14">
        <w:t>un État partie donné si un indicateur est pleinement ou partiellement satisfait. Dans la plupart des cas, ces facteurs et leur terminologie sont directement issus des différentes dispositions de la Convention et de ses Directives opérationnelles, qui obligent ou encouragent les États parties à veiller à ce que certaines conditions soient respectées, à travers leurs propres actions ou en facilitant les actions des autres.</w:t>
      </w:r>
      <w:r w:rsidR="00DE1691" w:rsidRPr="00127F14">
        <w:rPr>
          <w:vertAlign w:val="superscript"/>
        </w:rPr>
        <w:footnoteReference w:id="2"/>
      </w:r>
    </w:p>
    <w:p w14:paraId="112E7BCB" w14:textId="7D06FCC7" w:rsidR="00B04086" w:rsidRPr="00127F14" w:rsidRDefault="0087729E">
      <w:pPr>
        <w:pStyle w:val="COMPara"/>
      </w:pPr>
      <w:r w:rsidRPr="00127F14">
        <w:t>Il convient de noter que les indicateurs de base sont généralement formulés comme suit : « mesure dans laquelle [une situation donnée existe ou des changements sont survenus] ». Ce n</w:t>
      </w:r>
      <w:r w:rsidR="005B64FB">
        <w:t>’</w:t>
      </w:r>
      <w:r w:rsidRPr="00127F14">
        <w:t>est pas un hasard si la formulation n</w:t>
      </w:r>
      <w:r w:rsidR="005B64FB">
        <w:t>’</w:t>
      </w:r>
      <w:r w:rsidRPr="00127F14">
        <w:t>est pas « mesure dans laquelle le ou les États parties ont [réalisé X ou mis en œuvre Y] », car souvent un grand nombre d</w:t>
      </w:r>
      <w:r w:rsidR="005B64FB">
        <w:t>’</w:t>
      </w:r>
      <w:r w:rsidRPr="00127F14">
        <w:t>acteurs contribue aux résultats. L</w:t>
      </w:r>
      <w:r w:rsidR="005B64FB">
        <w:t>’</w:t>
      </w:r>
      <w:r w:rsidRPr="00127F14">
        <w:t>obtention des résultats escomptés dépend de la collaboration et de l</w:t>
      </w:r>
      <w:r w:rsidR="005B64FB">
        <w:t>’</w:t>
      </w:r>
      <w:r w:rsidRPr="00127F14">
        <w:t>engagement d</w:t>
      </w:r>
      <w:r w:rsidR="005B64FB">
        <w:t>’</w:t>
      </w:r>
      <w:r w:rsidRPr="00127F14">
        <w:t>un large éventail d</w:t>
      </w:r>
      <w:r w:rsidR="005B64FB">
        <w:t>’</w:t>
      </w:r>
      <w:r w:rsidRPr="00127F14">
        <w:t>acteurs, et notamment « des communautés, des groupes et, le cas échéant, des individus qui créent, entretiennent et transmettent [le] patrimoine [culturel immatériel] » (article 15). Il est donc essentiel que les facteurs d</w:t>
      </w:r>
      <w:r w:rsidR="005B64FB">
        <w:t>’</w:t>
      </w:r>
      <w:r w:rsidRPr="00127F14">
        <w:t>appréciation incluent à la fois les initiatives qui émanent des communautés ou des groupes et les interventions externes à ceux-ci (et notamment celles de l</w:t>
      </w:r>
      <w:r w:rsidR="005B64FB">
        <w:t>’</w:t>
      </w:r>
      <w:r w:rsidRPr="00127F14">
        <w:t>État).</w:t>
      </w:r>
    </w:p>
    <w:p w14:paraId="3F4FDD6F" w14:textId="2946A707" w:rsidR="00B04086" w:rsidRPr="00127F14" w:rsidRDefault="00E640A8" w:rsidP="005545D4">
      <w:pPr>
        <w:pStyle w:val="COMPara"/>
      </w:pPr>
      <w:r w:rsidRPr="00127F14">
        <w:t>Étant donné que le cadre global de résultats est destiné à être utilisé aussi bien au niveau international qu</w:t>
      </w:r>
      <w:r w:rsidR="005B64FB">
        <w:t>’</w:t>
      </w:r>
      <w:r w:rsidRPr="00127F14">
        <w:t>au niveau national, lorsque les indicateurs de base portent sur la « mesure dans laquelle... », cela doit être compris de deux façons, variables selon le contexte. Dans le cas du suivi et de l</w:t>
      </w:r>
      <w:r w:rsidR="005B64FB">
        <w:t>’</w:t>
      </w:r>
      <w:r w:rsidRPr="00127F14">
        <w:t>évaluation au niveau mondial, l</w:t>
      </w:r>
      <w:r w:rsidR="005B64FB">
        <w:t>’</w:t>
      </w:r>
      <w:r w:rsidRPr="00127F14">
        <w:t>expression « mesure dans laquelle... » sera généralement quantifiée comme la proportion ou le pourcentage d</w:t>
      </w:r>
      <w:r w:rsidR="005B64FB">
        <w:t>’</w:t>
      </w:r>
      <w:r w:rsidRPr="00127F14">
        <w:t>États parties dans lesquels la situation donnée existe ou des changements sont survenus, et à quel degré. Lorsque le même indicateur est utilisé par un État partie pour son suivi et son évaluation au niveau national, l</w:t>
      </w:r>
      <w:r w:rsidR="005B64FB">
        <w:t>’</w:t>
      </w:r>
      <w:r w:rsidRPr="00127F14">
        <w:t>expression « mesure dans laquelle... » se réfère au degré auquel la situation donnée existe ou des changements sont survenus au sein du territoire de l</w:t>
      </w:r>
      <w:r w:rsidR="005B64FB">
        <w:t>’</w:t>
      </w:r>
      <w:r w:rsidRPr="00127F14">
        <w:t>État en question.</w:t>
      </w:r>
    </w:p>
    <w:p w14:paraId="75EEB81F" w14:textId="1710B19C" w:rsidR="005620EA" w:rsidRPr="00127F14" w:rsidRDefault="0074123E" w:rsidP="005545D4">
      <w:pPr>
        <w:pStyle w:val="COMPara"/>
      </w:pPr>
      <w:r>
        <w:t>L</w:t>
      </w:r>
      <w:r w:rsidR="00153E7E" w:rsidRPr="00127F14">
        <w:t>es indicateurs de base et les facteurs d</w:t>
      </w:r>
      <w:r w:rsidR="005B64FB">
        <w:t>’</w:t>
      </w:r>
      <w:r w:rsidR="00153E7E" w:rsidRPr="00127F14">
        <w:t>appréciation sont étroitement associés au type d</w:t>
      </w:r>
      <w:r w:rsidR="005B64FB">
        <w:t>’</w:t>
      </w:r>
      <w:r w:rsidR="00153E7E" w:rsidRPr="00127F14">
        <w:t>information que les États parties sont invités fournir régulièrement dans leur rapport périodique sur la mise en œuvre de la Convention au niveau national, comme l</w:t>
      </w:r>
      <w:r w:rsidR="005B64FB">
        <w:t>’</w:t>
      </w:r>
      <w:r w:rsidR="00153E7E" w:rsidRPr="00127F14">
        <w:t>exigent les articles 29 et 12 de la Convention (voir également le chapitre V des Directives opérationnelles). L</w:t>
      </w:r>
      <w:r w:rsidR="005B64FB">
        <w:t>’</w:t>
      </w:r>
      <w:r w:rsidR="00153E7E" w:rsidRPr="00127F14">
        <w:t>utilité du cadre global de résultats dépend directement du processus de soumission des rapports périodiques, étant entendu que le cadre de résultats ne doit pas imposer de nouvelles obligations aux États parties en matière de rapports. Cela ne signifie pas qu</w:t>
      </w:r>
      <w:r w:rsidR="005B64FB">
        <w:t>’</w:t>
      </w:r>
      <w:r w:rsidR="00153E7E" w:rsidRPr="00127F14">
        <w:t>il ne peut pas exister de synergies avec d</w:t>
      </w:r>
      <w:r w:rsidR="005B64FB">
        <w:t>’</w:t>
      </w:r>
      <w:r w:rsidR="00153E7E" w:rsidRPr="00127F14">
        <w:t>autres mécanismes de soumission de rapports, comme ceux mis en place pour les Objectifs de développement durable du Programme 2030, ou que d</w:t>
      </w:r>
      <w:r w:rsidR="005B64FB">
        <w:t>’</w:t>
      </w:r>
      <w:r w:rsidR="00153E7E" w:rsidRPr="00127F14">
        <w:t>autres sources d</w:t>
      </w:r>
      <w:r w:rsidR="005B64FB">
        <w:t>’</w:t>
      </w:r>
      <w:r w:rsidR="00153E7E" w:rsidRPr="00127F14">
        <w:t>information complémentaires ne sont pas tout aussi importantes pour évaluer l</w:t>
      </w:r>
      <w:r w:rsidR="005B64FB">
        <w:t>’</w:t>
      </w:r>
      <w:r w:rsidR="00153E7E" w:rsidRPr="00127F14">
        <w:t>impact de la Convention. On suppose néanmoins que les rapports périodiques constitueront la principale source d</w:t>
      </w:r>
      <w:r w:rsidR="005B64FB">
        <w:t>’</w:t>
      </w:r>
      <w:r w:rsidR="00153E7E" w:rsidRPr="00127F14">
        <w:t xml:space="preserve">information pour le cadre global, et que ces rapports </w:t>
      </w:r>
      <w:r w:rsidR="00153E7E" w:rsidRPr="00127F14">
        <w:lastRenderedPageBreak/>
        <w:t>fourniront suffisamment d</w:t>
      </w:r>
      <w:r w:rsidR="005B64FB">
        <w:t>’</w:t>
      </w:r>
      <w:r w:rsidR="00153E7E" w:rsidRPr="00127F14">
        <w:t>informations pour déterminer si chacun des indicateurs de base est atteint (à l</w:t>
      </w:r>
      <w:r w:rsidR="005B64FB">
        <w:t>’</w:t>
      </w:r>
      <w:r w:rsidR="00153E7E" w:rsidRPr="00127F14">
        <w:t>exception des indicateurs 23 et 26 qui devront être suivis au niveau mondial, en se fondant sur les informations réunies par le Secrétariat).</w:t>
      </w:r>
    </w:p>
    <w:p w14:paraId="621A846E" w14:textId="64BC3A47" w:rsidR="005620EA" w:rsidRPr="00127F14" w:rsidRDefault="00815203" w:rsidP="00815203">
      <w:pPr>
        <w:pStyle w:val="Heading4"/>
        <w:ind w:left="567" w:hanging="567"/>
      </w:pPr>
      <w:r w:rsidRPr="00127F14">
        <w:t>Notes d</w:t>
      </w:r>
      <w:r w:rsidR="005B64FB">
        <w:t>’</w:t>
      </w:r>
      <w:r w:rsidRPr="00127F14">
        <w:t>orientation, base de départ et cibles</w:t>
      </w:r>
    </w:p>
    <w:p w14:paraId="2E5763E0" w14:textId="416A77C0" w:rsidR="005620EA" w:rsidRPr="00127F14" w:rsidRDefault="00D00F88" w:rsidP="005545D4">
      <w:pPr>
        <w:pStyle w:val="COMPara"/>
      </w:pPr>
      <w:r w:rsidRPr="00127F14">
        <w:t>Les documents examinés par le groupe de travail à composition non limitée et le Comité incluaient deux exemples de notes d</w:t>
      </w:r>
      <w:r w:rsidR="005B64FB">
        <w:t>’</w:t>
      </w:r>
      <w:r w:rsidRPr="00127F14">
        <w:t>orientation (voir l</w:t>
      </w:r>
      <w:r w:rsidR="005B64FB">
        <w:t>’</w:t>
      </w:r>
      <w:r w:rsidRPr="00127F14">
        <w:t xml:space="preserve">annexe 3 du document </w:t>
      </w:r>
      <w:hyperlink r:id="rId16" w:history="1">
        <w:r w:rsidRPr="00127F14">
          <w:rPr>
            <w:rStyle w:val="Hyperlink"/>
          </w:rPr>
          <w:t>ITH/17/12.COM/9</w:t>
        </w:r>
      </w:hyperlink>
      <w:r w:rsidRPr="00127F14">
        <w:t>). Afin que le cadre global de résultats soit mis en œuvre de manière efficace, il est important que toutes les personnes participant au suivi, à l</w:t>
      </w:r>
      <w:r w:rsidR="005B64FB">
        <w:t>’</w:t>
      </w:r>
      <w:r w:rsidRPr="00127F14">
        <w:t>établissement de rapports et à l</w:t>
      </w:r>
      <w:r w:rsidR="005B64FB">
        <w:t>’</w:t>
      </w:r>
      <w:r w:rsidRPr="00127F14">
        <w:t>évaluation parviennent à un consensus concernant l</w:t>
      </w:r>
      <w:r w:rsidR="005B64FB">
        <w:t>’</w:t>
      </w:r>
      <w:r w:rsidRPr="00127F14">
        <w:t>objet de chaque indicateur et partagent la même vision quant à la façon d</w:t>
      </w:r>
      <w:r w:rsidR="005B64FB">
        <w:t>’</w:t>
      </w:r>
      <w:r w:rsidRPr="00127F14">
        <w:t>évaluer le degré d</w:t>
      </w:r>
      <w:r w:rsidR="005B64FB">
        <w:t>’</w:t>
      </w:r>
      <w:r w:rsidRPr="00127F14">
        <w:t>atteinte de cet indicateur. Conformément aux recommandations du groupe de travail, et si l</w:t>
      </w:r>
      <w:r w:rsidR="005B64FB">
        <w:t>’</w:t>
      </w:r>
      <w:r w:rsidRPr="00127F14">
        <w:t>Assemblée générale en décide ainsi, le Secrétariat continuera de préparer des notes d</w:t>
      </w:r>
      <w:r w:rsidR="005B64FB">
        <w:t>’</w:t>
      </w:r>
      <w:r w:rsidRPr="00127F14">
        <w:t>orientation similaires pour l</w:t>
      </w:r>
      <w:r w:rsidR="005B64FB">
        <w:t>’</w:t>
      </w:r>
      <w:r w:rsidRPr="00127F14">
        <w:t>ensemble des vingt-six indicateurs de base. Ces notes d</w:t>
      </w:r>
      <w:r w:rsidR="005B64FB">
        <w:t>’</w:t>
      </w:r>
      <w:r w:rsidRPr="00127F14">
        <w:t>orientation refléteront les points de vue et les suggestions utiles formulés au cours des discussions du groupe de travail.</w:t>
      </w:r>
    </w:p>
    <w:p w14:paraId="699F6223" w14:textId="263EDA7A" w:rsidR="007876F1" w:rsidRPr="00127F14" w:rsidRDefault="007876F1" w:rsidP="00357839">
      <w:pPr>
        <w:pStyle w:val="COMPara"/>
      </w:pPr>
      <w:r w:rsidRPr="00127F14">
        <w:t xml:space="preserve">Il conviendra ensuite de définir des bases de départ et des cibles pour chacun des indicateurs de base. Il est expliqué dans les </w:t>
      </w:r>
      <w:r w:rsidRPr="00127F14">
        <w:rPr>
          <w:i/>
        </w:rPr>
        <w:t xml:space="preserve">Principes directeurs </w:t>
      </w:r>
      <w:r w:rsidRPr="00127F14">
        <w:t>de l</w:t>
      </w:r>
      <w:r w:rsidR="005B64FB">
        <w:t>’</w:t>
      </w:r>
      <w:r w:rsidRPr="00127F14">
        <w:t>UNESCO que la base de départ</w:t>
      </w:r>
      <w:r w:rsidRPr="00127F14">
        <w:rPr>
          <w:b/>
          <w:bCs/>
        </w:rPr>
        <w:t xml:space="preserve"> </w:t>
      </w:r>
      <w:r w:rsidRPr="00127F14">
        <w:t>indique le point de départ ou le niveau de l</w:t>
      </w:r>
      <w:r w:rsidR="005B64FB">
        <w:t>’</w:t>
      </w:r>
      <w:r w:rsidRPr="00127F14">
        <w:t>indicateur de performance au début d</w:t>
      </w:r>
      <w:r w:rsidR="005B64FB">
        <w:t>’</w:t>
      </w:r>
      <w:r w:rsidRPr="00127F14">
        <w:t>un programme ou d</w:t>
      </w:r>
      <w:r w:rsidR="005B64FB">
        <w:t>’</w:t>
      </w:r>
      <w:r w:rsidRPr="00127F14">
        <w:t>un projet et servant de point de référence en regard duquel les progrès ou les réalisations des résultats peuvent être appréciés.</w:t>
      </w:r>
      <w:r w:rsidRPr="00127F14">
        <w:rPr>
          <w:vertAlign w:val="superscript"/>
        </w:rPr>
        <w:footnoteReference w:id="3"/>
      </w:r>
      <w:r w:rsidRPr="00127F14">
        <w:t xml:space="preserve"> Il est ensuite précisé que « la cible</w:t>
      </w:r>
      <w:r w:rsidRPr="00127F14">
        <w:rPr>
          <w:b/>
          <w:bCs/>
        </w:rPr>
        <w:t xml:space="preserve"> </w:t>
      </w:r>
      <w:r w:rsidRPr="00127F14">
        <w:t>est une mesure associée à un indicateur de performance à atteindre pendant une période déterminée avec les ressources disponibles ».</w:t>
      </w:r>
      <w:r w:rsidRPr="00127F14">
        <w:rPr>
          <w:vertAlign w:val="superscript"/>
        </w:rPr>
        <w:footnoteReference w:id="4"/>
      </w:r>
      <w:r w:rsidRPr="00127F14">
        <w:t xml:space="preserve"> Dans le cas du cadre global de résultats pour la Convention, les bases de départ et les cibles devront être définies au niveau mondial et au niveau national. Ainsi, une cible au niveau mondial peut exiger qu</w:t>
      </w:r>
      <w:r w:rsidR="005B64FB">
        <w:t>’</w:t>
      </w:r>
      <w:r w:rsidRPr="00127F14">
        <w:t>un indicateur donné, dans une période prédéterminée, soit pleinement satisfait dans X % des États parties, partiellement satisfait dans Y % des États parties ou aucunement satisfait dans Z % des États parties. La cible serait ensuite révisée pour augmenter le pourcentage de la catégorie « pleinement satisfait » et réduire celui de la catégorie « aucunement satisfait ». Au niveau national, chaque État partie peut fixer une cible selon ses priorités, ses ressources et ses capacités pour satisfaire pleinement l</w:t>
      </w:r>
      <w:r w:rsidR="005B64FB">
        <w:t>’</w:t>
      </w:r>
      <w:r w:rsidRPr="00127F14">
        <w:t>indicateur dans une période donnée, le satisfaire dans une certaine mesure ou ne pas le satisfaire du tout.</w:t>
      </w:r>
    </w:p>
    <w:p w14:paraId="2284C9C9" w14:textId="341BFBE4" w:rsidR="005620EA" w:rsidRPr="00127F14" w:rsidRDefault="000517A1" w:rsidP="005545D4">
      <w:pPr>
        <w:pStyle w:val="COMPara"/>
      </w:pPr>
      <w:r w:rsidRPr="00127F14">
        <w:t>Cela impliquera nécessairement deux processus parallèles dans la mesure où les cibles mondiales devront être établies par l</w:t>
      </w:r>
      <w:r w:rsidR="005B64FB">
        <w:t>’</w:t>
      </w:r>
      <w:r w:rsidRPr="00127F14">
        <w:t>intermédiaire d</w:t>
      </w:r>
      <w:r w:rsidR="005B64FB">
        <w:t>’</w:t>
      </w:r>
      <w:r w:rsidRPr="00127F14">
        <w:t>un processus de consultation international, alors que les cibles au niveau national devront être définies par chaque État partie en fonction de sa situation, de ses capacités et de ses priorités. Il en va de même pour les bases de départ, qui devront être déterminées au niveau mondial et au niveau national en ce qui concerne les résultats. Pour être efficaces, les cibles et les bases de départ doivent être réalistes, tenir compte de la situation réelle et, dans le cas des cibles, être atteignables. Les cibles ne doivent pas être trop faciles de sorte qu</w:t>
      </w:r>
      <w:r w:rsidR="005B64FB">
        <w:t>’</w:t>
      </w:r>
      <w:r w:rsidRPr="00127F14">
        <w:t>elles seraient systématiquement atteintes, mais ne doivent pas non plus être si ambitieuses qu</w:t>
      </w:r>
      <w:r w:rsidR="005B64FB">
        <w:t>’</w:t>
      </w:r>
      <w:r w:rsidRPr="00127F14">
        <w:t>elles ne seraient jamais atteintes. Pour définir des cibles réalistes, il est tout d</w:t>
      </w:r>
      <w:r w:rsidR="005B64FB">
        <w:t>’</w:t>
      </w:r>
      <w:r w:rsidRPr="00127F14">
        <w:t>abord nécessaire – dans la mesure du possible – d</w:t>
      </w:r>
      <w:r w:rsidR="005B64FB">
        <w:t>’</w:t>
      </w:r>
      <w:r w:rsidRPr="00127F14">
        <w:t>établir des bases de départ fiables. Dans le cas de certains indicateurs, une analyse rétrospective des rapports périodiques existants peut suffire pour définir une base de départ crédible, mais dans de nombreux cas, les rapports existants ne fourniront pas assez de données comparatives sûres pour permettre de définir une base de départ. Au niveau national en revanche, il peut être plus facile pour un État partie d</w:t>
      </w:r>
      <w:r w:rsidR="005B64FB">
        <w:t>’</w:t>
      </w:r>
      <w:r w:rsidRPr="00127F14">
        <w:t>établir une base de départ en fonction de sa propre connaissance des circonstances dans son pays. Avec le temps, les réalisations accomplies au cours d</w:t>
      </w:r>
      <w:r w:rsidR="005B64FB">
        <w:t>’</w:t>
      </w:r>
      <w:r w:rsidRPr="00127F14">
        <w:t xml:space="preserve">une période pourront servir de bases de départ fiables pour la période </w:t>
      </w:r>
      <w:r w:rsidRPr="00127F14">
        <w:lastRenderedPageBreak/>
        <w:t>suivante, mais il est à prévoir que le processus de détermination des bases de départ ne sera pas parfait dès le départ et s</w:t>
      </w:r>
      <w:r w:rsidR="005B64FB">
        <w:t>’</w:t>
      </w:r>
      <w:r w:rsidRPr="00127F14">
        <w:t>améliorera au fil des cycles successifs.</w:t>
      </w:r>
    </w:p>
    <w:p w14:paraId="5B3DDB2A" w14:textId="767A5E5F" w:rsidR="005620EA" w:rsidRPr="00127F14" w:rsidRDefault="000517A1" w:rsidP="00BA0F94">
      <w:pPr>
        <w:pStyle w:val="COMPara"/>
      </w:pPr>
      <w:r w:rsidRPr="00127F14">
        <w:t>Le groupe de travail et le Comité ont approuvé la suggestion du Secrétariat qui jugeait prudent d</w:t>
      </w:r>
      <w:r w:rsidR="005B64FB">
        <w:t>’</w:t>
      </w:r>
      <w:r w:rsidRPr="00127F14">
        <w:t>aborder le problème des bases de départ et des cibles à un stade ultérieur, lorsque les États parties seront parvenus à un accord sur le projet de cadre figurant en annexe du présent document. Cela est d</w:t>
      </w:r>
      <w:r w:rsidR="005B64FB">
        <w:t>’</w:t>
      </w:r>
      <w:r w:rsidRPr="00127F14">
        <w:t>autant plus vrai que les bases de départ et les cibles seront régulièrement révisées – lors de chaque cycle de suivi –, alors que la carte de résultats et les indicateurs changeront probablement moins souvent au cours du temps. Concernant les bases de départ et les cibles au niveau national, chaque État partie les définira selon son propre calendrier. Cet exercice pourrait faire partie de la préparation des rapports périodiques et suivre donc le même calendrier, qui va probablement changer si l</w:t>
      </w:r>
      <w:bookmarkStart w:id="0" w:name="_GoBack"/>
      <w:bookmarkEnd w:id="0"/>
      <w:r w:rsidR="005B64FB">
        <w:t>’</w:t>
      </w:r>
      <w:r w:rsidRPr="00127F14">
        <w:t xml:space="preserve">Assemblée générale le décide (voir le document </w:t>
      </w:r>
      <w:hyperlink r:id="rId17" w:history="1">
        <w:r w:rsidR="00BA0F94" w:rsidRPr="00BA0F94">
          <w:rPr>
            <w:rStyle w:val="Hyperlink"/>
          </w:rPr>
          <w:t>ITH/18/</w:t>
        </w:r>
        <w:r w:rsidRPr="00CF22C3">
          <w:rPr>
            <w:rStyle w:val="Hyperlink"/>
          </w:rPr>
          <w:t>7.GA</w:t>
        </w:r>
        <w:r w:rsidR="00BA0F94" w:rsidRPr="00CF22C3">
          <w:rPr>
            <w:rStyle w:val="Hyperlink"/>
          </w:rPr>
          <w:t>/</w:t>
        </w:r>
        <w:r w:rsidRPr="00CF22C3">
          <w:rPr>
            <w:rStyle w:val="Hyperlink"/>
          </w:rPr>
          <w:t>10</w:t>
        </w:r>
      </w:hyperlink>
      <w:r w:rsidRPr="00127F14">
        <w:t>).</w:t>
      </w:r>
    </w:p>
    <w:p w14:paraId="6F0DCE78" w14:textId="77777777" w:rsidR="000517A1" w:rsidRPr="00127F14" w:rsidRDefault="00AD5B2E" w:rsidP="005545D4">
      <w:pPr>
        <w:pStyle w:val="Heading4"/>
        <w:ind w:left="567" w:hanging="567"/>
      </w:pPr>
      <w:r w:rsidRPr="00127F14">
        <w:t>Établissement de rapports axés sur les résultats et déploiement du cadre global de résultats</w:t>
      </w:r>
    </w:p>
    <w:p w14:paraId="7FB6C73A" w14:textId="299DA9BB" w:rsidR="00D6069C" w:rsidRPr="00127F14" w:rsidRDefault="007570C6">
      <w:pPr>
        <w:pStyle w:val="COMPara"/>
      </w:pPr>
      <w:r w:rsidRPr="00127F14">
        <w:t>La recommandation formulée par l</w:t>
      </w:r>
      <w:r w:rsidR="005B64FB">
        <w:t>’</w:t>
      </w:r>
      <w:r w:rsidRPr="00127F14">
        <w:t>IOS dans son rapport de 2013 d</w:t>
      </w:r>
      <w:proofErr w:type="gramStart"/>
      <w:r w:rsidR="005B64FB">
        <w:t>’</w:t>
      </w:r>
      <w:r w:rsidRPr="00127F14">
        <w:t>«</w:t>
      </w:r>
      <w:proofErr w:type="gramEnd"/>
      <w:r w:rsidRPr="00127F14">
        <w:t> élaborer un cadre global de résultats pour la Convention [...] incluant des objectifs clairs, des</w:t>
      </w:r>
      <w:r w:rsidRPr="00127F14">
        <w:rPr>
          <w:rFonts w:ascii="Cambria Math" w:hAnsi="Cambria Math"/>
        </w:rPr>
        <w:t xml:space="preserve"> </w:t>
      </w:r>
      <w:r w:rsidRPr="00127F14">
        <w:t>calendriers, des indicateurs et des points de référence » visait, avec d</w:t>
      </w:r>
      <w:r w:rsidR="005B64FB">
        <w:t>’</w:t>
      </w:r>
      <w:r w:rsidRPr="00127F14">
        <w:t>autres recommandations, à améliorer l</w:t>
      </w:r>
      <w:r w:rsidR="005B64FB">
        <w:t>’</w:t>
      </w:r>
      <w:r w:rsidRPr="00127F14">
        <w:t>établissement de rapports, le suivi et l</w:t>
      </w:r>
      <w:r w:rsidR="005B64FB">
        <w:t>’</w:t>
      </w:r>
      <w:r w:rsidRPr="00127F14">
        <w:t>évaluation de la Convention. L</w:t>
      </w:r>
      <w:r w:rsidR="005B64FB">
        <w:t>’</w:t>
      </w:r>
      <w:r w:rsidRPr="00127F14">
        <w:t>IOS recommandait également d</w:t>
      </w:r>
      <w:r w:rsidR="005B64FB">
        <w:t>’</w:t>
      </w:r>
      <w:r w:rsidRPr="00127F14">
        <w:t>améliorer l</w:t>
      </w:r>
      <w:r w:rsidR="005B64FB">
        <w:t>’</w:t>
      </w:r>
      <w:r w:rsidRPr="00127F14">
        <w:t>établissement des rapports périodiques en les axant sur les résultats, ce qui est difficilement réalisable tant qu</w:t>
      </w:r>
      <w:r w:rsidR="005B64FB">
        <w:t>’</w:t>
      </w:r>
      <w:r w:rsidRPr="00127F14">
        <w:t>aucun cadre de résultats pour la Convention n</w:t>
      </w:r>
      <w:r w:rsidR="005B64FB">
        <w:t>’</w:t>
      </w:r>
      <w:r w:rsidRPr="00127F14">
        <w:t>aura été adopté. Dans son rapport, le groupe de travail a recommandé au Comité de « réfléchir à la manière d</w:t>
      </w:r>
      <w:r w:rsidR="005B64FB">
        <w:t>’</w:t>
      </w:r>
      <w:r w:rsidRPr="00127F14">
        <w:t>utiliser au mieux le cadre de résultats et de l</w:t>
      </w:r>
      <w:r w:rsidR="005B64FB">
        <w:t>’</w:t>
      </w:r>
      <w:r w:rsidRPr="00127F14">
        <w:t>intégrer aux processus actuels d</w:t>
      </w:r>
      <w:r w:rsidR="005B64FB">
        <w:t>’</w:t>
      </w:r>
      <w:r w:rsidRPr="00127F14">
        <w:t>établissement de rapports, de suivi et d</w:t>
      </w:r>
      <w:r w:rsidR="005B64FB">
        <w:t>’</w:t>
      </w:r>
      <w:r w:rsidRPr="00127F14">
        <w:t>évaluation de la Convention au niveau mondial et dans chaque État partie, notamment en ce qui concerne le système d</w:t>
      </w:r>
      <w:r w:rsidR="005B64FB">
        <w:t>’</w:t>
      </w:r>
      <w:r w:rsidRPr="00127F14">
        <w:t>établissement des rapports périodiques de la Convention » (voir l</w:t>
      </w:r>
      <w:r w:rsidR="005B64FB">
        <w:t>’</w:t>
      </w:r>
      <w:r w:rsidRPr="00127F14">
        <w:t xml:space="preserve">annexe 1 du document </w:t>
      </w:r>
      <w:hyperlink r:id="rId18" w:history="1">
        <w:r w:rsidRPr="00127F14">
          <w:rPr>
            <w:rStyle w:val="Hyperlink"/>
          </w:rPr>
          <w:t>ITH/17/12.COM/9</w:t>
        </w:r>
      </w:hyperlink>
      <w:r w:rsidRPr="00127F14">
        <w:t>). Le Comité estime que l</w:t>
      </w:r>
      <w:r w:rsidR="005B64FB">
        <w:t>’</w:t>
      </w:r>
      <w:r w:rsidRPr="00127F14">
        <w:t>adoption d</w:t>
      </w:r>
      <w:r w:rsidR="005B64FB">
        <w:t>’</w:t>
      </w:r>
      <w:r w:rsidRPr="00127F14">
        <w:t>un cadre global de résultats nécessitait une réflexion sur la façon de convertir le processus de soumission des rapports en une occasion d</w:t>
      </w:r>
      <w:r w:rsidR="005B64FB">
        <w:t>’</w:t>
      </w:r>
      <w:r w:rsidRPr="00127F14">
        <w:t>apprentissage pour les États parties – qui feraient périodiquement le bilan de leurs propres réalisations et difficultés et définiraient ou redéfiniraient leurs priorités nationales en matière de sauvegarde du patrimoine culturel immatériel –, afin qu</w:t>
      </w:r>
      <w:r w:rsidR="005B64FB">
        <w:t>’</w:t>
      </w:r>
      <w:r w:rsidRPr="00127F14">
        <w:t>il ne demeure pas une simple obligation administrative. Rendre l</w:t>
      </w:r>
      <w:r w:rsidR="005B64FB">
        <w:t>’</w:t>
      </w:r>
      <w:r w:rsidRPr="00127F14">
        <w:t>exercice de soumission des rapports périodiques plus utile aux États parties eux-mêmes a également été considéré comme un moyen de répondre, du moins en partie, au faible taux de soumission de ces rapports. Si les rapports étaient davantage axés sur les résultats, le processus de préparation connexe deviendrait de plus en plus utile aux différents acteurs intervenant dans la mise en œuvre de la Convention en promouvant le dialogue et la participation, ce qui devrait entraîner une augmentation du taux de soumission.</w:t>
      </w:r>
    </w:p>
    <w:p w14:paraId="2206032B" w14:textId="4F836543" w:rsidR="00451641" w:rsidRPr="00127F14" w:rsidRDefault="00AD7213" w:rsidP="00BA0F94">
      <w:pPr>
        <w:pStyle w:val="COMPara"/>
      </w:pPr>
      <w:r w:rsidRPr="00127F14">
        <w:t xml:space="preserve">Plusieurs améliorations pouvant être apportées au système de soumission des rapports périodiques ont déjà été présentées par le Comité lors de sa douzième session (voir le document </w:t>
      </w:r>
      <w:hyperlink r:id="rId19" w:history="1">
        <w:r w:rsidRPr="00127F14">
          <w:rPr>
            <w:rStyle w:val="Hyperlink"/>
          </w:rPr>
          <w:t>ITH/17/12.COM/10</w:t>
        </w:r>
      </w:hyperlink>
      <w:r w:rsidRPr="00127F14">
        <w:t xml:space="preserve"> et la </w:t>
      </w:r>
      <w:hyperlink r:id="rId20" w:history="1">
        <w:r w:rsidRPr="00127F14">
          <w:rPr>
            <w:rStyle w:val="Hyperlink"/>
          </w:rPr>
          <w:t>décision 12.COM 10)</w:t>
        </w:r>
      </w:hyperlink>
      <w:r w:rsidRPr="00127F14">
        <w:t>. Elles feront l</w:t>
      </w:r>
      <w:r w:rsidR="005B64FB">
        <w:t>’</w:t>
      </w:r>
      <w:r w:rsidRPr="00127F14">
        <w:t>objet de débats lors de la présente session de l</w:t>
      </w:r>
      <w:r w:rsidR="005B64FB">
        <w:t>’</w:t>
      </w:r>
      <w:r w:rsidRPr="00127F14">
        <w:t xml:space="preserve">Assemblée générale (document </w:t>
      </w:r>
      <w:hyperlink r:id="rId21" w:history="1">
        <w:r w:rsidR="00BA0F94" w:rsidRPr="00CF22C3">
          <w:rPr>
            <w:rStyle w:val="Hyperlink"/>
          </w:rPr>
          <w:t>ITH/18/</w:t>
        </w:r>
        <w:r w:rsidRPr="00CF22C3">
          <w:rPr>
            <w:rStyle w:val="Hyperlink"/>
          </w:rPr>
          <w:t>7.GA</w:t>
        </w:r>
        <w:r w:rsidR="00BA0F94" w:rsidRPr="00CF22C3">
          <w:rPr>
            <w:rStyle w:val="Hyperlink"/>
          </w:rPr>
          <w:t>/</w:t>
        </w:r>
        <w:r w:rsidRPr="00CF22C3">
          <w:rPr>
            <w:rStyle w:val="Hyperlink"/>
          </w:rPr>
          <w:t>10</w:t>
        </w:r>
      </w:hyperlink>
      <w:r w:rsidRPr="00127F14">
        <w:t>). Outre les modifications proposées pour le calendrier de soumission des rapports, le Secrétariat a d</w:t>
      </w:r>
      <w:r w:rsidR="005B64FB">
        <w:t>’</w:t>
      </w:r>
      <w:r w:rsidRPr="00127F14">
        <w:t>ores et déjà commencé à se pencher sur une éventuelle révision du format de présentation des rapports périodiques (formulaire ICH-10) pour qu</w:t>
      </w:r>
      <w:r w:rsidR="005B64FB">
        <w:t>’</w:t>
      </w:r>
      <w:r w:rsidRPr="00127F14">
        <w:t>il soit en meilleure adéquation avec le cadre global de résultats et que les informations demandées dans le formulaire alimentent le cadre de la façon la plus directe et satisfaisante possible. Le fait d</w:t>
      </w:r>
      <w:r w:rsidR="005B64FB">
        <w:t>’</w:t>
      </w:r>
      <w:r w:rsidRPr="00127F14">
        <w:t>axer le formulaire ICH-10 sur la communication des résultats permettra aussi de continuer à promouvoir une réflexion sur la façon de maximiser l</w:t>
      </w:r>
      <w:r w:rsidR="005B64FB">
        <w:t>’</w:t>
      </w:r>
      <w:r w:rsidRPr="00127F14">
        <w:t>utilité du processus de soumission des rapports pour les États parties et les autres acteurs.</w:t>
      </w:r>
    </w:p>
    <w:p w14:paraId="5BB44F47" w14:textId="2317644C" w:rsidR="000517A1" w:rsidRPr="00127F14" w:rsidRDefault="008144E8" w:rsidP="008144E8">
      <w:pPr>
        <w:pStyle w:val="COMPara"/>
      </w:pPr>
      <w:r w:rsidRPr="00127F14">
        <w:t>Les discussions du groupe de travail et du Comité ont porté à plusieurs reprises sur la nécessité de bien préparer la mise en œuvre du cadre de résultats et d</w:t>
      </w:r>
      <w:r w:rsidR="005B64FB">
        <w:t>’</w:t>
      </w:r>
      <w:r w:rsidRPr="00127F14">
        <w:t>accompagner son lancement d</w:t>
      </w:r>
      <w:r w:rsidR="005B64FB">
        <w:t>’</w:t>
      </w:r>
      <w:r w:rsidRPr="00127F14">
        <w:t>activités d</w:t>
      </w:r>
      <w:r w:rsidR="005B64FB">
        <w:t>’</w:t>
      </w:r>
      <w:r w:rsidRPr="00127F14">
        <w:t>information et de renforcement des capacités afin que les États parties et les autres acteurs concernés, en particulier les communautés, les groupes et les individus, puissent l</w:t>
      </w:r>
      <w:r w:rsidR="005B64FB">
        <w:t>’</w:t>
      </w:r>
      <w:r w:rsidRPr="00127F14">
        <w:t xml:space="preserve">appliquer de façon efficace. Le programme global de renforcement des capacités </w:t>
      </w:r>
      <w:r w:rsidRPr="00127F14">
        <w:lastRenderedPageBreak/>
        <w:t>de la Convention a été présenté comme modèle pour ces activités, et l</w:t>
      </w:r>
      <w:r w:rsidR="005B64FB">
        <w:t>’</w:t>
      </w:r>
      <w:r w:rsidRPr="00127F14">
        <w:t>importance d</w:t>
      </w:r>
      <w:r w:rsidR="005B64FB">
        <w:t>’</w:t>
      </w:r>
      <w:r w:rsidRPr="00127F14">
        <w:t>adopter une approche similaire pour renforcer les capacités en vue de la mise en œuvre du cadre global de résultats a été soulignée. Outre les notes d</w:t>
      </w:r>
      <w:r w:rsidR="005B64FB">
        <w:t>’</w:t>
      </w:r>
      <w:r w:rsidRPr="00127F14">
        <w:t>orientation précédemment mentionnées, d</w:t>
      </w:r>
      <w:r w:rsidR="005B64FB">
        <w:t>’</w:t>
      </w:r>
      <w:r w:rsidRPr="00127F14">
        <w:t>autres supports d</w:t>
      </w:r>
      <w:r w:rsidR="005B64FB">
        <w:t>’</w:t>
      </w:r>
      <w:r w:rsidRPr="00127F14">
        <w:t>informations devront être développés afin que les divers acteurs de la Convention comprennent ce qu</w:t>
      </w:r>
      <w:r w:rsidR="005B64FB">
        <w:t>’</w:t>
      </w:r>
      <w:r w:rsidRPr="00127F14">
        <w:t>est le cadre et comment ils peuvent participer au suivi, à l</w:t>
      </w:r>
      <w:r w:rsidR="005B64FB">
        <w:t>’</w:t>
      </w:r>
      <w:r w:rsidRPr="00127F14">
        <w:t>établissement de rapports et à l</w:t>
      </w:r>
      <w:r w:rsidR="005B64FB">
        <w:t>’</w:t>
      </w:r>
      <w:r w:rsidRPr="00127F14">
        <w:t>évaluation. Une série d</w:t>
      </w:r>
      <w:r w:rsidR="005B64FB">
        <w:t>’</w:t>
      </w:r>
      <w:r w:rsidRPr="00127F14">
        <w:t xml:space="preserve">ateliers régionaux destinés à présenter le cadre global de résultats et le nouveau formulaire ICH-10 axé sur les résultats pourrait être complétée par des sessions de travail plus intensives – aux niveaux </w:t>
      </w:r>
      <w:proofErr w:type="spellStart"/>
      <w:r w:rsidRPr="00127F14">
        <w:t>sous-régional</w:t>
      </w:r>
      <w:proofErr w:type="spellEnd"/>
      <w:r w:rsidRPr="00127F14">
        <w:t xml:space="preserve"> ou national – pour mieux comprendre comment définir des bases de départ et des cibles au niveau national et inclure ces informations dans les rapports. Dans ce contexte, le fait d</w:t>
      </w:r>
      <w:r w:rsidR="005B64FB">
        <w:t>’</w:t>
      </w:r>
      <w:r w:rsidRPr="00127F14">
        <w:t>établir un calendrier régional, et non pas fondé sur la ratification, pour le cycle de soumission des rapports présente l</w:t>
      </w:r>
      <w:r w:rsidR="005B64FB">
        <w:t>’</w:t>
      </w:r>
      <w:r w:rsidRPr="00127F14">
        <w:t>avantage de permettre un renforcement des capacités plus efficace, sous la forme, notamment, d</w:t>
      </w:r>
      <w:r w:rsidR="005B64FB">
        <w:t>’</w:t>
      </w:r>
      <w:r w:rsidRPr="00127F14">
        <w:t>une assistance technique entre pairs et entre pays voisins.</w:t>
      </w:r>
    </w:p>
    <w:p w14:paraId="2F523BA6" w14:textId="273D255E" w:rsidR="008144E8" w:rsidRPr="00127F14" w:rsidRDefault="006735F5" w:rsidP="00DA17F8">
      <w:pPr>
        <w:pStyle w:val="COMPara"/>
      </w:pPr>
      <w:r w:rsidRPr="00127F14">
        <w:t>Il est demandé à l</w:t>
      </w:r>
      <w:r w:rsidR="005B64FB">
        <w:t>’</w:t>
      </w:r>
      <w:r w:rsidRPr="00127F14">
        <w:t>Assemblée générale d</w:t>
      </w:r>
      <w:r w:rsidR="005B64FB">
        <w:t>’</w:t>
      </w:r>
      <w:r w:rsidRPr="00127F14">
        <w:t>adopter le cadre global de résultats fourni en annexe, mais aussi d</w:t>
      </w:r>
      <w:r w:rsidR="005B64FB">
        <w:t>’</w:t>
      </w:r>
      <w:r w:rsidRPr="00127F14">
        <w:t>initier les étapes de sa mise en œuvre comme l</w:t>
      </w:r>
      <w:r w:rsidR="005B64FB">
        <w:t>’</w:t>
      </w:r>
      <w:r w:rsidRPr="00127F14">
        <w:t>a recommandé le Comité (</w:t>
      </w:r>
      <w:hyperlink r:id="rId22" w:history="1">
        <w:r w:rsidRPr="00127F14">
          <w:rPr>
            <w:rStyle w:val="Hyperlink"/>
          </w:rPr>
          <w:t>décision 12.COM 9</w:t>
        </w:r>
      </w:hyperlink>
      <w:r w:rsidRPr="00127F14">
        <w:t>). Compte tenu de l</w:t>
      </w:r>
      <w:r w:rsidR="005B64FB">
        <w:t>’</w:t>
      </w:r>
      <w:r w:rsidRPr="00127F14">
        <w:t>importance de ce cadre global pour l</w:t>
      </w:r>
      <w:r w:rsidR="005B64FB">
        <w:t>’</w:t>
      </w:r>
      <w:r w:rsidRPr="00127F14">
        <w:t>établissement de rapports axés sur les résultats, l</w:t>
      </w:r>
      <w:r w:rsidR="005B64FB">
        <w:t>’</w:t>
      </w:r>
      <w:r w:rsidRPr="00127F14">
        <w:t>Assemblée générale pourrait demander au Secrétariat de réviser le formulaire ICH-10 pour la soumission des rapports périodiques et de poursuivre la réforme du système de soumission desdits rapports. Suite à l</w:t>
      </w:r>
      <w:r w:rsidR="005B64FB">
        <w:t>’</w:t>
      </w:r>
      <w:r w:rsidRPr="00127F14">
        <w:t>adoption par l</w:t>
      </w:r>
      <w:r w:rsidR="005B64FB">
        <w:t>’</w:t>
      </w:r>
      <w:r w:rsidRPr="00127F14">
        <w:t>Assemblée du cadre de résultats, le Secrétariat pourrait également commencer à définir des cibles et – si possible – des bases de départ provisoires en vue de sa mise en œuvre à l</w:t>
      </w:r>
      <w:r w:rsidR="005B64FB">
        <w:t>’</w:t>
      </w:r>
      <w:r w:rsidRPr="00127F14">
        <w:t>échelle mondiale. Par ailleurs, l</w:t>
      </w:r>
      <w:r w:rsidR="005B64FB">
        <w:t>’</w:t>
      </w:r>
      <w:r w:rsidRPr="00127F14">
        <w:t>Assemblée générale souhaitera peut-être demander au Secrétariat de définir des activités d</w:t>
      </w:r>
      <w:r w:rsidR="005B64FB">
        <w:t>’</w:t>
      </w:r>
      <w:r w:rsidRPr="00127F14">
        <w:t>information et de renforcement des capacités pour aider les États parties à utiliser le cadre global de résultats et le nouveau formulaire pour la soumission des rapports périodiques.</w:t>
      </w:r>
    </w:p>
    <w:p w14:paraId="00C71584" w14:textId="7CF49330" w:rsidR="000517A1" w:rsidRPr="00127F14" w:rsidRDefault="002367BC" w:rsidP="00AD2A13">
      <w:pPr>
        <w:pStyle w:val="COMPara"/>
        <w:keepNext/>
      </w:pPr>
      <w:r w:rsidRPr="00127F14">
        <w:t>L</w:t>
      </w:r>
      <w:r w:rsidR="005B64FB">
        <w:t>’</w:t>
      </w:r>
      <w:r w:rsidRPr="00127F14">
        <w:t>Assemblée générale souhaitera peut-être adopter la résolution suivante :</w:t>
      </w:r>
    </w:p>
    <w:p w14:paraId="709123FE" w14:textId="169DED1F" w:rsidR="000517A1" w:rsidRPr="00127F14" w:rsidRDefault="00FB557F" w:rsidP="002367BC">
      <w:pPr>
        <w:pStyle w:val="COMTitleDecision"/>
      </w:pPr>
      <w:r w:rsidRPr="00127F14">
        <w:t>PROJET DE RÉSOLUTION 7.GA 9</w:t>
      </w:r>
    </w:p>
    <w:p w14:paraId="0B1ECC93" w14:textId="4B58116D" w:rsidR="006D2411" w:rsidRPr="00127F14" w:rsidRDefault="002367BC" w:rsidP="002367BC">
      <w:pPr>
        <w:pStyle w:val="COMPreambulaDecisions"/>
      </w:pPr>
      <w:r w:rsidRPr="00127F14">
        <w:t>L</w:t>
      </w:r>
      <w:r w:rsidR="005B64FB">
        <w:t>’</w:t>
      </w:r>
      <w:r w:rsidRPr="00127F14">
        <w:t>Assemblée générale,</w:t>
      </w:r>
    </w:p>
    <w:p w14:paraId="379AE7D0" w14:textId="09E2A6A6" w:rsidR="002367BC" w:rsidRPr="00127F14" w:rsidRDefault="002367BC" w:rsidP="002F2EEB">
      <w:pPr>
        <w:pStyle w:val="COMParaDecision"/>
        <w:numPr>
          <w:ilvl w:val="0"/>
          <w:numId w:val="6"/>
        </w:numPr>
        <w:ind w:left="1134" w:hanging="567"/>
      </w:pPr>
      <w:r w:rsidRPr="00127F14">
        <w:rPr>
          <w:u w:val="single"/>
        </w:rPr>
        <w:t>Ayant examiné</w:t>
      </w:r>
      <w:r w:rsidRPr="00127F14">
        <w:t xml:space="preserve"> le document ITH/18/7.GA/9 et son annexe,</w:t>
      </w:r>
    </w:p>
    <w:p w14:paraId="6013DBD2" w14:textId="1FDEFAFE" w:rsidR="002367BC" w:rsidRPr="00127F14" w:rsidRDefault="002367BC" w:rsidP="002F2EEB">
      <w:pPr>
        <w:pStyle w:val="COMParaDecision"/>
        <w:numPr>
          <w:ilvl w:val="0"/>
          <w:numId w:val="6"/>
        </w:numPr>
        <w:ind w:left="1134" w:hanging="567"/>
      </w:pPr>
      <w:r w:rsidRPr="00127F14">
        <w:rPr>
          <w:u w:val="single"/>
        </w:rPr>
        <w:t>Remerciant</w:t>
      </w:r>
      <w:r w:rsidRPr="00127F14">
        <w:t xml:space="preserve"> la République populaire de Chine d</w:t>
      </w:r>
      <w:r w:rsidR="005B64FB">
        <w:t>’</w:t>
      </w:r>
      <w:r w:rsidRPr="00127F14">
        <w:t>avoir généreusement accueilli et cofinancé la réunion d</w:t>
      </w:r>
      <w:r w:rsidR="005B64FB">
        <w:t>’</w:t>
      </w:r>
      <w:r w:rsidRPr="00127F14">
        <w:t>experts de septembre 2016 et le groupe de travail intergouvernemental à composition non limitée en juin 2017</w:t>
      </w:r>
      <w:r w:rsidR="0074123E">
        <w:t>,</w:t>
      </w:r>
      <w:r w:rsidRPr="00127F14">
        <w:t xml:space="preserve"> deux étapes essentielles de l</w:t>
      </w:r>
      <w:r w:rsidR="005B64FB">
        <w:t>’</w:t>
      </w:r>
      <w:r w:rsidRPr="00127F14">
        <w:t>élaboration d</w:t>
      </w:r>
      <w:r w:rsidR="005B64FB">
        <w:t>’</w:t>
      </w:r>
      <w:r w:rsidRPr="00127F14">
        <w:t>un cadre global de résultats,</w:t>
      </w:r>
    </w:p>
    <w:p w14:paraId="74E503D1" w14:textId="0C651FEF" w:rsidR="005673FB" w:rsidRPr="00127F14" w:rsidRDefault="000B4749" w:rsidP="002F2EEB">
      <w:pPr>
        <w:pStyle w:val="COMParaDecision"/>
        <w:numPr>
          <w:ilvl w:val="0"/>
          <w:numId w:val="6"/>
        </w:numPr>
        <w:ind w:left="1134" w:hanging="567"/>
      </w:pPr>
      <w:r w:rsidRPr="00127F14">
        <w:rPr>
          <w:u w:val="single"/>
        </w:rPr>
        <w:t>Approuve</w:t>
      </w:r>
      <w:r w:rsidRPr="00127F14">
        <w:t xml:space="preserve"> le cadre global de résultats pour la Convention de 2003, tel qu</w:t>
      </w:r>
      <w:r w:rsidR="005B64FB">
        <w:t>’</w:t>
      </w:r>
      <w:r w:rsidRPr="00127F14">
        <w:t>il figure en annexe de cette résolution ;</w:t>
      </w:r>
    </w:p>
    <w:p w14:paraId="673F375E" w14:textId="621D8416" w:rsidR="003B7336" w:rsidRPr="00127F14" w:rsidRDefault="003B7336" w:rsidP="003B7336">
      <w:pPr>
        <w:pStyle w:val="COMParaDecision"/>
        <w:numPr>
          <w:ilvl w:val="0"/>
          <w:numId w:val="6"/>
        </w:numPr>
        <w:ind w:left="1134" w:hanging="567"/>
      </w:pPr>
      <w:r w:rsidRPr="00127F14">
        <w:rPr>
          <w:u w:val="single"/>
        </w:rPr>
        <w:t>Prend note</w:t>
      </w:r>
      <w:r w:rsidRPr="00127F14">
        <w:t xml:space="preserve"> que le cadre global de résultats devra s</w:t>
      </w:r>
      <w:r w:rsidR="005B64FB">
        <w:t>’</w:t>
      </w:r>
      <w:r w:rsidRPr="00127F14">
        <w:t>accompagner d</w:t>
      </w:r>
      <w:r w:rsidR="005B64FB">
        <w:t>’</w:t>
      </w:r>
      <w:r w:rsidRPr="00127F14">
        <w:t xml:space="preserve">une révision du formulaire ICH-10 pour la soumission des rapports périodiques et </w:t>
      </w:r>
      <w:r w:rsidRPr="00127F14">
        <w:rPr>
          <w:u w:val="single"/>
        </w:rPr>
        <w:t>demande</w:t>
      </w:r>
      <w:r w:rsidRPr="00127F14">
        <w:t xml:space="preserve"> au Secrétariat de le réviser en conséquence ;</w:t>
      </w:r>
    </w:p>
    <w:p w14:paraId="1079A842" w14:textId="309B1CC5" w:rsidR="00957B46" w:rsidRPr="00127F14" w:rsidRDefault="003B7336" w:rsidP="00957B46">
      <w:pPr>
        <w:pStyle w:val="COMParaDecision"/>
        <w:numPr>
          <w:ilvl w:val="0"/>
          <w:numId w:val="6"/>
        </w:numPr>
        <w:ind w:left="1134" w:hanging="567"/>
      </w:pPr>
      <w:r w:rsidRPr="00127F14">
        <w:rPr>
          <w:u w:val="single"/>
        </w:rPr>
        <w:t>Encourage</w:t>
      </w:r>
      <w:r w:rsidRPr="0074123E">
        <w:t xml:space="preserve"> </w:t>
      </w:r>
      <w:r w:rsidRPr="00127F14">
        <w:t>le Secrétariat à continuer à élaborer des notes d</w:t>
      </w:r>
      <w:r w:rsidR="005B64FB">
        <w:t>’</w:t>
      </w:r>
      <w:r w:rsidRPr="00127F14">
        <w:t>orientation et d</w:t>
      </w:r>
      <w:r w:rsidR="005B64FB">
        <w:t>’</w:t>
      </w:r>
      <w:r w:rsidRPr="00127F14">
        <w:t>autres supports d</w:t>
      </w:r>
      <w:r w:rsidR="005B64FB">
        <w:t>’</w:t>
      </w:r>
      <w:r w:rsidRPr="00127F14">
        <w:t>information pour aider les États parties et les autres acteurs à mettre en œuvre le cadre global de résultats, et en particulier à définir des cibles et des bases de départ au niveau national ;</w:t>
      </w:r>
    </w:p>
    <w:p w14:paraId="43F7A28C" w14:textId="1F10B795" w:rsidR="00957B46" w:rsidRPr="00127F14" w:rsidRDefault="00957B46" w:rsidP="00957B46">
      <w:pPr>
        <w:pStyle w:val="COMParaDecision"/>
        <w:numPr>
          <w:ilvl w:val="0"/>
          <w:numId w:val="6"/>
        </w:numPr>
        <w:ind w:left="1134" w:hanging="567"/>
      </w:pPr>
      <w:r w:rsidRPr="00127F14">
        <w:rPr>
          <w:u w:val="single"/>
        </w:rPr>
        <w:t>Encourage également</w:t>
      </w:r>
      <w:r w:rsidRPr="00127F14">
        <w:t xml:space="preserve"> le Secrétariat à définir des cibles et, si possible, des bases de départ provisoires pour la mise en œuvre du cadre global de résultats au niveau mondial ;</w:t>
      </w:r>
    </w:p>
    <w:p w14:paraId="0441EE85" w14:textId="77BDAF50" w:rsidR="002367BC" w:rsidRPr="00127F14" w:rsidRDefault="00B84391" w:rsidP="002F2EEB">
      <w:pPr>
        <w:pStyle w:val="COMParaDecision"/>
        <w:numPr>
          <w:ilvl w:val="0"/>
          <w:numId w:val="6"/>
        </w:numPr>
        <w:ind w:left="1134" w:hanging="567"/>
      </w:pPr>
      <w:r w:rsidRPr="00127F14">
        <w:rPr>
          <w:u w:val="single"/>
        </w:rPr>
        <w:t>Invite</w:t>
      </w:r>
      <w:r w:rsidRPr="00127F14">
        <w:t xml:space="preserve"> le Secrétariat à élaborer une approche axée sur le renforcement des capacités proposant des supports de formation pour la soumission des rapports périodiques qui seront alignés au cadre global des résultats et, en fonction de la disponibilité de fonds extrabudgétaires, à planifier et à mettre en œuvre des activités de renforcement des capacités pour les États parties et les autres acteurs, dans le contexte du programme </w:t>
      </w:r>
      <w:r w:rsidRPr="00127F14">
        <w:lastRenderedPageBreak/>
        <w:t>global de renforcement des capacités existant, afin de les soutenir dans la mise en œuvre du cadre global de résultats ainsi que dans le processus de soumission des rapports périodiques ;</w:t>
      </w:r>
    </w:p>
    <w:p w14:paraId="203C3C06" w14:textId="0F2936D8" w:rsidR="003F41BF" w:rsidRPr="00127F14" w:rsidRDefault="00B84391" w:rsidP="009F1C35">
      <w:pPr>
        <w:pStyle w:val="COMParaDecision"/>
        <w:numPr>
          <w:ilvl w:val="0"/>
          <w:numId w:val="6"/>
        </w:numPr>
        <w:ind w:left="1134" w:hanging="567"/>
      </w:pPr>
      <w:r w:rsidRPr="00127F14">
        <w:rPr>
          <w:u w:val="single"/>
        </w:rPr>
        <w:t>Invite aussi</w:t>
      </w:r>
      <w:r w:rsidRPr="00127F14">
        <w:t xml:space="preserve"> les États parties à verser des contributions volontaires supplémentaires au Fonds du patrimoine culturel immatériel pour soutenir la mise en œuvre de ces activités de renforcement des capacités.</w:t>
      </w:r>
    </w:p>
    <w:p w14:paraId="2346B428" w14:textId="5B5795F5" w:rsidR="003F41BF" w:rsidRPr="00127F14" w:rsidRDefault="003F41BF" w:rsidP="003F41BF">
      <w:pPr>
        <w:pStyle w:val="COMParaDecision"/>
        <w:numPr>
          <w:ilvl w:val="0"/>
          <w:numId w:val="0"/>
        </w:numPr>
        <w:ind w:left="1134"/>
      </w:pPr>
    </w:p>
    <w:p w14:paraId="6D9806A8" w14:textId="77777777" w:rsidR="003F41BF" w:rsidRPr="00127F14" w:rsidRDefault="003F41BF" w:rsidP="003F41BF">
      <w:pPr>
        <w:pStyle w:val="COMParaDecision"/>
        <w:numPr>
          <w:ilvl w:val="0"/>
          <w:numId w:val="0"/>
        </w:numPr>
        <w:ind w:left="927" w:hanging="360"/>
        <w:sectPr w:rsidR="003F41BF" w:rsidRPr="00127F14" w:rsidSect="00D87B5A">
          <w:headerReference w:type="even" r:id="rId23"/>
          <w:headerReference w:type="default" r:id="rId24"/>
          <w:headerReference w:type="first" r:id="rId25"/>
          <w:footnotePr>
            <w:numRestart w:val="eachSect"/>
          </w:footnotePr>
          <w:pgSz w:w="11906" w:h="16838" w:code="9"/>
          <w:pgMar w:top="1418" w:right="1134" w:bottom="1134" w:left="1134" w:header="397" w:footer="284" w:gutter="0"/>
          <w:cols w:space="708"/>
          <w:titlePg/>
          <w:docGrid w:linePitch="360"/>
        </w:sectPr>
      </w:pPr>
    </w:p>
    <w:p w14:paraId="12D2FDD1" w14:textId="70A9069C" w:rsidR="00EB1E53" w:rsidRPr="005B64FB" w:rsidRDefault="00EB1E53" w:rsidP="00EB1E53">
      <w:pPr>
        <w:jc w:val="center"/>
        <w:rPr>
          <w:rFonts w:ascii="Arial" w:hAnsi="Arial" w:cs="Arial"/>
          <w:b/>
          <w:sz w:val="20"/>
          <w:szCs w:val="20"/>
          <w:u w:val="single"/>
        </w:rPr>
      </w:pPr>
      <w:r w:rsidRPr="005B64FB">
        <w:rPr>
          <w:rFonts w:ascii="Arial" w:hAnsi="Arial"/>
          <w:b/>
          <w:sz w:val="20"/>
          <w:szCs w:val="20"/>
          <w:u w:val="single"/>
        </w:rPr>
        <w:lastRenderedPageBreak/>
        <w:t>ANNEX</w:t>
      </w:r>
      <w:r w:rsidR="005B64FB">
        <w:rPr>
          <w:rFonts w:ascii="Arial" w:hAnsi="Arial"/>
          <w:b/>
          <w:sz w:val="20"/>
          <w:szCs w:val="20"/>
          <w:u w:val="single"/>
        </w:rPr>
        <w:t>E</w:t>
      </w:r>
    </w:p>
    <w:p w14:paraId="393AC3FC" w14:textId="77777777" w:rsidR="00A47AF6" w:rsidRPr="00D87CA1" w:rsidRDefault="00A47AF6" w:rsidP="00A47AF6">
      <w:pPr>
        <w:spacing w:after="360"/>
        <w:jc w:val="center"/>
        <w:rPr>
          <w:rFonts w:ascii="Arial" w:hAnsi="Arial" w:cs="Arial"/>
          <w:b/>
          <w:sz w:val="20"/>
          <w:szCs w:val="20"/>
        </w:rPr>
      </w:pPr>
      <w:r w:rsidRPr="00EC2307">
        <w:rPr>
          <w:rFonts w:ascii="Arial" w:hAnsi="Arial"/>
          <w:b/>
          <w:sz w:val="20"/>
          <w:szCs w:val="20"/>
        </w:rPr>
        <w:t>Projet de cadre global de résultats</w:t>
      </w:r>
    </w:p>
    <w:p w14:paraId="1E7D7882" w14:textId="77777777" w:rsidR="00A47AF6" w:rsidRPr="00EC2307" w:rsidRDefault="00A47AF6" w:rsidP="00A47AF6">
      <w:pPr>
        <w:rPr>
          <w:rFonts w:ascii="Arial" w:hAnsi="Arial" w:cs="Arial"/>
          <w:b/>
          <w:smallCaps/>
          <w:sz w:val="20"/>
          <w:szCs w:val="20"/>
        </w:rPr>
      </w:pPr>
      <w:r w:rsidRPr="00EC2307">
        <w:rPr>
          <w:rFonts w:ascii="Arial" w:hAnsi="Arial"/>
          <w:b/>
          <w:smallCaps/>
          <w:sz w:val="20"/>
          <w:szCs w:val="20"/>
        </w:rPr>
        <w:t>Tableau 1 : Cadre de haut niveau avec des indicateurs abrégés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570"/>
        <w:gridCol w:w="1581"/>
        <w:gridCol w:w="76"/>
        <w:gridCol w:w="1657"/>
        <w:gridCol w:w="1605"/>
        <w:gridCol w:w="52"/>
        <w:gridCol w:w="1657"/>
        <w:gridCol w:w="1631"/>
        <w:gridCol w:w="26"/>
        <w:gridCol w:w="1657"/>
        <w:gridCol w:w="1654"/>
      </w:tblGrid>
      <w:tr w:rsidR="00A47AF6" w:rsidRPr="00EC2307" w14:paraId="388C14B0" w14:textId="77777777" w:rsidTr="005C5ED5">
        <w:trPr>
          <w:cantSplit/>
        </w:trPr>
        <w:tc>
          <w:tcPr>
            <w:tcW w:w="479" w:type="pct"/>
            <w:shd w:val="clear" w:color="auto" w:fill="D9D9D9"/>
            <w:vAlign w:val="center"/>
          </w:tcPr>
          <w:p w14:paraId="4E84E486" w14:textId="77777777" w:rsidR="00A47AF6" w:rsidRPr="00EC2307" w:rsidRDefault="00A47AF6" w:rsidP="005C5ED5">
            <w:pPr>
              <w:spacing w:before="60" w:after="60"/>
              <w:rPr>
                <w:rFonts w:ascii="Arial Narrow" w:hAnsi="Arial Narrow" w:cs="Arial"/>
                <w:b/>
                <w:sz w:val="20"/>
                <w:szCs w:val="20"/>
              </w:rPr>
            </w:pPr>
            <w:r w:rsidRPr="00EC2307">
              <w:rPr>
                <w:rFonts w:ascii="Arial Narrow" w:hAnsi="Arial Narrow"/>
                <w:b/>
                <w:sz w:val="20"/>
                <w:szCs w:val="20"/>
              </w:rPr>
              <w:t>Impacts</w:t>
            </w:r>
          </w:p>
        </w:tc>
        <w:tc>
          <w:tcPr>
            <w:tcW w:w="4521" w:type="pct"/>
            <w:gridSpan w:val="11"/>
            <w:shd w:val="clear" w:color="auto" w:fill="auto"/>
            <w:vAlign w:val="center"/>
          </w:tcPr>
          <w:p w14:paraId="5B3FC597" w14:textId="77777777"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Le patrimoine culturel immatériel est sauvegardé par les communautés, groupes et individus qui en assurent la gestion de manière active et continue, contribuant ainsi au développement durable pour le bien-être, la dignité et la créativité humaines dans des sociétés pacifiques et inclusives.</w:t>
            </w:r>
          </w:p>
        </w:tc>
      </w:tr>
      <w:tr w:rsidR="00A47AF6" w:rsidRPr="00EC2307" w14:paraId="1B812F5E" w14:textId="77777777" w:rsidTr="005C5ED5">
        <w:trPr>
          <w:cantSplit/>
        </w:trPr>
        <w:tc>
          <w:tcPr>
            <w:tcW w:w="479" w:type="pct"/>
            <w:shd w:val="clear" w:color="auto" w:fill="D9D9D9"/>
            <w:vAlign w:val="center"/>
          </w:tcPr>
          <w:p w14:paraId="71026DD0" w14:textId="77777777" w:rsidR="00A47AF6" w:rsidRPr="00EC2307" w:rsidRDefault="00A47AF6" w:rsidP="005C5ED5">
            <w:pPr>
              <w:spacing w:before="60" w:after="60"/>
              <w:rPr>
                <w:rFonts w:ascii="Arial Narrow" w:hAnsi="Arial Narrow" w:cs="Arial"/>
                <w:b/>
                <w:sz w:val="20"/>
                <w:szCs w:val="20"/>
              </w:rPr>
            </w:pPr>
            <w:r w:rsidRPr="00EC2307">
              <w:rPr>
                <w:rFonts w:ascii="Arial Narrow" w:hAnsi="Arial Narrow"/>
                <w:b/>
                <w:sz w:val="20"/>
                <w:szCs w:val="20"/>
              </w:rPr>
              <w:t>Effets à long terme</w:t>
            </w:r>
          </w:p>
        </w:tc>
        <w:tc>
          <w:tcPr>
            <w:tcW w:w="1082" w:type="pct"/>
            <w:gridSpan w:val="2"/>
            <w:shd w:val="clear" w:color="auto" w:fill="auto"/>
            <w:vAlign w:val="center"/>
          </w:tcPr>
          <w:p w14:paraId="053BC884" w14:textId="77777777"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Pratique et transmission continues du patrimoine culturel immatériel garanties.</w:t>
            </w:r>
          </w:p>
        </w:tc>
        <w:tc>
          <w:tcPr>
            <w:tcW w:w="1146" w:type="pct"/>
            <w:gridSpan w:val="3"/>
            <w:shd w:val="clear" w:color="auto" w:fill="auto"/>
            <w:vAlign w:val="center"/>
          </w:tcPr>
          <w:p w14:paraId="61881E7B" w14:textId="77777777"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Diversité du patrimoine culturel immatériel respectée.</w:t>
            </w:r>
          </w:p>
        </w:tc>
        <w:tc>
          <w:tcPr>
            <w:tcW w:w="1147" w:type="pct"/>
            <w:gridSpan w:val="3"/>
            <w:shd w:val="clear" w:color="auto" w:fill="auto"/>
            <w:vAlign w:val="center"/>
          </w:tcPr>
          <w:p w14:paraId="3E064D2B" w14:textId="52ABA200"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Reconnaissance de l</w:t>
            </w:r>
            <w:r w:rsidR="005B64FB">
              <w:rPr>
                <w:rFonts w:ascii="Arial Narrow" w:hAnsi="Arial Narrow"/>
                <w:sz w:val="20"/>
                <w:szCs w:val="20"/>
              </w:rPr>
              <w:t>’</w:t>
            </w:r>
            <w:r w:rsidRPr="00EC2307">
              <w:rPr>
                <w:rFonts w:ascii="Arial Narrow" w:hAnsi="Arial Narrow"/>
                <w:sz w:val="20"/>
                <w:szCs w:val="20"/>
              </w:rPr>
              <w:t>importance du patrimoine culturel immatériel, sensibilisation à son sujet et à sa sauvegarde garanties.</w:t>
            </w:r>
          </w:p>
        </w:tc>
        <w:tc>
          <w:tcPr>
            <w:tcW w:w="1145" w:type="pct"/>
            <w:gridSpan w:val="3"/>
            <w:shd w:val="clear" w:color="auto" w:fill="auto"/>
            <w:vAlign w:val="center"/>
          </w:tcPr>
          <w:p w14:paraId="12CB4776" w14:textId="77777777"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Engagement et coopération internationale pour la sauvegarde renforcés entre toutes les parties prenantes à tous les niveaux.</w:t>
            </w:r>
          </w:p>
        </w:tc>
      </w:tr>
      <w:tr w:rsidR="00A47AF6" w:rsidRPr="00EC2307" w14:paraId="57FF7294" w14:textId="77777777" w:rsidTr="005C5ED5">
        <w:trPr>
          <w:cantSplit/>
        </w:trPr>
        <w:tc>
          <w:tcPr>
            <w:tcW w:w="479" w:type="pct"/>
            <w:shd w:val="clear" w:color="auto" w:fill="D9D9D9"/>
            <w:vAlign w:val="center"/>
          </w:tcPr>
          <w:p w14:paraId="4602F726" w14:textId="77777777" w:rsidR="00A47AF6" w:rsidRPr="00EC2307" w:rsidRDefault="00A47AF6" w:rsidP="005C5ED5">
            <w:pPr>
              <w:spacing w:before="60" w:after="60"/>
              <w:rPr>
                <w:rFonts w:ascii="Arial Narrow" w:hAnsi="Arial Narrow" w:cs="Arial"/>
                <w:b/>
                <w:sz w:val="20"/>
                <w:szCs w:val="20"/>
              </w:rPr>
            </w:pPr>
            <w:r w:rsidRPr="00EC2307">
              <w:rPr>
                <w:rFonts w:ascii="Arial Narrow" w:hAnsi="Arial Narrow"/>
                <w:b/>
                <w:sz w:val="20"/>
                <w:szCs w:val="20"/>
              </w:rPr>
              <w:t>Effets à moyen terme</w:t>
            </w:r>
          </w:p>
        </w:tc>
        <w:tc>
          <w:tcPr>
            <w:tcW w:w="4521" w:type="pct"/>
            <w:gridSpan w:val="11"/>
            <w:shd w:val="clear" w:color="auto" w:fill="auto"/>
            <w:vAlign w:val="center"/>
          </w:tcPr>
          <w:p w14:paraId="7AD04A03" w14:textId="77777777"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Relations effectives construites entre divers communautés, groupes et individus et autres parties prenantes pour sauvegarder le patrimoine culturel immatériel.</w:t>
            </w:r>
          </w:p>
          <w:p w14:paraId="23B453CC" w14:textId="77777777"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Élaboration et mise en œuvre dynamiques de mesures ou de plans de sauvegarde pour des éléments spécifiques du patrimoine culturel immatériel menées par divers communautés, groupes et individus.</w:t>
            </w:r>
          </w:p>
        </w:tc>
      </w:tr>
      <w:tr w:rsidR="00A47AF6" w:rsidRPr="00EC2307" w14:paraId="3C927C8D" w14:textId="77777777" w:rsidTr="005C5ED5">
        <w:trPr>
          <w:cantSplit/>
        </w:trPr>
        <w:tc>
          <w:tcPr>
            <w:tcW w:w="479" w:type="pct"/>
            <w:shd w:val="clear" w:color="auto" w:fill="D9D9D9"/>
            <w:vAlign w:val="center"/>
          </w:tcPr>
          <w:p w14:paraId="7DDB7DD1" w14:textId="77777777" w:rsidR="00A47AF6" w:rsidRPr="00EC2307" w:rsidRDefault="00A47AF6" w:rsidP="005C5ED5">
            <w:pPr>
              <w:spacing w:before="60" w:after="60"/>
              <w:rPr>
                <w:rFonts w:ascii="Arial Narrow" w:hAnsi="Arial Narrow" w:cs="Arial"/>
                <w:b/>
                <w:sz w:val="20"/>
                <w:szCs w:val="20"/>
              </w:rPr>
            </w:pPr>
            <w:r w:rsidRPr="00EC2307">
              <w:rPr>
                <w:rFonts w:ascii="Arial Narrow" w:hAnsi="Arial Narrow"/>
                <w:b/>
                <w:sz w:val="20"/>
                <w:szCs w:val="20"/>
              </w:rPr>
              <w:t>Effets à court terme</w:t>
            </w:r>
          </w:p>
        </w:tc>
        <w:tc>
          <w:tcPr>
            <w:tcW w:w="4521" w:type="pct"/>
            <w:gridSpan w:val="11"/>
            <w:shd w:val="clear" w:color="auto" w:fill="auto"/>
            <w:vAlign w:val="center"/>
          </w:tcPr>
          <w:p w14:paraId="6876A3E6" w14:textId="77777777"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Capacités améliorées de soutien à la sauvegarde du patrimoine culturel immatériel en général.</w:t>
            </w:r>
          </w:p>
          <w:p w14:paraId="2A7A9AD4" w14:textId="77777777"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Capacités améliorées de mise en œuvre de mesures ou de plans de sauvegarde pour des éléments spécifiques du patrimoine culturel immatériel.</w:t>
            </w:r>
          </w:p>
        </w:tc>
      </w:tr>
      <w:tr w:rsidR="00A47AF6" w:rsidRPr="00EC2307" w14:paraId="6A85FD66" w14:textId="77777777" w:rsidTr="005C5ED5">
        <w:trPr>
          <w:cantSplit/>
        </w:trPr>
        <w:tc>
          <w:tcPr>
            <w:tcW w:w="479" w:type="pct"/>
            <w:shd w:val="clear" w:color="auto" w:fill="D9D9D9"/>
            <w:vAlign w:val="center"/>
          </w:tcPr>
          <w:p w14:paraId="5AC0F647" w14:textId="77777777" w:rsidR="00A47AF6" w:rsidRPr="00EC2307" w:rsidRDefault="00A47AF6" w:rsidP="005C5ED5">
            <w:pPr>
              <w:spacing w:before="60" w:after="60"/>
              <w:rPr>
                <w:rFonts w:ascii="Arial Narrow" w:hAnsi="Arial Narrow" w:cs="Arial"/>
                <w:b/>
                <w:sz w:val="20"/>
                <w:szCs w:val="20"/>
              </w:rPr>
            </w:pPr>
            <w:r w:rsidRPr="00EC2307">
              <w:rPr>
                <w:rFonts w:ascii="Arial Narrow" w:hAnsi="Arial Narrow"/>
                <w:b/>
                <w:sz w:val="20"/>
                <w:szCs w:val="20"/>
              </w:rPr>
              <w:t>Thématiques</w:t>
            </w:r>
          </w:p>
        </w:tc>
        <w:tc>
          <w:tcPr>
            <w:tcW w:w="539" w:type="pct"/>
            <w:shd w:val="clear" w:color="auto" w:fill="auto"/>
            <w:vAlign w:val="center"/>
          </w:tcPr>
          <w:p w14:paraId="37B4DF74" w14:textId="77777777"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Capacités institutionnelles et humaines</w:t>
            </w:r>
            <w:r w:rsidRPr="0080591F">
              <w:rPr>
                <w:rFonts w:ascii="Arial Narrow" w:hAnsi="Arial Narrow"/>
                <w:sz w:val="20"/>
                <w:szCs w:val="20"/>
              </w:rPr>
              <w:t xml:space="preserve"> </w:t>
            </w:r>
          </w:p>
        </w:tc>
        <w:tc>
          <w:tcPr>
            <w:tcW w:w="569" w:type="pct"/>
            <w:gridSpan w:val="2"/>
            <w:shd w:val="clear" w:color="auto" w:fill="auto"/>
            <w:vAlign w:val="center"/>
          </w:tcPr>
          <w:p w14:paraId="30ED40EE" w14:textId="77777777" w:rsidR="00A47AF6" w:rsidRPr="00EC2307" w:rsidRDefault="00A47AF6" w:rsidP="005C5ED5">
            <w:pPr>
              <w:spacing w:before="60" w:after="60"/>
              <w:rPr>
                <w:rFonts w:ascii="Arial Narrow" w:hAnsi="Arial Narrow" w:cs="Arial"/>
                <w:sz w:val="20"/>
                <w:szCs w:val="20"/>
              </w:rPr>
            </w:pPr>
            <w:r w:rsidRPr="0080591F">
              <w:rPr>
                <w:rFonts w:ascii="Arial Narrow" w:hAnsi="Arial Narrow"/>
                <w:sz w:val="20"/>
                <w:szCs w:val="20"/>
              </w:rPr>
              <w:t>Transmission</w:t>
            </w:r>
            <w:r w:rsidRPr="00EC2307">
              <w:rPr>
                <w:rFonts w:ascii="Arial Narrow" w:hAnsi="Arial Narrow"/>
                <w:sz w:val="20"/>
                <w:szCs w:val="20"/>
              </w:rPr>
              <w:t xml:space="preserve"> et </w:t>
            </w:r>
            <w:r w:rsidRPr="0080591F">
              <w:rPr>
                <w:rFonts w:ascii="Arial Narrow" w:hAnsi="Arial Narrow"/>
                <w:sz w:val="20"/>
                <w:szCs w:val="20"/>
              </w:rPr>
              <w:t>éducation</w:t>
            </w:r>
            <w:r w:rsidRPr="00EC2307" w:rsidDel="00C67245">
              <w:rPr>
                <w:rFonts w:ascii="Arial Narrow" w:hAnsi="Arial Narrow"/>
                <w:sz w:val="20"/>
                <w:szCs w:val="20"/>
              </w:rPr>
              <w:t xml:space="preserve"> </w:t>
            </w:r>
          </w:p>
        </w:tc>
        <w:tc>
          <w:tcPr>
            <w:tcW w:w="569" w:type="pct"/>
            <w:shd w:val="clear" w:color="auto" w:fill="auto"/>
            <w:vAlign w:val="center"/>
          </w:tcPr>
          <w:p w14:paraId="18E0B17F" w14:textId="77777777"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Inventaire et recherche</w:t>
            </w:r>
          </w:p>
        </w:tc>
        <w:tc>
          <w:tcPr>
            <w:tcW w:w="569" w:type="pct"/>
            <w:gridSpan w:val="2"/>
            <w:shd w:val="clear" w:color="auto" w:fill="auto"/>
            <w:vAlign w:val="center"/>
          </w:tcPr>
          <w:p w14:paraId="7F06101A" w14:textId="77777777"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 xml:space="preserve">Politiques et </w:t>
            </w:r>
            <w:r w:rsidRPr="00EA4338">
              <w:rPr>
                <w:rFonts w:ascii="Arial Narrow" w:hAnsi="Arial Narrow"/>
                <w:sz w:val="20"/>
                <w:szCs w:val="20"/>
              </w:rPr>
              <w:t>mesures juridiques et administratives</w:t>
            </w:r>
          </w:p>
        </w:tc>
        <w:tc>
          <w:tcPr>
            <w:tcW w:w="569" w:type="pct"/>
            <w:shd w:val="clear" w:color="auto" w:fill="auto"/>
            <w:vAlign w:val="center"/>
          </w:tcPr>
          <w:p w14:paraId="26A4B3C7" w14:textId="77777777"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 xml:space="preserve">Rôle du patrimoine culturel immatériel </w:t>
            </w:r>
            <w:r w:rsidRPr="000C6865">
              <w:rPr>
                <w:rFonts w:ascii="Arial Narrow" w:hAnsi="Arial Narrow"/>
                <w:sz w:val="20"/>
                <w:szCs w:val="20"/>
              </w:rPr>
              <w:t>et de sa sauvegarde</w:t>
            </w:r>
            <w:r>
              <w:rPr>
                <w:rFonts w:ascii="Arial Narrow" w:hAnsi="Arial Narrow"/>
                <w:sz w:val="20"/>
                <w:szCs w:val="20"/>
              </w:rPr>
              <w:t xml:space="preserve"> </w:t>
            </w:r>
            <w:r w:rsidRPr="00EC2307">
              <w:rPr>
                <w:rFonts w:ascii="Arial Narrow" w:hAnsi="Arial Narrow"/>
                <w:sz w:val="20"/>
                <w:szCs w:val="20"/>
              </w:rPr>
              <w:t>dans la société</w:t>
            </w:r>
          </w:p>
        </w:tc>
        <w:tc>
          <w:tcPr>
            <w:tcW w:w="569" w:type="pct"/>
            <w:gridSpan w:val="2"/>
            <w:shd w:val="clear" w:color="auto" w:fill="auto"/>
            <w:vAlign w:val="center"/>
          </w:tcPr>
          <w:p w14:paraId="1791965D" w14:textId="77777777"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Sensibilisation</w:t>
            </w:r>
          </w:p>
        </w:tc>
        <w:tc>
          <w:tcPr>
            <w:tcW w:w="569" w:type="pct"/>
            <w:shd w:val="clear" w:color="auto" w:fill="auto"/>
            <w:vAlign w:val="center"/>
          </w:tcPr>
          <w:p w14:paraId="474222AF" w14:textId="53A97971"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 xml:space="preserve">Engagement </w:t>
            </w:r>
            <w:r w:rsidRPr="000C6865">
              <w:rPr>
                <w:rFonts w:ascii="Arial Narrow" w:hAnsi="Arial Narrow"/>
                <w:sz w:val="20"/>
                <w:szCs w:val="20"/>
              </w:rPr>
              <w:t>des</w:t>
            </w:r>
            <w:r w:rsidRPr="00EC2307">
              <w:rPr>
                <w:rFonts w:ascii="Arial Narrow" w:hAnsi="Arial Narrow"/>
                <w:sz w:val="20"/>
                <w:szCs w:val="20"/>
              </w:rPr>
              <w:t xml:space="preserve"> communautés, groupes et individus</w:t>
            </w:r>
            <w:r w:rsidRPr="000C6865">
              <w:rPr>
                <w:rFonts w:ascii="Arial Narrow" w:hAnsi="Arial Narrow"/>
                <w:sz w:val="20"/>
                <w:szCs w:val="20"/>
              </w:rPr>
              <w:t xml:space="preserve"> ainsi que </w:t>
            </w:r>
            <w:r>
              <w:rPr>
                <w:rFonts w:ascii="Arial Narrow" w:hAnsi="Arial Narrow"/>
                <w:sz w:val="20"/>
                <w:szCs w:val="20"/>
              </w:rPr>
              <w:t>d</w:t>
            </w:r>
            <w:r w:rsidR="005B64FB">
              <w:rPr>
                <w:rFonts w:ascii="Arial Narrow" w:hAnsi="Arial Narrow"/>
                <w:sz w:val="20"/>
                <w:szCs w:val="20"/>
              </w:rPr>
              <w:t>’</w:t>
            </w:r>
            <w:r>
              <w:rPr>
                <w:rFonts w:ascii="Arial Narrow" w:hAnsi="Arial Narrow"/>
                <w:sz w:val="20"/>
                <w:szCs w:val="20"/>
              </w:rPr>
              <w:t>autres parties prenantes</w:t>
            </w:r>
          </w:p>
        </w:tc>
        <w:tc>
          <w:tcPr>
            <w:tcW w:w="569" w:type="pct"/>
            <w:shd w:val="clear" w:color="auto" w:fill="auto"/>
            <w:vAlign w:val="center"/>
          </w:tcPr>
          <w:p w14:paraId="4F39768E" w14:textId="77777777" w:rsidR="00A47AF6" w:rsidRPr="00EC2307" w:rsidRDefault="00A47AF6" w:rsidP="005C5ED5">
            <w:pPr>
              <w:spacing w:before="60" w:after="60"/>
              <w:rPr>
                <w:rFonts w:ascii="Arial Narrow" w:hAnsi="Arial Narrow" w:cs="Arial"/>
                <w:sz w:val="20"/>
                <w:szCs w:val="20"/>
              </w:rPr>
            </w:pPr>
            <w:r w:rsidRPr="00EC2307">
              <w:rPr>
                <w:rFonts w:ascii="Arial Narrow" w:hAnsi="Arial Narrow"/>
                <w:sz w:val="20"/>
                <w:szCs w:val="20"/>
              </w:rPr>
              <w:t>Engagement international</w:t>
            </w:r>
          </w:p>
        </w:tc>
      </w:tr>
      <w:tr w:rsidR="00A47AF6" w:rsidRPr="00EC2307" w14:paraId="44D97BB9" w14:textId="77777777" w:rsidTr="005C5ED5">
        <w:tc>
          <w:tcPr>
            <w:tcW w:w="479" w:type="pct"/>
            <w:shd w:val="clear" w:color="auto" w:fill="D9D9D9"/>
            <w:vAlign w:val="center"/>
          </w:tcPr>
          <w:p w14:paraId="31572DC3" w14:textId="77777777" w:rsidR="00A47AF6" w:rsidRPr="00EC2307" w:rsidRDefault="00A47AF6" w:rsidP="005C5ED5">
            <w:pPr>
              <w:spacing w:before="60" w:after="60"/>
              <w:rPr>
                <w:rFonts w:ascii="Arial Narrow" w:hAnsi="Arial Narrow" w:cs="Arial"/>
                <w:b/>
                <w:sz w:val="18"/>
                <w:szCs w:val="18"/>
              </w:rPr>
            </w:pPr>
            <w:r w:rsidRPr="00EC2307">
              <w:rPr>
                <w:rFonts w:ascii="Arial Narrow" w:hAnsi="Arial Narrow"/>
                <w:b/>
                <w:sz w:val="18"/>
                <w:szCs w:val="18"/>
              </w:rPr>
              <w:t>Indicateurs de base (résumé)</w:t>
            </w:r>
          </w:p>
        </w:tc>
        <w:tc>
          <w:tcPr>
            <w:tcW w:w="539" w:type="pct"/>
            <w:shd w:val="clear" w:color="auto" w:fill="auto"/>
          </w:tcPr>
          <w:p w14:paraId="78836768" w14:textId="77777777"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Les organismes compétents soutiennent la pratique et la transmission</w:t>
            </w:r>
          </w:p>
          <w:p w14:paraId="6422EB41" w14:textId="77777777"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Des programmes soutiennent le renforcement des capacités humaines pour la sauvegarde</w:t>
            </w:r>
          </w:p>
          <w:p w14:paraId="2AA7FACD" w14:textId="77777777"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Pr>
                <w:rFonts w:ascii="Arial Narrow" w:hAnsi="Arial Narrow"/>
                <w:sz w:val="18"/>
                <w:szCs w:val="18"/>
              </w:rPr>
              <w:lastRenderedPageBreak/>
              <w:t>L</w:t>
            </w:r>
            <w:r w:rsidRPr="00D66003">
              <w:rPr>
                <w:rFonts w:ascii="Arial Narrow" w:hAnsi="Arial Narrow"/>
                <w:sz w:val="18"/>
                <w:szCs w:val="18"/>
              </w:rPr>
              <w:t>a formation est assurée par ou cible les communautés</w:t>
            </w:r>
            <w:r>
              <w:rPr>
                <w:rFonts w:ascii="Arial Narrow" w:hAnsi="Arial Narrow"/>
                <w:sz w:val="18"/>
                <w:szCs w:val="18"/>
              </w:rPr>
              <w:t xml:space="preserve"> </w:t>
            </w:r>
            <w:r w:rsidRPr="0045356E">
              <w:rPr>
                <w:rFonts w:ascii="Arial Narrow" w:hAnsi="Arial Narrow"/>
                <w:sz w:val="18"/>
                <w:szCs w:val="18"/>
              </w:rPr>
              <w:t>et</w:t>
            </w:r>
            <w:r w:rsidRPr="00D66003">
              <w:rPr>
                <w:rFonts w:ascii="Arial Narrow" w:hAnsi="Arial Narrow"/>
                <w:sz w:val="18"/>
                <w:szCs w:val="18"/>
              </w:rPr>
              <w:t xml:space="preserve"> ceux travaillant dans les domaines de la culture et du patrimoine</w:t>
            </w:r>
          </w:p>
        </w:tc>
        <w:tc>
          <w:tcPr>
            <w:tcW w:w="569" w:type="pct"/>
            <w:gridSpan w:val="2"/>
            <w:shd w:val="clear" w:color="auto" w:fill="auto"/>
          </w:tcPr>
          <w:p w14:paraId="094D4A51" w14:textId="7726B936"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lastRenderedPageBreak/>
              <w:t>L</w:t>
            </w:r>
            <w:r w:rsidR="005B64FB">
              <w:rPr>
                <w:rFonts w:ascii="Arial Narrow" w:hAnsi="Arial Narrow"/>
                <w:sz w:val="18"/>
                <w:szCs w:val="18"/>
              </w:rPr>
              <w:t>’</w:t>
            </w:r>
            <w:r w:rsidRPr="00EC2307">
              <w:rPr>
                <w:rFonts w:ascii="Arial Narrow" w:hAnsi="Arial Narrow"/>
                <w:sz w:val="18"/>
                <w:szCs w:val="18"/>
              </w:rPr>
              <w:t>éducation, formelle et non formelle, renforce la transmission et favorise le respect</w:t>
            </w:r>
          </w:p>
          <w:p w14:paraId="7528AF9C" w14:textId="3CFCD451"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Le PCI intégré à l</w:t>
            </w:r>
            <w:r w:rsidR="005B64FB">
              <w:rPr>
                <w:rFonts w:ascii="Arial Narrow" w:hAnsi="Arial Narrow"/>
                <w:sz w:val="18"/>
                <w:szCs w:val="18"/>
              </w:rPr>
              <w:t>’</w:t>
            </w:r>
            <w:r w:rsidRPr="00EC2307">
              <w:rPr>
                <w:rFonts w:ascii="Arial Narrow" w:hAnsi="Arial Narrow"/>
                <w:sz w:val="18"/>
                <w:szCs w:val="18"/>
              </w:rPr>
              <w:t>enseignement primaire et secondaire</w:t>
            </w:r>
          </w:p>
          <w:p w14:paraId="34E5D7A1" w14:textId="41DE48CE" w:rsidR="00A47AF6" w:rsidRPr="00C67245"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L</w:t>
            </w:r>
            <w:r w:rsidR="005B64FB">
              <w:rPr>
                <w:rFonts w:ascii="Arial Narrow" w:hAnsi="Arial Narrow"/>
                <w:sz w:val="18"/>
                <w:szCs w:val="18"/>
              </w:rPr>
              <w:t>’</w:t>
            </w:r>
            <w:r w:rsidRPr="00EC2307">
              <w:rPr>
                <w:rFonts w:ascii="Arial Narrow" w:hAnsi="Arial Narrow"/>
                <w:sz w:val="18"/>
                <w:szCs w:val="18"/>
              </w:rPr>
              <w:t>éducation postsecondaire soutient la sauvegarde et l</w:t>
            </w:r>
            <w:r w:rsidR="005B64FB">
              <w:rPr>
                <w:rFonts w:ascii="Arial Narrow" w:hAnsi="Arial Narrow"/>
                <w:sz w:val="18"/>
                <w:szCs w:val="18"/>
              </w:rPr>
              <w:t>’</w:t>
            </w:r>
            <w:r w:rsidRPr="00EC2307">
              <w:rPr>
                <w:rFonts w:ascii="Arial Narrow" w:hAnsi="Arial Narrow"/>
                <w:sz w:val="18"/>
                <w:szCs w:val="18"/>
              </w:rPr>
              <w:t>étude du PCI</w:t>
            </w:r>
          </w:p>
        </w:tc>
        <w:tc>
          <w:tcPr>
            <w:tcW w:w="569" w:type="pct"/>
            <w:shd w:val="clear" w:color="auto" w:fill="auto"/>
          </w:tcPr>
          <w:p w14:paraId="708DFAF3" w14:textId="77777777"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Les inventaires reflètent la diversité du PCI et contribuent à sa sauvegarde</w:t>
            </w:r>
          </w:p>
          <w:p w14:paraId="11E136B7" w14:textId="00AB4E2C"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Le processus d</w:t>
            </w:r>
            <w:r w:rsidR="005B64FB">
              <w:rPr>
                <w:rFonts w:ascii="Arial Narrow" w:hAnsi="Arial Narrow"/>
                <w:sz w:val="18"/>
                <w:szCs w:val="18"/>
              </w:rPr>
              <w:t>’</w:t>
            </w:r>
            <w:r w:rsidRPr="00EC2307">
              <w:rPr>
                <w:rFonts w:ascii="Arial Narrow" w:hAnsi="Arial Narrow"/>
                <w:sz w:val="18"/>
                <w:szCs w:val="18"/>
              </w:rPr>
              <w:t>inventaire est inclusif, respecte la diversité et soutient la sauvegarde des communautés et des groupes</w:t>
            </w:r>
          </w:p>
          <w:p w14:paraId="07FCB678" w14:textId="77777777"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lastRenderedPageBreak/>
              <w:t>La recherche et la documentation contribuent à la sauvegarde</w:t>
            </w:r>
          </w:p>
          <w:p w14:paraId="04F0BE9D" w14:textId="77777777"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Les résultats de recherche sont accessibles et utilisés</w:t>
            </w:r>
          </w:p>
        </w:tc>
        <w:tc>
          <w:tcPr>
            <w:tcW w:w="569" w:type="pct"/>
            <w:gridSpan w:val="2"/>
            <w:shd w:val="clear" w:color="auto" w:fill="auto"/>
          </w:tcPr>
          <w:p w14:paraId="22CD362C" w14:textId="77777777"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lastRenderedPageBreak/>
              <w:t xml:space="preserve">Les politiques et </w:t>
            </w:r>
            <w:r w:rsidRPr="00EA4338">
              <w:rPr>
                <w:rFonts w:ascii="Arial Narrow" w:hAnsi="Arial Narrow"/>
                <w:sz w:val="18"/>
                <w:szCs w:val="18"/>
              </w:rPr>
              <w:t>les mesures juridiques et administratives</w:t>
            </w:r>
            <w:r w:rsidRPr="00EC2307">
              <w:rPr>
                <w:rFonts w:ascii="Arial Narrow" w:hAnsi="Arial Narrow"/>
                <w:sz w:val="18"/>
                <w:szCs w:val="18"/>
              </w:rPr>
              <w:t xml:space="preserve"> culturelles reflètent la diversité du PCI et sont mises en œuvre</w:t>
            </w:r>
          </w:p>
          <w:p w14:paraId="35A4051C" w14:textId="77777777"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lastRenderedPageBreak/>
              <w:t xml:space="preserve">Les politiques et </w:t>
            </w:r>
            <w:r w:rsidRPr="00EA4338">
              <w:rPr>
                <w:rFonts w:ascii="Arial Narrow" w:hAnsi="Arial Narrow"/>
                <w:sz w:val="18"/>
                <w:szCs w:val="18"/>
              </w:rPr>
              <w:t>les mesures juridiques et administratives</w:t>
            </w:r>
            <w:r w:rsidRPr="00EC2307">
              <w:rPr>
                <w:rFonts w:ascii="Arial Narrow" w:hAnsi="Arial Narrow"/>
                <w:sz w:val="18"/>
                <w:szCs w:val="18"/>
              </w:rPr>
              <w:t xml:space="preserve"> éducatives reflètent la diversité du PCI et sont mises en œuvre</w:t>
            </w:r>
          </w:p>
          <w:p w14:paraId="7064D5D1" w14:textId="7F44DE71"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 xml:space="preserve">Les politiques et </w:t>
            </w:r>
            <w:r w:rsidRPr="00EA4338">
              <w:rPr>
                <w:rFonts w:ascii="Arial Narrow" w:hAnsi="Arial Narrow"/>
                <w:sz w:val="18"/>
                <w:szCs w:val="18"/>
              </w:rPr>
              <w:t>les mesures juridiques et administratives</w:t>
            </w:r>
            <w:r w:rsidRPr="00EC2307">
              <w:rPr>
                <w:rFonts w:ascii="Arial Narrow" w:hAnsi="Arial Narrow"/>
                <w:sz w:val="18"/>
                <w:szCs w:val="18"/>
              </w:rPr>
              <w:t xml:space="preserve"> dans des domaines autres que la culture et l</w:t>
            </w:r>
            <w:r w:rsidR="005B64FB">
              <w:rPr>
                <w:rFonts w:ascii="Arial Narrow" w:hAnsi="Arial Narrow"/>
                <w:sz w:val="18"/>
                <w:szCs w:val="18"/>
              </w:rPr>
              <w:t>’</w:t>
            </w:r>
            <w:r w:rsidRPr="00EC2307">
              <w:rPr>
                <w:rFonts w:ascii="Arial Narrow" w:hAnsi="Arial Narrow"/>
                <w:sz w:val="18"/>
                <w:szCs w:val="18"/>
              </w:rPr>
              <w:t>éducation reflètent la diversité du PCI et sont mises en œuvre</w:t>
            </w:r>
          </w:p>
          <w:p w14:paraId="676B9A2D" w14:textId="77777777"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 xml:space="preserve">Les politiques et </w:t>
            </w:r>
            <w:r w:rsidRPr="00EA4338">
              <w:rPr>
                <w:rFonts w:ascii="Arial Narrow" w:hAnsi="Arial Narrow"/>
                <w:sz w:val="18"/>
                <w:szCs w:val="18"/>
              </w:rPr>
              <w:t>les mesures juridiques et administratives</w:t>
            </w:r>
            <w:r w:rsidRPr="00EC2307">
              <w:rPr>
                <w:rFonts w:ascii="Arial Narrow" w:hAnsi="Arial Narrow"/>
                <w:sz w:val="18"/>
                <w:szCs w:val="18"/>
              </w:rPr>
              <w:t xml:space="preserve"> respectent les droits, pratiques et expressions coutumiers</w:t>
            </w:r>
          </w:p>
        </w:tc>
        <w:tc>
          <w:tcPr>
            <w:tcW w:w="569" w:type="pct"/>
            <w:shd w:val="clear" w:color="auto" w:fill="auto"/>
          </w:tcPr>
          <w:p w14:paraId="260695E1" w14:textId="4DA22DC6"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lastRenderedPageBreak/>
              <w:t>L</w:t>
            </w:r>
            <w:r w:rsidR="005B64FB">
              <w:rPr>
                <w:rFonts w:ascii="Arial Narrow" w:hAnsi="Arial Narrow"/>
                <w:sz w:val="18"/>
                <w:szCs w:val="18"/>
              </w:rPr>
              <w:t>’</w:t>
            </w:r>
            <w:r w:rsidRPr="00EC2307">
              <w:rPr>
                <w:rFonts w:ascii="Arial Narrow" w:hAnsi="Arial Narrow"/>
                <w:sz w:val="18"/>
                <w:szCs w:val="18"/>
              </w:rPr>
              <w:t>importance du PCI dans la société est largement reconnue</w:t>
            </w:r>
          </w:p>
          <w:p w14:paraId="65B090EF" w14:textId="0C089BD2"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Des plans et des programmes inclusifs reconnaissent l</w:t>
            </w:r>
            <w:r w:rsidR="005B64FB">
              <w:rPr>
                <w:rFonts w:ascii="Arial Narrow" w:hAnsi="Arial Narrow"/>
                <w:sz w:val="18"/>
                <w:szCs w:val="18"/>
              </w:rPr>
              <w:t>’</w:t>
            </w:r>
            <w:r w:rsidRPr="00EC2307">
              <w:rPr>
                <w:rFonts w:ascii="Arial Narrow" w:hAnsi="Arial Narrow"/>
                <w:sz w:val="18"/>
                <w:szCs w:val="18"/>
              </w:rPr>
              <w:t xml:space="preserve">importance de la sauvegarde du </w:t>
            </w:r>
            <w:r w:rsidRPr="0045356E">
              <w:rPr>
                <w:rFonts w:ascii="Arial Narrow" w:hAnsi="Arial Narrow"/>
                <w:sz w:val="18"/>
                <w:szCs w:val="18"/>
              </w:rPr>
              <w:t>PCI et favorisent le respect de soi et le respect mutuel</w:t>
            </w:r>
          </w:p>
        </w:tc>
        <w:tc>
          <w:tcPr>
            <w:tcW w:w="569" w:type="pct"/>
            <w:gridSpan w:val="2"/>
            <w:shd w:val="clear" w:color="auto" w:fill="auto"/>
          </w:tcPr>
          <w:p w14:paraId="41B50381" w14:textId="77777777"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Les communautés, groupes et individus participent largement à la sensibilisation</w:t>
            </w:r>
          </w:p>
          <w:p w14:paraId="58544E2B" w14:textId="77777777"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Les médias sont impliqués dans la sensibilisation</w:t>
            </w:r>
          </w:p>
          <w:p w14:paraId="3547AD73" w14:textId="79ABEFAD"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Des mesures d</w:t>
            </w:r>
            <w:r w:rsidR="005B64FB">
              <w:rPr>
                <w:rFonts w:ascii="Arial Narrow" w:hAnsi="Arial Narrow"/>
                <w:sz w:val="18"/>
                <w:szCs w:val="18"/>
              </w:rPr>
              <w:t>’</w:t>
            </w:r>
            <w:r w:rsidRPr="00EC2307">
              <w:rPr>
                <w:rFonts w:ascii="Arial Narrow" w:hAnsi="Arial Narrow"/>
                <w:sz w:val="18"/>
                <w:szCs w:val="18"/>
              </w:rPr>
              <w:t>information du public servent à sensibiliser</w:t>
            </w:r>
          </w:p>
          <w:p w14:paraId="19D5E8D9" w14:textId="77777777"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lastRenderedPageBreak/>
              <w:t>Les principes éthiques sont respectés lors de la sensibilisation</w:t>
            </w:r>
          </w:p>
        </w:tc>
        <w:tc>
          <w:tcPr>
            <w:tcW w:w="569" w:type="pct"/>
            <w:shd w:val="clear" w:color="auto" w:fill="auto"/>
          </w:tcPr>
          <w:p w14:paraId="3E529F07" w14:textId="05A7BD82"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lastRenderedPageBreak/>
              <w:t>L</w:t>
            </w:r>
            <w:r w:rsidR="005B64FB">
              <w:rPr>
                <w:rFonts w:ascii="Arial Narrow" w:hAnsi="Arial Narrow"/>
                <w:sz w:val="18"/>
                <w:szCs w:val="18"/>
              </w:rPr>
              <w:t>’</w:t>
            </w:r>
            <w:r w:rsidRPr="00EC2307">
              <w:rPr>
                <w:rFonts w:ascii="Arial Narrow" w:hAnsi="Arial Narrow"/>
                <w:sz w:val="18"/>
                <w:szCs w:val="18"/>
              </w:rPr>
              <w:t>engagement envers la sauvegarde du PCI est renforcé chez les parties prenantes</w:t>
            </w:r>
          </w:p>
          <w:p w14:paraId="02ABB35A" w14:textId="77777777" w:rsidR="00A47AF6" w:rsidRPr="00217EB8"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La société civile contribue au suivi de la sauvegarde</w:t>
            </w:r>
          </w:p>
        </w:tc>
        <w:tc>
          <w:tcPr>
            <w:tcW w:w="569" w:type="pct"/>
            <w:shd w:val="clear" w:color="auto" w:fill="auto"/>
          </w:tcPr>
          <w:p w14:paraId="100C3514" w14:textId="77777777" w:rsidR="00A47AF6"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Le Comité implique des ONG, des organismes publics et privés et des particuliers</w:t>
            </w:r>
            <w:r w:rsidRPr="00EC2307">
              <w:rPr>
                <w:rStyle w:val="FootnoteReference"/>
                <w:rFonts w:ascii="Arial Narrow" w:hAnsi="Arial Narrow"/>
                <w:sz w:val="18"/>
                <w:szCs w:val="18"/>
                <w:lang w:val="en-GB"/>
              </w:rPr>
              <w:footnoteReference w:id="5"/>
            </w:r>
          </w:p>
          <w:p w14:paraId="3F5CE848" w14:textId="77777777"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Les États parties coopèrent en matière de sauvegarde</w:t>
            </w:r>
          </w:p>
          <w:p w14:paraId="6A47DC7C" w14:textId="07648081"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lastRenderedPageBreak/>
              <w:t>Les États parties s</w:t>
            </w:r>
            <w:r w:rsidR="005B64FB">
              <w:rPr>
                <w:rFonts w:ascii="Arial Narrow" w:hAnsi="Arial Narrow"/>
                <w:sz w:val="18"/>
                <w:szCs w:val="18"/>
              </w:rPr>
              <w:t>’</w:t>
            </w:r>
            <w:r w:rsidRPr="00EC2307">
              <w:rPr>
                <w:rFonts w:ascii="Arial Narrow" w:hAnsi="Arial Narrow"/>
                <w:sz w:val="18"/>
                <w:szCs w:val="18"/>
              </w:rPr>
              <w:t>engagent dans des réseaux internationaux et dans la coopération institutionnelle</w:t>
            </w:r>
          </w:p>
          <w:p w14:paraId="61E26214" w14:textId="39748AD6" w:rsidR="00A47AF6" w:rsidRPr="00EC2307" w:rsidRDefault="00A47AF6" w:rsidP="00A47AF6">
            <w:pPr>
              <w:pStyle w:val="ListParagraph"/>
              <w:keepLines/>
              <w:numPr>
                <w:ilvl w:val="0"/>
                <w:numId w:val="14"/>
              </w:numPr>
              <w:spacing w:before="60" w:after="60"/>
              <w:ind w:left="227" w:hanging="284"/>
              <w:jc w:val="left"/>
              <w:rPr>
                <w:rFonts w:ascii="Arial Narrow" w:hAnsi="Arial Narrow"/>
                <w:sz w:val="18"/>
                <w:szCs w:val="18"/>
              </w:rPr>
            </w:pPr>
            <w:r w:rsidRPr="00EC2307">
              <w:rPr>
                <w:rFonts w:ascii="Arial Narrow" w:hAnsi="Arial Narrow"/>
                <w:sz w:val="18"/>
                <w:szCs w:val="18"/>
              </w:rPr>
              <w:t>Le Fonds du PCI soutient la sauvegarde et l</w:t>
            </w:r>
            <w:r w:rsidR="005B64FB">
              <w:rPr>
                <w:rFonts w:ascii="Arial Narrow" w:hAnsi="Arial Narrow"/>
                <w:sz w:val="18"/>
                <w:szCs w:val="18"/>
              </w:rPr>
              <w:t>’</w:t>
            </w:r>
            <w:r w:rsidRPr="00EC2307">
              <w:rPr>
                <w:rFonts w:ascii="Arial Narrow" w:hAnsi="Arial Narrow"/>
                <w:sz w:val="18"/>
                <w:szCs w:val="18"/>
              </w:rPr>
              <w:t>engagement international</w:t>
            </w:r>
            <w:r w:rsidRPr="00EC2307">
              <w:rPr>
                <w:rStyle w:val="FootnoteReference"/>
                <w:rFonts w:ascii="Arial Narrow" w:hAnsi="Arial Narrow"/>
                <w:sz w:val="18"/>
                <w:szCs w:val="18"/>
                <w:lang w:val="en-GB"/>
              </w:rPr>
              <w:footnoteReference w:id="6"/>
            </w:r>
          </w:p>
        </w:tc>
      </w:tr>
    </w:tbl>
    <w:p w14:paraId="666C359B" w14:textId="3FEA139F" w:rsidR="00A47AF6" w:rsidRPr="00EC2307" w:rsidRDefault="00A47AF6" w:rsidP="00A47AF6">
      <w:pPr>
        <w:keepNext/>
        <w:spacing w:before="240" w:after="120"/>
        <w:rPr>
          <w:rFonts w:ascii="Arial" w:hAnsi="Arial" w:cs="Arial"/>
          <w:b/>
          <w:smallCaps/>
          <w:sz w:val="20"/>
          <w:szCs w:val="20"/>
        </w:rPr>
      </w:pPr>
      <w:r w:rsidRPr="00EC2307">
        <w:rPr>
          <w:rFonts w:ascii="Arial" w:hAnsi="Arial"/>
          <w:b/>
          <w:smallCaps/>
          <w:sz w:val="20"/>
          <w:szCs w:val="20"/>
        </w:rPr>
        <w:lastRenderedPageBreak/>
        <w:t>Tableau 2 : Indicateurs de base et facteurs d</w:t>
      </w:r>
      <w:r w:rsidR="005B64FB">
        <w:rPr>
          <w:rFonts w:ascii="Arial" w:hAnsi="Arial"/>
          <w:b/>
          <w:smallCaps/>
          <w:sz w:val="20"/>
          <w:szCs w:val="20"/>
        </w:rPr>
        <w:t>’</w:t>
      </w:r>
      <w:r w:rsidRPr="00EC2307">
        <w:rPr>
          <w:rFonts w:ascii="Arial" w:hAnsi="Arial"/>
          <w:b/>
          <w:smallCaps/>
          <w:sz w:val="20"/>
          <w:szCs w:val="20"/>
        </w:rPr>
        <w:t>appréciation, classés par thématiques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5"/>
        <w:gridCol w:w="2921"/>
        <w:gridCol w:w="7143"/>
        <w:gridCol w:w="224"/>
        <w:gridCol w:w="1587"/>
      </w:tblGrid>
      <w:tr w:rsidR="00A47AF6" w:rsidRPr="00E42343" w14:paraId="32D6A1C7" w14:textId="77777777" w:rsidTr="005B64FB">
        <w:trPr>
          <w:cantSplit/>
          <w:tblHeader/>
        </w:trPr>
        <w:tc>
          <w:tcPr>
            <w:tcW w:w="922" w:type="pct"/>
            <w:shd w:val="clear" w:color="auto" w:fill="D9D9D9"/>
            <w:vAlign w:val="center"/>
          </w:tcPr>
          <w:p w14:paraId="60516D7F" w14:textId="77777777" w:rsidR="00A47AF6" w:rsidRPr="00E42343" w:rsidRDefault="00A47AF6" w:rsidP="005C5ED5">
            <w:pPr>
              <w:spacing w:before="60" w:after="60"/>
              <w:rPr>
                <w:rFonts w:ascii="Arial" w:hAnsi="Arial" w:cs="Arial"/>
                <w:b/>
                <w:sz w:val="20"/>
                <w:szCs w:val="20"/>
              </w:rPr>
            </w:pPr>
            <w:r w:rsidRPr="00E42343">
              <w:rPr>
                <w:rFonts w:ascii="Arial" w:hAnsi="Arial" w:cs="Arial"/>
                <w:b/>
                <w:sz w:val="20"/>
                <w:szCs w:val="20"/>
              </w:rPr>
              <w:t>Thématiques</w:t>
            </w:r>
          </w:p>
        </w:tc>
        <w:tc>
          <w:tcPr>
            <w:tcW w:w="1003" w:type="pct"/>
            <w:shd w:val="clear" w:color="auto" w:fill="D9D9D9"/>
            <w:vAlign w:val="center"/>
          </w:tcPr>
          <w:p w14:paraId="2EE29A72" w14:textId="77777777" w:rsidR="00A47AF6" w:rsidRPr="00E42343" w:rsidRDefault="00A47AF6" w:rsidP="005C5ED5">
            <w:pPr>
              <w:spacing w:before="60" w:after="60"/>
              <w:rPr>
                <w:rFonts w:ascii="Arial" w:hAnsi="Arial" w:cs="Arial"/>
                <w:b/>
                <w:sz w:val="20"/>
                <w:szCs w:val="20"/>
              </w:rPr>
            </w:pPr>
            <w:r w:rsidRPr="00E42343">
              <w:rPr>
                <w:rFonts w:ascii="Arial" w:hAnsi="Arial" w:cs="Arial"/>
                <w:b/>
                <w:sz w:val="20"/>
                <w:szCs w:val="20"/>
              </w:rPr>
              <w:t>Indicateurs de base</w:t>
            </w:r>
          </w:p>
        </w:tc>
        <w:tc>
          <w:tcPr>
            <w:tcW w:w="2453" w:type="pct"/>
            <w:shd w:val="clear" w:color="auto" w:fill="D9D9D9"/>
            <w:vAlign w:val="center"/>
          </w:tcPr>
          <w:p w14:paraId="464BE42D" w14:textId="77777777" w:rsidR="00A47AF6" w:rsidRPr="00E42343" w:rsidRDefault="00A47AF6" w:rsidP="005C5ED5">
            <w:pPr>
              <w:spacing w:before="60" w:after="60"/>
              <w:rPr>
                <w:rFonts w:ascii="Arial" w:hAnsi="Arial" w:cs="Arial"/>
                <w:b/>
                <w:sz w:val="20"/>
                <w:szCs w:val="20"/>
              </w:rPr>
            </w:pPr>
            <w:r w:rsidRPr="00E42343">
              <w:rPr>
                <w:rFonts w:ascii="Arial" w:hAnsi="Arial" w:cs="Arial"/>
                <w:b/>
                <w:sz w:val="20"/>
                <w:szCs w:val="20"/>
              </w:rPr>
              <w:t xml:space="preserve">Appréciation </w:t>
            </w:r>
            <w:r w:rsidRPr="00C558F0">
              <w:rPr>
                <w:rFonts w:ascii="Arial" w:hAnsi="Arial" w:cs="Arial"/>
                <w:b/>
                <w:sz w:val="20"/>
                <w:szCs w:val="20"/>
              </w:rPr>
              <w:t xml:space="preserve">selon les </w:t>
            </w:r>
            <w:r>
              <w:rPr>
                <w:rFonts w:ascii="Arial" w:hAnsi="Arial" w:cs="Arial"/>
                <w:b/>
                <w:sz w:val="20"/>
                <w:szCs w:val="20"/>
              </w:rPr>
              <w:t xml:space="preserve">facteurs </w:t>
            </w:r>
            <w:r w:rsidRPr="00C558F0">
              <w:rPr>
                <w:rFonts w:ascii="Arial" w:hAnsi="Arial" w:cs="Arial"/>
                <w:b/>
                <w:sz w:val="20"/>
                <w:szCs w:val="20"/>
              </w:rPr>
              <w:t>suivants</w:t>
            </w:r>
          </w:p>
        </w:tc>
        <w:tc>
          <w:tcPr>
            <w:tcW w:w="77" w:type="pct"/>
            <w:tcBorders>
              <w:top w:val="nil"/>
              <w:bottom w:val="nil"/>
            </w:tcBorders>
            <w:shd w:val="clear" w:color="auto" w:fill="auto"/>
            <w:vAlign w:val="center"/>
          </w:tcPr>
          <w:p w14:paraId="687D673D" w14:textId="77777777" w:rsidR="00A47AF6" w:rsidRPr="00E42343" w:rsidRDefault="00A47AF6" w:rsidP="005C5ED5">
            <w:pPr>
              <w:spacing w:before="60" w:after="60"/>
              <w:rPr>
                <w:rFonts w:ascii="Arial" w:hAnsi="Arial" w:cs="Arial"/>
                <w:sz w:val="20"/>
                <w:szCs w:val="20"/>
              </w:rPr>
            </w:pPr>
          </w:p>
        </w:tc>
        <w:tc>
          <w:tcPr>
            <w:tcW w:w="545" w:type="pct"/>
            <w:shd w:val="clear" w:color="auto" w:fill="D9D9D9"/>
            <w:vAlign w:val="center"/>
          </w:tcPr>
          <w:p w14:paraId="2DEE87A5" w14:textId="77777777" w:rsidR="00A47AF6" w:rsidRPr="00E42343" w:rsidRDefault="00A47AF6" w:rsidP="005C5ED5">
            <w:pPr>
              <w:spacing w:before="60" w:after="60"/>
              <w:rPr>
                <w:rFonts w:ascii="Arial" w:hAnsi="Arial" w:cs="Arial"/>
                <w:b/>
                <w:sz w:val="20"/>
                <w:szCs w:val="20"/>
              </w:rPr>
            </w:pPr>
            <w:r w:rsidRPr="00E42343">
              <w:rPr>
                <w:rFonts w:ascii="Arial" w:hAnsi="Arial" w:cs="Arial"/>
                <w:b/>
                <w:sz w:val="20"/>
                <w:szCs w:val="20"/>
              </w:rPr>
              <w:t>Références</w:t>
            </w:r>
            <w:r w:rsidRPr="00E42343">
              <w:rPr>
                <w:rStyle w:val="FootnoteReference"/>
                <w:rFonts w:ascii="Arial" w:hAnsi="Arial" w:cs="Arial"/>
                <w:b/>
                <w:sz w:val="20"/>
                <w:szCs w:val="20"/>
              </w:rPr>
              <w:footnoteReference w:id="7"/>
            </w:r>
          </w:p>
        </w:tc>
      </w:tr>
      <w:tr w:rsidR="00A47AF6" w:rsidRPr="00E42343" w14:paraId="6D9ED3A4" w14:textId="77777777" w:rsidTr="005B64FB">
        <w:trPr>
          <w:cantSplit/>
        </w:trPr>
        <w:tc>
          <w:tcPr>
            <w:tcW w:w="922" w:type="pct"/>
            <w:vMerge w:val="restart"/>
            <w:shd w:val="clear" w:color="auto" w:fill="auto"/>
            <w:vAlign w:val="center"/>
          </w:tcPr>
          <w:p w14:paraId="6F092B27" w14:textId="77777777" w:rsidR="00A47AF6" w:rsidRPr="00E42343" w:rsidRDefault="00A47AF6" w:rsidP="005C5ED5">
            <w:pPr>
              <w:spacing w:before="60" w:after="60"/>
              <w:rPr>
                <w:rFonts w:ascii="Arial" w:hAnsi="Arial" w:cs="Arial"/>
                <w:b/>
                <w:sz w:val="20"/>
                <w:szCs w:val="20"/>
              </w:rPr>
            </w:pPr>
            <w:r w:rsidRPr="00E42343">
              <w:rPr>
                <w:rFonts w:ascii="Arial" w:hAnsi="Arial" w:cs="Arial"/>
                <w:b/>
                <w:sz w:val="20"/>
                <w:szCs w:val="20"/>
              </w:rPr>
              <w:t>Capacités institutionnelles et humaines</w:t>
            </w:r>
          </w:p>
        </w:tc>
        <w:tc>
          <w:tcPr>
            <w:tcW w:w="1003" w:type="pct"/>
            <w:vMerge w:val="restart"/>
            <w:shd w:val="clear" w:color="auto" w:fill="auto"/>
            <w:vAlign w:val="center"/>
          </w:tcPr>
          <w:p w14:paraId="4DC96B88"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 xml:space="preserve">Mesure dans laquelle les organismes compétents </w:t>
            </w:r>
            <w:r w:rsidRPr="00E42343">
              <w:rPr>
                <w:rFonts w:ascii="Arial" w:hAnsi="Arial"/>
                <w:sz w:val="20"/>
                <w:szCs w:val="20"/>
              </w:rPr>
              <w:lastRenderedPageBreak/>
              <w:t>et les institutions et mécanismes de consultation soutiennent la pratique continue du PCI et sa transmission</w:t>
            </w:r>
          </w:p>
        </w:tc>
        <w:tc>
          <w:tcPr>
            <w:tcW w:w="2453" w:type="pct"/>
            <w:shd w:val="clear" w:color="auto" w:fill="auto"/>
            <w:vAlign w:val="center"/>
          </w:tcPr>
          <w:p w14:paraId="432F1DB1" w14:textId="77777777" w:rsidR="00A47AF6" w:rsidRPr="00E42343" w:rsidRDefault="00A47AF6" w:rsidP="00A47AF6">
            <w:pPr>
              <w:pStyle w:val="ListParagraph"/>
              <w:numPr>
                <w:ilvl w:val="1"/>
                <w:numId w:val="18"/>
              </w:numPr>
              <w:spacing w:before="60" w:after="60"/>
              <w:ind w:left="567" w:hanging="567"/>
              <w:jc w:val="left"/>
              <w:rPr>
                <w:rFonts w:ascii="Arial" w:hAnsi="Arial"/>
                <w:vanish/>
                <w:sz w:val="20"/>
                <w:szCs w:val="20"/>
              </w:rPr>
            </w:pPr>
            <w:r w:rsidRPr="00E42343">
              <w:rPr>
                <w:rFonts w:ascii="Arial" w:hAnsi="Arial"/>
                <w:sz w:val="20"/>
                <w:szCs w:val="20"/>
              </w:rPr>
              <w:lastRenderedPageBreak/>
              <w:t xml:space="preserve">Un ou plusieurs organismes compétents en matière de sauvegarde du PCI </w:t>
            </w:r>
            <w:r>
              <w:rPr>
                <w:rFonts w:ascii="Arial" w:hAnsi="Arial"/>
                <w:sz w:val="20"/>
                <w:szCs w:val="20"/>
              </w:rPr>
              <w:t>ont été identifiés ou crées</w:t>
            </w:r>
            <w:r w:rsidRPr="00E42343">
              <w:rPr>
                <w:rFonts w:ascii="Arial" w:hAnsi="Arial"/>
                <w:sz w:val="20"/>
                <w:szCs w:val="20"/>
              </w:rPr>
              <w:t>.</w:t>
            </w:r>
          </w:p>
        </w:tc>
        <w:tc>
          <w:tcPr>
            <w:tcW w:w="77" w:type="pct"/>
            <w:tcBorders>
              <w:top w:val="nil"/>
              <w:bottom w:val="nil"/>
            </w:tcBorders>
            <w:shd w:val="clear" w:color="auto" w:fill="auto"/>
            <w:vAlign w:val="center"/>
          </w:tcPr>
          <w:p w14:paraId="0192EE9D"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7CD8B24E"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Article 13(b)</w:t>
            </w:r>
          </w:p>
          <w:p w14:paraId="203D6029"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154(a)</w:t>
            </w:r>
          </w:p>
        </w:tc>
      </w:tr>
      <w:tr w:rsidR="00A47AF6" w:rsidRPr="00357839" w14:paraId="7D0CF30B" w14:textId="77777777" w:rsidTr="005B64FB">
        <w:trPr>
          <w:cantSplit/>
        </w:trPr>
        <w:tc>
          <w:tcPr>
            <w:tcW w:w="922" w:type="pct"/>
            <w:vMerge/>
            <w:shd w:val="clear" w:color="auto" w:fill="auto"/>
            <w:vAlign w:val="center"/>
          </w:tcPr>
          <w:p w14:paraId="012A371D" w14:textId="77777777" w:rsidR="00A47AF6" w:rsidRPr="00E42343" w:rsidRDefault="00A47AF6" w:rsidP="005C5ED5">
            <w:pPr>
              <w:spacing w:before="60" w:after="60"/>
              <w:rPr>
                <w:rFonts w:ascii="Arial" w:hAnsi="Arial" w:cs="Arial"/>
                <w:sz w:val="20"/>
                <w:szCs w:val="20"/>
              </w:rPr>
            </w:pPr>
          </w:p>
        </w:tc>
        <w:tc>
          <w:tcPr>
            <w:tcW w:w="1003" w:type="pct"/>
            <w:vMerge/>
            <w:shd w:val="clear" w:color="auto" w:fill="auto"/>
            <w:vAlign w:val="center"/>
          </w:tcPr>
          <w:p w14:paraId="4B9102D1"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1525D702" w14:textId="77777777" w:rsidR="00A47AF6" w:rsidRPr="00E42343" w:rsidRDefault="00A47AF6" w:rsidP="00A47AF6">
            <w:pPr>
              <w:pStyle w:val="ListParagraph"/>
              <w:numPr>
                <w:ilvl w:val="1"/>
                <w:numId w:val="18"/>
              </w:numPr>
              <w:spacing w:before="60" w:after="60"/>
              <w:ind w:left="567" w:hanging="567"/>
              <w:jc w:val="left"/>
              <w:rPr>
                <w:rFonts w:ascii="Arial" w:hAnsi="Arial"/>
                <w:sz w:val="20"/>
                <w:szCs w:val="20"/>
              </w:rPr>
            </w:pPr>
            <w:r w:rsidRPr="00E42343">
              <w:rPr>
                <w:rFonts w:ascii="Arial" w:hAnsi="Arial"/>
                <w:sz w:val="20"/>
                <w:szCs w:val="20"/>
              </w:rPr>
              <w:t>Des organismes compétents de sauvegarde des éléments spécifiques du PCI inscrit ou non sont en place.</w:t>
            </w:r>
            <w:r w:rsidRPr="00E42343">
              <w:rPr>
                <w:rStyle w:val="FootnoteReference"/>
                <w:rFonts w:ascii="Arial" w:hAnsi="Arial"/>
                <w:sz w:val="20"/>
                <w:szCs w:val="20"/>
                <w:lang w:val="en-GB"/>
              </w:rPr>
              <w:footnoteReference w:id="8"/>
            </w:r>
          </w:p>
        </w:tc>
        <w:tc>
          <w:tcPr>
            <w:tcW w:w="77" w:type="pct"/>
            <w:tcBorders>
              <w:top w:val="nil"/>
              <w:bottom w:val="nil"/>
            </w:tcBorders>
            <w:shd w:val="clear" w:color="auto" w:fill="auto"/>
            <w:vAlign w:val="center"/>
          </w:tcPr>
          <w:p w14:paraId="67B626D0"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1FBF784"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Article 13(b)</w:t>
            </w:r>
          </w:p>
          <w:p w14:paraId="4A5369C1"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DO 158(a), DO 162(d)</w:t>
            </w:r>
          </w:p>
        </w:tc>
      </w:tr>
      <w:tr w:rsidR="00A47AF6" w:rsidRPr="00E42343" w14:paraId="5F0F49B2" w14:textId="77777777" w:rsidTr="005B64FB">
        <w:trPr>
          <w:cantSplit/>
        </w:trPr>
        <w:tc>
          <w:tcPr>
            <w:tcW w:w="922" w:type="pct"/>
            <w:vMerge/>
            <w:shd w:val="clear" w:color="auto" w:fill="auto"/>
            <w:vAlign w:val="center"/>
          </w:tcPr>
          <w:p w14:paraId="74D4D658" w14:textId="77777777" w:rsidR="00A47AF6" w:rsidRPr="00E42343" w:rsidRDefault="00A47AF6" w:rsidP="005C5ED5">
            <w:pPr>
              <w:spacing w:before="60" w:after="60"/>
              <w:rPr>
                <w:rFonts w:ascii="Arial" w:hAnsi="Arial" w:cs="Arial"/>
                <w:sz w:val="20"/>
                <w:szCs w:val="20"/>
                <w:lang w:val="en-GB"/>
              </w:rPr>
            </w:pPr>
          </w:p>
        </w:tc>
        <w:tc>
          <w:tcPr>
            <w:tcW w:w="1003" w:type="pct"/>
            <w:vMerge/>
            <w:shd w:val="clear" w:color="auto" w:fill="auto"/>
            <w:vAlign w:val="center"/>
          </w:tcPr>
          <w:p w14:paraId="242FD6CC"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5A500814" w14:textId="77777777" w:rsidR="00A47AF6" w:rsidRPr="00E42343" w:rsidRDefault="00A47AF6" w:rsidP="00A47AF6">
            <w:pPr>
              <w:pStyle w:val="ListParagraph"/>
              <w:numPr>
                <w:ilvl w:val="1"/>
                <w:numId w:val="18"/>
              </w:numPr>
              <w:spacing w:before="60" w:after="60"/>
              <w:ind w:left="567" w:hanging="567"/>
              <w:jc w:val="left"/>
              <w:rPr>
                <w:rFonts w:ascii="Arial" w:hAnsi="Arial"/>
                <w:sz w:val="20"/>
                <w:szCs w:val="20"/>
              </w:rPr>
            </w:pPr>
            <w:r w:rsidRPr="00E42343">
              <w:rPr>
                <w:rFonts w:ascii="Arial" w:hAnsi="Arial"/>
                <w:sz w:val="20"/>
                <w:szCs w:val="20"/>
              </w:rPr>
              <w:t>La participation, large et inclusive</w:t>
            </w:r>
            <w:r>
              <w:rPr>
                <w:rStyle w:val="FootnoteReference"/>
                <w:rFonts w:ascii="Arial" w:hAnsi="Arial"/>
                <w:sz w:val="20"/>
                <w:szCs w:val="20"/>
              </w:rPr>
              <w:footnoteReference w:id="9"/>
            </w:r>
            <w:r w:rsidRPr="00E42343">
              <w:rPr>
                <w:rFonts w:ascii="Arial" w:hAnsi="Arial"/>
                <w:sz w:val="20"/>
                <w:szCs w:val="20"/>
              </w:rPr>
              <w:t>,</w:t>
            </w:r>
            <w:r>
              <w:rPr>
                <w:rFonts w:ascii="Arial" w:hAnsi="Arial"/>
                <w:sz w:val="20"/>
                <w:szCs w:val="20"/>
              </w:rPr>
              <w:t xml:space="preserve"> dans</w:t>
            </w:r>
            <w:r w:rsidRPr="00E42343">
              <w:rPr>
                <w:rFonts w:ascii="Arial" w:hAnsi="Arial"/>
                <w:sz w:val="20"/>
                <w:szCs w:val="20"/>
              </w:rPr>
              <w:t xml:space="preserve"> la sauvegarde et la gestion du PCI, en particulier des communautés, groupes et individus concernés, est encouragée par des organismes consultatifs ou des mécanismes de coordination.</w:t>
            </w:r>
          </w:p>
        </w:tc>
        <w:tc>
          <w:tcPr>
            <w:tcW w:w="77" w:type="pct"/>
            <w:tcBorders>
              <w:top w:val="nil"/>
              <w:bottom w:val="nil"/>
            </w:tcBorders>
            <w:shd w:val="clear" w:color="auto" w:fill="auto"/>
            <w:vAlign w:val="center"/>
          </w:tcPr>
          <w:p w14:paraId="4B52DB67"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44B7ED16"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80</w:t>
            </w:r>
          </w:p>
        </w:tc>
      </w:tr>
      <w:tr w:rsidR="00A47AF6" w:rsidRPr="00E42343" w14:paraId="6EC71171" w14:textId="77777777" w:rsidTr="005B64FB">
        <w:trPr>
          <w:cantSplit/>
        </w:trPr>
        <w:tc>
          <w:tcPr>
            <w:tcW w:w="922" w:type="pct"/>
            <w:vMerge/>
            <w:shd w:val="clear" w:color="auto" w:fill="auto"/>
            <w:vAlign w:val="center"/>
          </w:tcPr>
          <w:p w14:paraId="688B104C" w14:textId="77777777" w:rsidR="00A47AF6" w:rsidRPr="00E42343" w:rsidRDefault="00A47AF6" w:rsidP="005C5ED5">
            <w:pPr>
              <w:spacing w:before="60" w:after="60"/>
              <w:rPr>
                <w:rFonts w:ascii="Arial" w:hAnsi="Arial" w:cs="Arial"/>
                <w:sz w:val="20"/>
                <w:szCs w:val="20"/>
              </w:rPr>
            </w:pPr>
          </w:p>
        </w:tc>
        <w:tc>
          <w:tcPr>
            <w:tcW w:w="1003" w:type="pct"/>
            <w:vMerge/>
            <w:shd w:val="clear" w:color="auto" w:fill="auto"/>
            <w:vAlign w:val="center"/>
          </w:tcPr>
          <w:p w14:paraId="39FD1D42"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3E584B29" w14:textId="77777777" w:rsidR="00A47AF6" w:rsidRPr="00E42343" w:rsidRDefault="00A47AF6" w:rsidP="00A47AF6">
            <w:pPr>
              <w:pStyle w:val="ListParagraph"/>
              <w:numPr>
                <w:ilvl w:val="1"/>
                <w:numId w:val="18"/>
              </w:numPr>
              <w:spacing w:before="60" w:after="60"/>
              <w:ind w:left="567" w:hanging="567"/>
              <w:jc w:val="left"/>
              <w:rPr>
                <w:rFonts w:ascii="Arial" w:hAnsi="Arial"/>
                <w:sz w:val="20"/>
                <w:szCs w:val="20"/>
              </w:rPr>
            </w:pPr>
            <w:r w:rsidRPr="00E42343">
              <w:rPr>
                <w:rFonts w:ascii="Arial" w:hAnsi="Arial"/>
                <w:sz w:val="20"/>
                <w:szCs w:val="20"/>
              </w:rPr>
              <w:t>Des institutions, des organisations et/ou des initiatives de documentation du PCI sont favorisées, et leurs ressources sont utilisées pour soutenir la pratique continue et la transmission du PCI.</w:t>
            </w:r>
          </w:p>
        </w:tc>
        <w:tc>
          <w:tcPr>
            <w:tcW w:w="77" w:type="pct"/>
            <w:tcBorders>
              <w:top w:val="nil"/>
              <w:bottom w:val="nil"/>
            </w:tcBorders>
            <w:shd w:val="clear" w:color="auto" w:fill="auto"/>
            <w:vAlign w:val="center"/>
          </w:tcPr>
          <w:p w14:paraId="5C484A18"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C4F71A1"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Article 13(d)(iii)</w:t>
            </w:r>
          </w:p>
        </w:tc>
      </w:tr>
      <w:tr w:rsidR="00A47AF6" w:rsidRPr="00E42343" w14:paraId="63DFA3F7" w14:textId="77777777" w:rsidTr="005B64FB">
        <w:trPr>
          <w:cantSplit/>
        </w:trPr>
        <w:tc>
          <w:tcPr>
            <w:tcW w:w="922" w:type="pct"/>
            <w:vMerge/>
            <w:shd w:val="clear" w:color="auto" w:fill="auto"/>
            <w:vAlign w:val="center"/>
          </w:tcPr>
          <w:p w14:paraId="65F501BA" w14:textId="77777777" w:rsidR="00A47AF6" w:rsidRPr="00E42343" w:rsidRDefault="00A47AF6" w:rsidP="005C5ED5">
            <w:pPr>
              <w:spacing w:before="60" w:after="60"/>
              <w:rPr>
                <w:rFonts w:ascii="Arial" w:hAnsi="Arial" w:cs="Arial"/>
                <w:sz w:val="20"/>
                <w:szCs w:val="20"/>
              </w:rPr>
            </w:pPr>
          </w:p>
        </w:tc>
        <w:tc>
          <w:tcPr>
            <w:tcW w:w="1003" w:type="pct"/>
            <w:vMerge/>
            <w:shd w:val="clear" w:color="auto" w:fill="auto"/>
            <w:vAlign w:val="center"/>
          </w:tcPr>
          <w:p w14:paraId="03502925"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35472B7C" w14:textId="169576DE" w:rsidR="00A47AF6" w:rsidRPr="00E42343" w:rsidRDefault="00A47AF6" w:rsidP="00A47AF6">
            <w:pPr>
              <w:pStyle w:val="ListParagraph"/>
              <w:numPr>
                <w:ilvl w:val="1"/>
                <w:numId w:val="18"/>
              </w:numPr>
              <w:spacing w:before="60" w:after="60"/>
              <w:ind w:left="567" w:hanging="567"/>
              <w:jc w:val="left"/>
              <w:rPr>
                <w:rFonts w:ascii="Arial" w:hAnsi="Arial"/>
                <w:sz w:val="20"/>
                <w:szCs w:val="20"/>
              </w:rPr>
            </w:pPr>
            <w:r w:rsidRPr="00E42343">
              <w:rPr>
                <w:rFonts w:ascii="Arial" w:hAnsi="Arial"/>
                <w:sz w:val="20"/>
                <w:szCs w:val="20"/>
              </w:rPr>
              <w:t>Les centres culturels, les centres d</w:t>
            </w:r>
            <w:r w:rsidR="005B64FB">
              <w:rPr>
                <w:rFonts w:ascii="Arial" w:hAnsi="Arial"/>
                <w:sz w:val="20"/>
                <w:szCs w:val="20"/>
              </w:rPr>
              <w:t>’</w:t>
            </w:r>
            <w:r w:rsidRPr="00E42343">
              <w:rPr>
                <w:rFonts w:ascii="Arial" w:hAnsi="Arial"/>
                <w:sz w:val="20"/>
                <w:szCs w:val="20"/>
              </w:rPr>
              <w:t>expertise, les instituts de recherche, les musées, les archives, les bibliothèques, etc., contribuent à la sauvegarde et à la gestion du PCI.</w:t>
            </w:r>
          </w:p>
        </w:tc>
        <w:tc>
          <w:tcPr>
            <w:tcW w:w="77" w:type="pct"/>
            <w:tcBorders>
              <w:top w:val="nil"/>
              <w:bottom w:val="nil"/>
            </w:tcBorders>
            <w:shd w:val="clear" w:color="auto" w:fill="auto"/>
            <w:vAlign w:val="center"/>
          </w:tcPr>
          <w:p w14:paraId="065C12FD"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5511D59"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79</w:t>
            </w:r>
            <w:r>
              <w:rPr>
                <w:rFonts w:ascii="Arial" w:hAnsi="Arial" w:cs="Arial"/>
                <w:sz w:val="20"/>
                <w:szCs w:val="20"/>
              </w:rPr>
              <w:t xml:space="preserve">, </w:t>
            </w:r>
            <w:r w:rsidRPr="00E42343">
              <w:rPr>
                <w:rFonts w:ascii="Arial" w:hAnsi="Arial" w:cs="Arial"/>
                <w:sz w:val="20"/>
                <w:szCs w:val="20"/>
              </w:rPr>
              <w:t>DO 109</w:t>
            </w:r>
          </w:p>
        </w:tc>
      </w:tr>
      <w:tr w:rsidR="00A47AF6" w:rsidRPr="00357839" w14:paraId="3D1AC8C7" w14:textId="77777777" w:rsidTr="005B64FB">
        <w:trPr>
          <w:cantSplit/>
        </w:trPr>
        <w:tc>
          <w:tcPr>
            <w:tcW w:w="922" w:type="pct"/>
            <w:vMerge/>
            <w:shd w:val="clear" w:color="auto" w:fill="auto"/>
            <w:vAlign w:val="center"/>
          </w:tcPr>
          <w:p w14:paraId="15A22342" w14:textId="77777777" w:rsidR="00A47AF6" w:rsidRPr="00E42343" w:rsidRDefault="00A47AF6" w:rsidP="005C5ED5">
            <w:pPr>
              <w:spacing w:before="60" w:after="60"/>
              <w:rPr>
                <w:rFonts w:ascii="Arial" w:hAnsi="Arial" w:cs="Arial"/>
                <w:sz w:val="20"/>
                <w:szCs w:val="20"/>
              </w:rPr>
            </w:pPr>
          </w:p>
        </w:tc>
        <w:tc>
          <w:tcPr>
            <w:tcW w:w="1003" w:type="pct"/>
            <w:vMerge w:val="restart"/>
            <w:shd w:val="clear" w:color="auto" w:fill="auto"/>
            <w:vAlign w:val="center"/>
          </w:tcPr>
          <w:p w14:paraId="082F5D5E"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Mesure dans laquelle les programmes soutiennent le renforcement des capacités humaines pour promouvoir la sauvegarde et la gestion du PCI</w:t>
            </w:r>
          </w:p>
        </w:tc>
        <w:tc>
          <w:tcPr>
            <w:tcW w:w="2453" w:type="pct"/>
            <w:shd w:val="clear" w:color="auto" w:fill="auto"/>
            <w:vAlign w:val="center"/>
          </w:tcPr>
          <w:p w14:paraId="1C1D9014" w14:textId="6D6AE002" w:rsidR="00A47AF6" w:rsidRPr="00E42343" w:rsidRDefault="00A47AF6" w:rsidP="00A47AF6">
            <w:pPr>
              <w:pStyle w:val="ListParagraph"/>
              <w:numPr>
                <w:ilvl w:val="1"/>
                <w:numId w:val="19"/>
              </w:numPr>
              <w:spacing w:before="60" w:after="60"/>
              <w:ind w:left="567" w:hanging="567"/>
              <w:jc w:val="left"/>
              <w:rPr>
                <w:rFonts w:ascii="Arial" w:hAnsi="Arial"/>
                <w:vanish/>
                <w:sz w:val="20"/>
                <w:szCs w:val="20"/>
              </w:rPr>
            </w:pPr>
            <w:r w:rsidRPr="00E42343">
              <w:rPr>
                <w:rFonts w:ascii="Arial" w:hAnsi="Arial"/>
                <w:sz w:val="20"/>
                <w:szCs w:val="20"/>
              </w:rPr>
              <w:t>Les établissements d</w:t>
            </w:r>
            <w:r w:rsidR="005B64FB">
              <w:rPr>
                <w:rFonts w:ascii="Arial" w:hAnsi="Arial"/>
                <w:sz w:val="20"/>
                <w:szCs w:val="20"/>
              </w:rPr>
              <w:t>’</w:t>
            </w:r>
            <w:r w:rsidRPr="00E42343">
              <w:rPr>
                <w:rFonts w:ascii="Arial" w:hAnsi="Arial"/>
                <w:sz w:val="20"/>
                <w:szCs w:val="20"/>
              </w:rPr>
              <w:t>enseignement supérieur proposent des programmes et des diplômes en sauvegarde et gestion du PCI, sur une base inclusive.</w:t>
            </w:r>
          </w:p>
        </w:tc>
        <w:tc>
          <w:tcPr>
            <w:tcW w:w="77" w:type="pct"/>
            <w:tcBorders>
              <w:top w:val="nil"/>
              <w:bottom w:val="nil"/>
            </w:tcBorders>
            <w:shd w:val="clear" w:color="auto" w:fill="auto"/>
            <w:vAlign w:val="center"/>
          </w:tcPr>
          <w:p w14:paraId="352D1A32"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E52BC38"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Article 14(a)(iii)</w:t>
            </w:r>
          </w:p>
          <w:p w14:paraId="670B71D4"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DO 107(k)</w:t>
            </w:r>
          </w:p>
        </w:tc>
      </w:tr>
      <w:tr w:rsidR="00A47AF6" w:rsidRPr="00E42343" w14:paraId="31207C41" w14:textId="77777777" w:rsidTr="005B64FB">
        <w:trPr>
          <w:cantSplit/>
        </w:trPr>
        <w:tc>
          <w:tcPr>
            <w:tcW w:w="922" w:type="pct"/>
            <w:vMerge/>
            <w:shd w:val="clear" w:color="auto" w:fill="auto"/>
            <w:vAlign w:val="center"/>
          </w:tcPr>
          <w:p w14:paraId="4795504F" w14:textId="77777777" w:rsidR="00A47AF6" w:rsidRPr="00E42343" w:rsidRDefault="00A47AF6" w:rsidP="005C5ED5">
            <w:pPr>
              <w:spacing w:before="60" w:after="60"/>
              <w:rPr>
                <w:rFonts w:ascii="Arial" w:hAnsi="Arial" w:cs="Arial"/>
                <w:sz w:val="20"/>
                <w:szCs w:val="20"/>
                <w:lang w:val="en-GB"/>
              </w:rPr>
            </w:pPr>
          </w:p>
        </w:tc>
        <w:tc>
          <w:tcPr>
            <w:tcW w:w="1003" w:type="pct"/>
            <w:vMerge/>
            <w:shd w:val="clear" w:color="auto" w:fill="auto"/>
            <w:vAlign w:val="center"/>
          </w:tcPr>
          <w:p w14:paraId="4636D49E"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40879D25" w14:textId="77777777" w:rsidR="00A47AF6" w:rsidRPr="00E42343" w:rsidRDefault="00A47AF6" w:rsidP="00A47AF6">
            <w:pPr>
              <w:pStyle w:val="ListParagraph"/>
              <w:numPr>
                <w:ilvl w:val="1"/>
                <w:numId w:val="19"/>
              </w:numPr>
              <w:spacing w:before="60" w:after="60"/>
              <w:ind w:left="567" w:hanging="567"/>
              <w:jc w:val="left"/>
              <w:rPr>
                <w:rFonts w:ascii="Arial" w:hAnsi="Arial"/>
                <w:sz w:val="20"/>
                <w:szCs w:val="20"/>
              </w:rPr>
            </w:pPr>
            <w:r w:rsidRPr="00E42343">
              <w:rPr>
                <w:rFonts w:ascii="Arial" w:hAnsi="Arial"/>
                <w:sz w:val="20"/>
                <w:szCs w:val="20"/>
              </w:rPr>
              <w:t>Les institutions, centres et autres organismes gouvernementaux offrent une formation en sauvegarde et gestion du PCI, sur une base inclusive.</w:t>
            </w:r>
          </w:p>
        </w:tc>
        <w:tc>
          <w:tcPr>
            <w:tcW w:w="77" w:type="pct"/>
            <w:tcBorders>
              <w:top w:val="nil"/>
              <w:bottom w:val="nil"/>
            </w:tcBorders>
            <w:shd w:val="clear" w:color="auto" w:fill="auto"/>
            <w:vAlign w:val="center"/>
          </w:tcPr>
          <w:p w14:paraId="2DA475ED"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94CC4A4" w14:textId="77777777" w:rsidR="00A47AF6" w:rsidRPr="00E42343" w:rsidRDefault="00A47AF6" w:rsidP="005C5ED5">
            <w:pPr>
              <w:spacing w:before="60" w:after="60"/>
              <w:rPr>
                <w:rFonts w:ascii="Arial" w:hAnsi="Arial" w:cs="Arial"/>
                <w:sz w:val="20"/>
                <w:szCs w:val="20"/>
              </w:rPr>
            </w:pPr>
          </w:p>
        </w:tc>
      </w:tr>
      <w:tr w:rsidR="00A47AF6" w:rsidRPr="00E42343" w14:paraId="238F4F08" w14:textId="77777777" w:rsidTr="005B64FB">
        <w:trPr>
          <w:cantSplit/>
        </w:trPr>
        <w:tc>
          <w:tcPr>
            <w:tcW w:w="922" w:type="pct"/>
            <w:vMerge/>
            <w:shd w:val="clear" w:color="auto" w:fill="auto"/>
            <w:vAlign w:val="center"/>
          </w:tcPr>
          <w:p w14:paraId="464B97B0" w14:textId="77777777" w:rsidR="00A47AF6" w:rsidRPr="00E42343" w:rsidRDefault="00A47AF6" w:rsidP="005C5ED5">
            <w:pPr>
              <w:spacing w:before="60" w:after="60"/>
              <w:rPr>
                <w:rFonts w:ascii="Arial" w:hAnsi="Arial" w:cs="Arial"/>
                <w:sz w:val="20"/>
                <w:szCs w:val="20"/>
              </w:rPr>
            </w:pPr>
          </w:p>
        </w:tc>
        <w:tc>
          <w:tcPr>
            <w:tcW w:w="1003" w:type="pct"/>
            <w:vMerge/>
            <w:shd w:val="clear" w:color="auto" w:fill="auto"/>
            <w:vAlign w:val="center"/>
          </w:tcPr>
          <w:p w14:paraId="5D071F1D"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p>
        </w:tc>
        <w:tc>
          <w:tcPr>
            <w:tcW w:w="2453" w:type="pct"/>
            <w:shd w:val="clear" w:color="auto" w:fill="auto"/>
            <w:vAlign w:val="center"/>
          </w:tcPr>
          <w:p w14:paraId="7541961D" w14:textId="77777777" w:rsidR="00A47AF6" w:rsidRPr="00E42343" w:rsidDel="004E7236" w:rsidRDefault="00A47AF6" w:rsidP="00A47AF6">
            <w:pPr>
              <w:pStyle w:val="ListParagraph"/>
              <w:numPr>
                <w:ilvl w:val="1"/>
                <w:numId w:val="19"/>
              </w:numPr>
              <w:spacing w:before="60" w:after="60"/>
              <w:ind w:left="567" w:hanging="567"/>
              <w:jc w:val="left"/>
              <w:rPr>
                <w:rFonts w:ascii="Arial" w:hAnsi="Arial"/>
                <w:sz w:val="20"/>
                <w:szCs w:val="20"/>
              </w:rPr>
            </w:pPr>
            <w:r w:rsidRPr="00E42343">
              <w:rPr>
                <w:rFonts w:ascii="Arial" w:hAnsi="Arial"/>
                <w:sz w:val="20"/>
                <w:szCs w:val="20"/>
              </w:rPr>
              <w:t>Des initiatives menées par les communautés ou par les ONG offrent une formation en sauvegarde et gestion du PCI, sur une base inclusive.</w:t>
            </w:r>
          </w:p>
        </w:tc>
        <w:tc>
          <w:tcPr>
            <w:tcW w:w="77" w:type="pct"/>
            <w:tcBorders>
              <w:top w:val="nil"/>
              <w:bottom w:val="nil"/>
            </w:tcBorders>
            <w:shd w:val="clear" w:color="auto" w:fill="auto"/>
            <w:vAlign w:val="center"/>
          </w:tcPr>
          <w:p w14:paraId="7028DD07"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6AB4578B" w14:textId="77777777" w:rsidR="00A47AF6" w:rsidRPr="00E42343" w:rsidRDefault="00A47AF6" w:rsidP="005C5ED5">
            <w:pPr>
              <w:spacing w:before="60" w:after="60"/>
              <w:rPr>
                <w:rFonts w:ascii="Arial" w:hAnsi="Arial" w:cs="Arial"/>
                <w:sz w:val="20"/>
                <w:szCs w:val="20"/>
              </w:rPr>
            </w:pPr>
          </w:p>
        </w:tc>
      </w:tr>
      <w:tr w:rsidR="00A47AF6" w:rsidRPr="00357839" w14:paraId="24407B82" w14:textId="77777777" w:rsidTr="00CF22C3">
        <w:trPr>
          <w:cantSplit/>
        </w:trPr>
        <w:tc>
          <w:tcPr>
            <w:tcW w:w="922" w:type="pct"/>
            <w:vMerge/>
            <w:shd w:val="clear" w:color="auto" w:fill="auto"/>
            <w:vAlign w:val="center"/>
          </w:tcPr>
          <w:p w14:paraId="4BD7B016" w14:textId="77777777" w:rsidR="00A47AF6" w:rsidRPr="00E42343" w:rsidRDefault="00A47AF6" w:rsidP="005C5ED5">
            <w:pPr>
              <w:spacing w:before="60" w:after="60"/>
              <w:rPr>
                <w:rFonts w:ascii="Arial" w:hAnsi="Arial" w:cs="Arial"/>
                <w:sz w:val="20"/>
                <w:szCs w:val="20"/>
              </w:rPr>
            </w:pPr>
          </w:p>
        </w:tc>
        <w:tc>
          <w:tcPr>
            <w:tcW w:w="1003" w:type="pct"/>
            <w:vMerge w:val="restart"/>
            <w:shd w:val="clear" w:color="auto" w:fill="auto"/>
            <w:vAlign w:val="center"/>
          </w:tcPr>
          <w:p w14:paraId="2C8B0F17"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Mesure dans laquelle la formation est assurée par ou cible les communautés, groupes et individus ainsi que ceux travaillant dans les domaines de la culture et du patrimoine</w:t>
            </w:r>
          </w:p>
        </w:tc>
        <w:tc>
          <w:tcPr>
            <w:tcW w:w="2453" w:type="pct"/>
            <w:shd w:val="clear" w:color="auto" w:fill="auto"/>
            <w:vAlign w:val="center"/>
          </w:tcPr>
          <w:p w14:paraId="6DCEA9B0" w14:textId="77777777" w:rsidR="00A47AF6" w:rsidRPr="00E42343" w:rsidRDefault="00A47AF6" w:rsidP="00A47AF6">
            <w:pPr>
              <w:pStyle w:val="ListParagraph"/>
              <w:numPr>
                <w:ilvl w:val="1"/>
                <w:numId w:val="20"/>
              </w:numPr>
              <w:spacing w:before="60" w:after="60"/>
              <w:ind w:left="567" w:hanging="567"/>
              <w:jc w:val="left"/>
              <w:rPr>
                <w:rFonts w:ascii="Arial" w:hAnsi="Arial"/>
                <w:vanish/>
                <w:sz w:val="20"/>
                <w:szCs w:val="20"/>
              </w:rPr>
            </w:pPr>
            <w:r w:rsidRPr="00E42343">
              <w:rPr>
                <w:rFonts w:ascii="Arial" w:hAnsi="Arial"/>
                <w:sz w:val="20"/>
                <w:szCs w:val="20"/>
              </w:rPr>
              <w:t>Les programmes de formation, y compris ceux qui sont gérés par les communautés elles-mêmes, renforcent les capacités dans le domaine du PCI en ciblant de manière inclusive les communautés, groupes et individus.</w:t>
            </w:r>
          </w:p>
        </w:tc>
        <w:tc>
          <w:tcPr>
            <w:tcW w:w="77" w:type="pct"/>
            <w:tcBorders>
              <w:top w:val="nil"/>
              <w:bottom w:val="nil"/>
            </w:tcBorders>
            <w:shd w:val="clear" w:color="auto" w:fill="auto"/>
            <w:vAlign w:val="center"/>
          </w:tcPr>
          <w:p w14:paraId="2C50B7F4"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2FADDE96"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Article 14(a)(ii)</w:t>
            </w:r>
          </w:p>
          <w:p w14:paraId="3C40FD41"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DO 82</w:t>
            </w:r>
            <w:r>
              <w:rPr>
                <w:rFonts w:ascii="Arial" w:hAnsi="Arial" w:cs="Arial"/>
                <w:sz w:val="20"/>
                <w:szCs w:val="20"/>
                <w:lang w:val="en-GB"/>
              </w:rPr>
              <w:t xml:space="preserve">, </w:t>
            </w:r>
            <w:r w:rsidRPr="00E42343">
              <w:rPr>
                <w:rFonts w:ascii="Arial" w:hAnsi="Arial" w:cs="Arial"/>
                <w:sz w:val="20"/>
                <w:szCs w:val="20"/>
                <w:lang w:val="en-GB"/>
              </w:rPr>
              <w:t>DO 153(b), DO 155(b)</w:t>
            </w:r>
          </w:p>
        </w:tc>
      </w:tr>
      <w:tr w:rsidR="00A47AF6" w:rsidRPr="00357839" w14:paraId="2ED3EDFF" w14:textId="77777777" w:rsidTr="00CF22C3">
        <w:trPr>
          <w:cantSplit/>
        </w:trPr>
        <w:tc>
          <w:tcPr>
            <w:tcW w:w="922" w:type="pct"/>
            <w:vMerge/>
            <w:shd w:val="clear" w:color="auto" w:fill="auto"/>
            <w:vAlign w:val="center"/>
          </w:tcPr>
          <w:p w14:paraId="58CEFC59" w14:textId="77777777" w:rsidR="00A47AF6" w:rsidRPr="00E42343" w:rsidRDefault="00A47AF6" w:rsidP="005C5ED5">
            <w:pPr>
              <w:spacing w:before="60" w:after="60"/>
              <w:rPr>
                <w:rFonts w:ascii="Arial" w:hAnsi="Arial" w:cs="Arial"/>
                <w:sz w:val="20"/>
                <w:szCs w:val="20"/>
                <w:lang w:val="en-GB"/>
              </w:rPr>
            </w:pPr>
          </w:p>
        </w:tc>
        <w:tc>
          <w:tcPr>
            <w:tcW w:w="1003" w:type="pct"/>
            <w:vMerge/>
            <w:shd w:val="clear" w:color="auto" w:fill="auto"/>
            <w:vAlign w:val="center"/>
          </w:tcPr>
          <w:p w14:paraId="17B3BF2C"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65B9B07B" w14:textId="77777777" w:rsidR="00A47AF6" w:rsidRPr="00E42343" w:rsidRDefault="00A47AF6" w:rsidP="00A47AF6">
            <w:pPr>
              <w:pStyle w:val="ListParagraph"/>
              <w:numPr>
                <w:ilvl w:val="1"/>
                <w:numId w:val="20"/>
              </w:numPr>
              <w:spacing w:before="60" w:after="60"/>
              <w:ind w:left="567" w:hanging="567"/>
              <w:jc w:val="left"/>
              <w:rPr>
                <w:rFonts w:ascii="Arial" w:hAnsi="Arial"/>
                <w:sz w:val="20"/>
                <w:szCs w:val="20"/>
              </w:rPr>
            </w:pPr>
            <w:r w:rsidRPr="00E42343">
              <w:rPr>
                <w:rFonts w:ascii="Arial" w:hAnsi="Arial"/>
                <w:sz w:val="20"/>
                <w:szCs w:val="20"/>
              </w:rPr>
              <w:t>Les programmes de formation renforcent les capacités dans le domaine du PCI en ciblant de manière inclusive ceux travaillant dans les domaines de la culture et du patrimoine.</w:t>
            </w:r>
          </w:p>
        </w:tc>
        <w:tc>
          <w:tcPr>
            <w:tcW w:w="77" w:type="pct"/>
            <w:tcBorders>
              <w:top w:val="nil"/>
              <w:bottom w:val="nil"/>
            </w:tcBorders>
            <w:shd w:val="clear" w:color="auto" w:fill="auto"/>
            <w:vAlign w:val="center"/>
          </w:tcPr>
          <w:p w14:paraId="1FB4530D"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63E2D091"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Article 14(a)(iii)</w:t>
            </w:r>
          </w:p>
          <w:p w14:paraId="0F684962"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DO 153(b)</w:t>
            </w:r>
          </w:p>
        </w:tc>
      </w:tr>
      <w:tr w:rsidR="00A47AF6" w:rsidRPr="00345EB5" w14:paraId="44959C99" w14:textId="77777777" w:rsidTr="00CF22C3">
        <w:trPr>
          <w:cantSplit/>
        </w:trPr>
        <w:tc>
          <w:tcPr>
            <w:tcW w:w="922" w:type="pct"/>
            <w:vMerge w:val="restart"/>
            <w:shd w:val="clear" w:color="auto" w:fill="auto"/>
            <w:vAlign w:val="center"/>
          </w:tcPr>
          <w:p w14:paraId="7DC6BFF8" w14:textId="77777777" w:rsidR="00A47AF6" w:rsidRPr="00E42343" w:rsidRDefault="00A47AF6" w:rsidP="005C5ED5">
            <w:pPr>
              <w:spacing w:before="60" w:after="60"/>
              <w:rPr>
                <w:rFonts w:ascii="Arial" w:hAnsi="Arial" w:cs="Arial"/>
                <w:b/>
                <w:sz w:val="20"/>
                <w:szCs w:val="20"/>
              </w:rPr>
            </w:pPr>
            <w:r w:rsidRPr="00E42343">
              <w:rPr>
                <w:rFonts w:ascii="Arial" w:hAnsi="Arial" w:cs="Arial"/>
                <w:b/>
                <w:sz w:val="20"/>
                <w:szCs w:val="20"/>
              </w:rPr>
              <w:lastRenderedPageBreak/>
              <w:t>Transmission et éducation</w:t>
            </w:r>
          </w:p>
        </w:tc>
        <w:tc>
          <w:tcPr>
            <w:tcW w:w="1003" w:type="pct"/>
            <w:vMerge w:val="restart"/>
            <w:shd w:val="clear" w:color="auto" w:fill="auto"/>
            <w:vAlign w:val="center"/>
          </w:tcPr>
          <w:p w14:paraId="4CBF8308" w14:textId="54B464F4"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Mesure dans laquelle l</w:t>
            </w:r>
            <w:r w:rsidR="005B64FB">
              <w:rPr>
                <w:rFonts w:ascii="Arial" w:hAnsi="Arial"/>
                <w:sz w:val="20"/>
                <w:szCs w:val="20"/>
              </w:rPr>
              <w:t>’</w:t>
            </w:r>
            <w:r w:rsidRPr="00E42343">
              <w:rPr>
                <w:rFonts w:ascii="Arial" w:hAnsi="Arial"/>
                <w:sz w:val="20"/>
                <w:szCs w:val="20"/>
              </w:rPr>
              <w:t>éducation formelle et non formelle renforcent la transmission du PCI et promeut le respect du PCI</w:t>
            </w:r>
          </w:p>
        </w:tc>
        <w:tc>
          <w:tcPr>
            <w:tcW w:w="2453" w:type="pct"/>
            <w:shd w:val="clear" w:color="auto" w:fill="auto"/>
            <w:vAlign w:val="center"/>
          </w:tcPr>
          <w:p w14:paraId="6A12A025" w14:textId="1F368FFC" w:rsidR="00A47AF6" w:rsidRPr="00E42343" w:rsidRDefault="00A47AF6" w:rsidP="00A47AF6">
            <w:pPr>
              <w:pStyle w:val="ListParagraph"/>
              <w:numPr>
                <w:ilvl w:val="1"/>
                <w:numId w:val="16"/>
              </w:numPr>
              <w:spacing w:before="60" w:after="60"/>
              <w:ind w:left="567" w:hanging="567"/>
              <w:jc w:val="left"/>
              <w:rPr>
                <w:rFonts w:ascii="Arial" w:hAnsi="Arial"/>
                <w:sz w:val="20"/>
                <w:szCs w:val="20"/>
              </w:rPr>
            </w:pPr>
            <w:r w:rsidRPr="00E42343">
              <w:rPr>
                <w:rFonts w:ascii="Arial" w:hAnsi="Arial"/>
                <w:sz w:val="20"/>
                <w:szCs w:val="20"/>
              </w:rPr>
              <w:t>Les praticiens et les détenteurs</w:t>
            </w:r>
            <w:r w:rsidRPr="00E42343">
              <w:rPr>
                <w:rStyle w:val="FootnoteReference"/>
                <w:rFonts w:ascii="Arial" w:hAnsi="Arial"/>
                <w:sz w:val="20"/>
                <w:szCs w:val="20"/>
              </w:rPr>
              <w:footnoteReference w:id="10"/>
            </w:r>
            <w:r w:rsidRPr="00E42343">
              <w:rPr>
                <w:rFonts w:ascii="Arial" w:hAnsi="Arial"/>
                <w:sz w:val="20"/>
                <w:szCs w:val="20"/>
              </w:rPr>
              <w:t xml:space="preserve"> sont impliqués de manière inclusive dans la conception et le développement des programmes d</w:t>
            </w:r>
            <w:r w:rsidR="005B64FB">
              <w:rPr>
                <w:rFonts w:ascii="Arial" w:hAnsi="Arial"/>
                <w:sz w:val="20"/>
                <w:szCs w:val="20"/>
              </w:rPr>
              <w:t>’</w:t>
            </w:r>
            <w:r w:rsidRPr="00E42343">
              <w:rPr>
                <w:rFonts w:ascii="Arial" w:hAnsi="Arial"/>
                <w:sz w:val="20"/>
                <w:szCs w:val="20"/>
              </w:rPr>
              <w:t>éducation au PCI et/ou dans la présentation et la transmission active de leur patrimoine.</w:t>
            </w:r>
          </w:p>
        </w:tc>
        <w:tc>
          <w:tcPr>
            <w:tcW w:w="77" w:type="pct"/>
            <w:tcBorders>
              <w:top w:val="nil"/>
              <w:bottom w:val="nil"/>
            </w:tcBorders>
            <w:shd w:val="clear" w:color="auto" w:fill="auto"/>
            <w:vAlign w:val="center"/>
          </w:tcPr>
          <w:p w14:paraId="6796AE44"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AA84617"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107(e)</w:t>
            </w:r>
          </w:p>
        </w:tc>
      </w:tr>
      <w:tr w:rsidR="00A47AF6" w:rsidRPr="00357839" w14:paraId="7BCA6115" w14:textId="77777777" w:rsidTr="005B64FB">
        <w:trPr>
          <w:cantSplit/>
        </w:trPr>
        <w:tc>
          <w:tcPr>
            <w:tcW w:w="922" w:type="pct"/>
            <w:vMerge/>
            <w:shd w:val="clear" w:color="auto" w:fill="auto"/>
            <w:vAlign w:val="center"/>
          </w:tcPr>
          <w:p w14:paraId="3AA574EC"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78834551"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5F072E7B" w14:textId="76C93F14" w:rsidR="00A47AF6" w:rsidRPr="00E42343" w:rsidRDefault="00A47AF6" w:rsidP="00A47AF6">
            <w:pPr>
              <w:pStyle w:val="ListParagraph"/>
              <w:numPr>
                <w:ilvl w:val="1"/>
                <w:numId w:val="16"/>
              </w:numPr>
              <w:spacing w:before="60" w:after="60"/>
              <w:ind w:left="567" w:hanging="567"/>
              <w:jc w:val="left"/>
              <w:rPr>
                <w:rFonts w:ascii="Arial" w:hAnsi="Arial"/>
                <w:sz w:val="20"/>
                <w:szCs w:val="20"/>
              </w:rPr>
            </w:pPr>
            <w:r w:rsidRPr="00E42343">
              <w:rPr>
                <w:rFonts w:ascii="Arial" w:hAnsi="Arial"/>
                <w:sz w:val="20"/>
                <w:szCs w:val="20"/>
              </w:rPr>
              <w:t>Les modes et méthodes de transmission du PCI qui sont reconnus par les communautés, les groupes et les individus sont appris et/ou renforcés et inclus dans les programmes d</w:t>
            </w:r>
            <w:r w:rsidR="005B64FB">
              <w:rPr>
                <w:rFonts w:ascii="Arial" w:hAnsi="Arial"/>
                <w:sz w:val="20"/>
                <w:szCs w:val="20"/>
              </w:rPr>
              <w:t>’</w:t>
            </w:r>
            <w:r w:rsidRPr="00E42343">
              <w:rPr>
                <w:rFonts w:ascii="Arial" w:hAnsi="Arial"/>
                <w:sz w:val="20"/>
                <w:szCs w:val="20"/>
              </w:rPr>
              <w:t>éducation formelle et non formelle.</w:t>
            </w:r>
          </w:p>
        </w:tc>
        <w:tc>
          <w:tcPr>
            <w:tcW w:w="77" w:type="pct"/>
            <w:tcBorders>
              <w:top w:val="nil"/>
              <w:bottom w:val="nil"/>
            </w:tcBorders>
            <w:shd w:val="clear" w:color="auto" w:fill="auto"/>
            <w:vAlign w:val="center"/>
          </w:tcPr>
          <w:p w14:paraId="318F20D7"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AEBB11E"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Article 14(a)(</w:t>
            </w:r>
            <w:proofErr w:type="spellStart"/>
            <w:r w:rsidRPr="00E42343">
              <w:rPr>
                <w:rFonts w:ascii="Arial" w:hAnsi="Arial" w:cs="Arial"/>
                <w:sz w:val="20"/>
                <w:szCs w:val="20"/>
                <w:lang w:val="en-GB"/>
              </w:rPr>
              <w:t>i</w:t>
            </w:r>
            <w:proofErr w:type="spellEnd"/>
            <w:r w:rsidRPr="00E42343">
              <w:rPr>
                <w:rFonts w:ascii="Arial" w:hAnsi="Arial" w:cs="Arial"/>
                <w:sz w:val="20"/>
                <w:szCs w:val="20"/>
                <w:lang w:val="en-GB"/>
              </w:rPr>
              <w:t>) ; Article 14(a)(ii)</w:t>
            </w:r>
          </w:p>
          <w:p w14:paraId="1EF6C403"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DO 180(a)(iii)</w:t>
            </w:r>
          </w:p>
        </w:tc>
      </w:tr>
      <w:tr w:rsidR="00A47AF6" w:rsidRPr="00345EB5" w14:paraId="202ED55D" w14:textId="77777777" w:rsidTr="005B64FB">
        <w:trPr>
          <w:cantSplit/>
        </w:trPr>
        <w:tc>
          <w:tcPr>
            <w:tcW w:w="922" w:type="pct"/>
            <w:vMerge/>
            <w:shd w:val="clear" w:color="auto" w:fill="auto"/>
            <w:vAlign w:val="center"/>
          </w:tcPr>
          <w:p w14:paraId="1DFB5319" w14:textId="77777777" w:rsidR="00A47AF6" w:rsidRPr="00D87CA1" w:rsidRDefault="00A47AF6" w:rsidP="005C5ED5">
            <w:pPr>
              <w:spacing w:before="60" w:after="60"/>
              <w:rPr>
                <w:rFonts w:ascii="Arial" w:hAnsi="Arial" w:cs="Arial"/>
                <w:b/>
                <w:sz w:val="20"/>
                <w:szCs w:val="20"/>
                <w:lang w:val="en-US"/>
              </w:rPr>
            </w:pPr>
          </w:p>
        </w:tc>
        <w:tc>
          <w:tcPr>
            <w:tcW w:w="1003" w:type="pct"/>
            <w:vMerge/>
            <w:shd w:val="clear" w:color="auto" w:fill="auto"/>
            <w:vAlign w:val="center"/>
          </w:tcPr>
          <w:p w14:paraId="4DAFB249"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685769F1" w14:textId="26E0D7B1" w:rsidR="00A47AF6" w:rsidRPr="00E42343" w:rsidRDefault="00A47AF6" w:rsidP="00A47AF6">
            <w:pPr>
              <w:pStyle w:val="ListParagraph"/>
              <w:numPr>
                <w:ilvl w:val="1"/>
                <w:numId w:val="16"/>
              </w:numPr>
              <w:spacing w:before="60" w:after="60"/>
              <w:ind w:left="567" w:hanging="567"/>
              <w:jc w:val="left"/>
              <w:rPr>
                <w:rFonts w:ascii="Arial" w:hAnsi="Arial"/>
                <w:sz w:val="20"/>
                <w:szCs w:val="20"/>
              </w:rPr>
            </w:pPr>
            <w:r w:rsidRPr="00E42343">
              <w:rPr>
                <w:rFonts w:ascii="Arial" w:hAnsi="Arial"/>
                <w:sz w:val="20"/>
                <w:szCs w:val="20"/>
              </w:rPr>
              <w:t>Des programmes d</w:t>
            </w:r>
            <w:r w:rsidR="005B64FB">
              <w:rPr>
                <w:rFonts w:ascii="Arial" w:hAnsi="Arial"/>
                <w:sz w:val="20"/>
                <w:szCs w:val="20"/>
              </w:rPr>
              <w:t>’</w:t>
            </w:r>
            <w:r w:rsidRPr="00E42343">
              <w:rPr>
                <w:rFonts w:ascii="Arial" w:hAnsi="Arial"/>
                <w:sz w:val="20"/>
                <w:szCs w:val="20"/>
              </w:rPr>
              <w:t>éducation et/ou des activités parascolaires, menés par des communautés,</w:t>
            </w:r>
            <w:r w:rsidRPr="0064435E">
              <w:rPr>
                <w:rFonts w:ascii="Arial" w:hAnsi="Arial" w:hint="eastAsia"/>
                <w:sz w:val="20"/>
                <w:szCs w:val="20"/>
              </w:rPr>
              <w:t xml:space="preserve"> </w:t>
            </w:r>
            <w:r w:rsidRPr="0064435E">
              <w:rPr>
                <w:rFonts w:ascii="Arial" w:hAnsi="Arial"/>
                <w:sz w:val="20"/>
                <w:szCs w:val="20"/>
              </w:rPr>
              <w:t>des groupes,</w:t>
            </w:r>
            <w:r w:rsidRPr="00E42343">
              <w:rPr>
                <w:rFonts w:ascii="Arial" w:hAnsi="Arial"/>
                <w:sz w:val="20"/>
                <w:szCs w:val="20"/>
              </w:rPr>
              <w:t xml:space="preserve"> des ONG et des institutions du patrimoine, sur le PCI et le renforcement de sa transmission sont disponibles et soutenus.</w:t>
            </w:r>
          </w:p>
        </w:tc>
        <w:tc>
          <w:tcPr>
            <w:tcW w:w="77" w:type="pct"/>
            <w:tcBorders>
              <w:top w:val="nil"/>
              <w:bottom w:val="nil"/>
            </w:tcBorders>
            <w:shd w:val="clear" w:color="auto" w:fill="auto"/>
            <w:vAlign w:val="center"/>
          </w:tcPr>
          <w:p w14:paraId="7C883111"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0FCF564F"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109</w:t>
            </w:r>
          </w:p>
        </w:tc>
      </w:tr>
      <w:tr w:rsidR="00A47AF6" w:rsidRPr="00345EB5" w14:paraId="4CAE3FD3" w14:textId="77777777" w:rsidTr="005B64FB">
        <w:trPr>
          <w:cantSplit/>
        </w:trPr>
        <w:tc>
          <w:tcPr>
            <w:tcW w:w="922" w:type="pct"/>
            <w:vMerge/>
            <w:shd w:val="clear" w:color="auto" w:fill="auto"/>
            <w:vAlign w:val="center"/>
          </w:tcPr>
          <w:p w14:paraId="3FBC2142"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2F54BDF7"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6108702A" w14:textId="22080005" w:rsidR="00A47AF6" w:rsidRPr="00E42343" w:rsidRDefault="00A47AF6" w:rsidP="00A47AF6">
            <w:pPr>
              <w:pStyle w:val="ListParagraph"/>
              <w:numPr>
                <w:ilvl w:val="1"/>
                <w:numId w:val="16"/>
              </w:numPr>
              <w:spacing w:before="60" w:after="60"/>
              <w:ind w:left="567" w:hanging="567"/>
              <w:jc w:val="left"/>
              <w:rPr>
                <w:rFonts w:ascii="Arial" w:hAnsi="Arial"/>
                <w:sz w:val="20"/>
                <w:szCs w:val="20"/>
              </w:rPr>
            </w:pPr>
            <w:r w:rsidRPr="00E42343">
              <w:rPr>
                <w:rFonts w:ascii="Arial" w:hAnsi="Arial"/>
                <w:sz w:val="20"/>
                <w:szCs w:val="20"/>
              </w:rPr>
              <w:t>Des programmes de formation des enseignants et des programmes pour les prestataires de services de formation de l</w:t>
            </w:r>
            <w:r w:rsidR="005B64FB">
              <w:rPr>
                <w:rFonts w:ascii="Arial" w:hAnsi="Arial"/>
                <w:sz w:val="20"/>
                <w:szCs w:val="20"/>
              </w:rPr>
              <w:t>’</w:t>
            </w:r>
            <w:r w:rsidRPr="00E42343">
              <w:rPr>
                <w:rFonts w:ascii="Arial" w:hAnsi="Arial"/>
                <w:sz w:val="20"/>
                <w:szCs w:val="20"/>
              </w:rPr>
              <w:t>éducation non formelle comprennent des approches à l</w:t>
            </w:r>
            <w:r w:rsidR="005B64FB">
              <w:rPr>
                <w:rFonts w:ascii="Arial" w:hAnsi="Arial"/>
                <w:sz w:val="20"/>
                <w:szCs w:val="20"/>
              </w:rPr>
              <w:t>’</w:t>
            </w:r>
            <w:r w:rsidRPr="00E42343">
              <w:rPr>
                <w:rFonts w:ascii="Arial" w:hAnsi="Arial"/>
                <w:sz w:val="20"/>
                <w:szCs w:val="20"/>
              </w:rPr>
              <w:t>intégration du PCI et de sa sauvegarde dans l</w:t>
            </w:r>
            <w:r w:rsidR="005B64FB">
              <w:rPr>
                <w:rFonts w:ascii="Arial" w:hAnsi="Arial"/>
                <w:sz w:val="20"/>
                <w:szCs w:val="20"/>
              </w:rPr>
              <w:t>’</w:t>
            </w:r>
            <w:r w:rsidRPr="00E42343">
              <w:rPr>
                <w:rFonts w:ascii="Arial" w:hAnsi="Arial"/>
                <w:sz w:val="20"/>
                <w:szCs w:val="20"/>
              </w:rPr>
              <w:t>éducation.</w:t>
            </w:r>
          </w:p>
        </w:tc>
        <w:tc>
          <w:tcPr>
            <w:tcW w:w="77" w:type="pct"/>
            <w:tcBorders>
              <w:top w:val="nil"/>
              <w:bottom w:val="nil"/>
            </w:tcBorders>
            <w:shd w:val="clear" w:color="auto" w:fill="auto"/>
            <w:vAlign w:val="center"/>
          </w:tcPr>
          <w:p w14:paraId="1BC3E762"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45905233" w14:textId="77777777" w:rsidR="00A47AF6" w:rsidRPr="00E42343" w:rsidRDefault="00A47AF6" w:rsidP="005C5ED5">
            <w:pPr>
              <w:spacing w:before="60" w:after="60"/>
              <w:rPr>
                <w:rFonts w:ascii="Arial" w:hAnsi="Arial" w:cs="Arial"/>
                <w:sz w:val="20"/>
                <w:szCs w:val="20"/>
              </w:rPr>
            </w:pPr>
          </w:p>
        </w:tc>
      </w:tr>
      <w:tr w:rsidR="00A47AF6" w:rsidRPr="00357839" w14:paraId="43347E08" w14:textId="77777777" w:rsidTr="005B64FB">
        <w:trPr>
          <w:cantSplit/>
        </w:trPr>
        <w:tc>
          <w:tcPr>
            <w:tcW w:w="922" w:type="pct"/>
            <w:vMerge/>
            <w:shd w:val="clear" w:color="auto" w:fill="auto"/>
            <w:vAlign w:val="center"/>
          </w:tcPr>
          <w:p w14:paraId="53D35E90" w14:textId="77777777" w:rsidR="00A47AF6" w:rsidRPr="00E42343" w:rsidRDefault="00A47AF6" w:rsidP="005C5ED5">
            <w:pPr>
              <w:spacing w:before="60" w:after="60"/>
              <w:rPr>
                <w:rFonts w:ascii="Arial" w:hAnsi="Arial" w:cs="Arial"/>
                <w:b/>
                <w:sz w:val="20"/>
                <w:szCs w:val="20"/>
              </w:rPr>
            </w:pPr>
          </w:p>
        </w:tc>
        <w:tc>
          <w:tcPr>
            <w:tcW w:w="1003" w:type="pct"/>
            <w:vMerge w:val="restart"/>
            <w:shd w:val="clear" w:color="auto" w:fill="auto"/>
            <w:vAlign w:val="center"/>
          </w:tcPr>
          <w:p w14:paraId="6EDF9D24" w14:textId="4B78C53D"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Mesure dans laquelle le patrimoine culturel immatériel et sa sauvegarde sont intégrés à l</w:t>
            </w:r>
            <w:r w:rsidR="005B64FB">
              <w:rPr>
                <w:rFonts w:ascii="Arial" w:hAnsi="Arial"/>
                <w:sz w:val="20"/>
                <w:szCs w:val="20"/>
              </w:rPr>
              <w:t>’</w:t>
            </w:r>
            <w:r w:rsidRPr="00E42343">
              <w:rPr>
                <w:rFonts w:ascii="Arial" w:hAnsi="Arial"/>
                <w:sz w:val="20"/>
                <w:szCs w:val="20"/>
              </w:rPr>
              <w:t>enseignement primaire et secondaire, inclus dans le contenu des disciplines pertinentes, et utilisé pour renforcer l</w:t>
            </w:r>
            <w:r w:rsidR="005B64FB">
              <w:rPr>
                <w:rFonts w:ascii="Arial" w:hAnsi="Arial"/>
                <w:sz w:val="20"/>
                <w:szCs w:val="20"/>
              </w:rPr>
              <w:t>’</w:t>
            </w:r>
            <w:r w:rsidRPr="00E42343">
              <w:rPr>
                <w:rFonts w:ascii="Arial" w:hAnsi="Arial"/>
                <w:sz w:val="20"/>
                <w:szCs w:val="20"/>
              </w:rPr>
              <w:t>enseignement et l</w:t>
            </w:r>
            <w:r w:rsidR="005B64FB">
              <w:rPr>
                <w:rFonts w:ascii="Arial" w:hAnsi="Arial"/>
                <w:sz w:val="20"/>
                <w:szCs w:val="20"/>
              </w:rPr>
              <w:t>’</w:t>
            </w:r>
            <w:r w:rsidRPr="00E42343">
              <w:rPr>
                <w:rFonts w:ascii="Arial" w:hAnsi="Arial"/>
                <w:sz w:val="20"/>
                <w:szCs w:val="20"/>
              </w:rPr>
              <w:t xml:space="preserve">apprentissage du et avec le PCI et le respect de son propre PCI et de celui des autres </w:t>
            </w:r>
          </w:p>
        </w:tc>
        <w:tc>
          <w:tcPr>
            <w:tcW w:w="2453" w:type="pct"/>
            <w:shd w:val="clear" w:color="auto" w:fill="auto"/>
            <w:vAlign w:val="center"/>
          </w:tcPr>
          <w:p w14:paraId="139C5E53" w14:textId="4D893B0E" w:rsidR="00A47AF6" w:rsidRPr="00E42343" w:rsidRDefault="00A47AF6" w:rsidP="00A47AF6">
            <w:pPr>
              <w:pStyle w:val="ListParagraph"/>
              <w:numPr>
                <w:ilvl w:val="1"/>
                <w:numId w:val="13"/>
              </w:numPr>
              <w:spacing w:before="60" w:after="60"/>
              <w:ind w:left="595" w:hanging="595"/>
              <w:jc w:val="left"/>
              <w:rPr>
                <w:rFonts w:ascii="Arial" w:hAnsi="Arial"/>
                <w:sz w:val="20"/>
                <w:szCs w:val="20"/>
              </w:rPr>
            </w:pPr>
            <w:r w:rsidRPr="00E42343">
              <w:rPr>
                <w:rFonts w:ascii="Arial" w:hAnsi="Arial"/>
                <w:sz w:val="20"/>
                <w:szCs w:val="20"/>
              </w:rPr>
              <w:t>Le PCI, dans sa diversité, est inclus dans le contenu des disciplines pertinentes, en tant qu</w:t>
            </w:r>
            <w:r w:rsidR="005B64FB">
              <w:rPr>
                <w:rFonts w:ascii="Arial" w:hAnsi="Arial"/>
                <w:sz w:val="20"/>
                <w:szCs w:val="20"/>
              </w:rPr>
              <w:t>’</w:t>
            </w:r>
            <w:r w:rsidRPr="00E42343">
              <w:rPr>
                <w:rFonts w:ascii="Arial" w:hAnsi="Arial"/>
                <w:sz w:val="20"/>
                <w:szCs w:val="20"/>
              </w:rPr>
              <w:t>apport en lui-même et/ou moyen d</w:t>
            </w:r>
            <w:r w:rsidR="005B64FB">
              <w:rPr>
                <w:rFonts w:ascii="Arial" w:hAnsi="Arial"/>
                <w:sz w:val="20"/>
                <w:szCs w:val="20"/>
              </w:rPr>
              <w:t>’</w:t>
            </w:r>
            <w:r w:rsidRPr="00E42343">
              <w:rPr>
                <w:rFonts w:ascii="Arial" w:hAnsi="Arial"/>
                <w:sz w:val="20"/>
                <w:szCs w:val="20"/>
              </w:rPr>
              <w:t>expliquer ou de démontrer d</w:t>
            </w:r>
            <w:r w:rsidR="005B64FB">
              <w:rPr>
                <w:rFonts w:ascii="Arial" w:hAnsi="Arial"/>
                <w:sz w:val="20"/>
                <w:szCs w:val="20"/>
              </w:rPr>
              <w:t>’</w:t>
            </w:r>
            <w:r w:rsidRPr="00E42343">
              <w:rPr>
                <w:rFonts w:ascii="Arial" w:hAnsi="Arial"/>
                <w:sz w:val="20"/>
                <w:szCs w:val="20"/>
              </w:rPr>
              <w:t>autres sujets.</w:t>
            </w:r>
          </w:p>
        </w:tc>
        <w:tc>
          <w:tcPr>
            <w:tcW w:w="77" w:type="pct"/>
            <w:tcBorders>
              <w:top w:val="nil"/>
              <w:bottom w:val="nil"/>
            </w:tcBorders>
            <w:shd w:val="clear" w:color="auto" w:fill="auto"/>
            <w:vAlign w:val="center"/>
          </w:tcPr>
          <w:p w14:paraId="70DB4D86"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2839F070" w14:textId="77777777" w:rsidR="00A47AF6" w:rsidRPr="00345EB5" w:rsidRDefault="00A47AF6" w:rsidP="005C5ED5">
            <w:pPr>
              <w:spacing w:before="60" w:after="60"/>
              <w:rPr>
                <w:rFonts w:ascii="Arial" w:hAnsi="Arial" w:cs="Arial"/>
                <w:sz w:val="20"/>
                <w:szCs w:val="20"/>
                <w:lang w:val="en-US"/>
              </w:rPr>
            </w:pPr>
            <w:r w:rsidRPr="00345EB5">
              <w:rPr>
                <w:rFonts w:ascii="Arial" w:hAnsi="Arial" w:cs="Arial"/>
                <w:sz w:val="20"/>
                <w:szCs w:val="20"/>
                <w:lang w:val="en-US"/>
              </w:rPr>
              <w:t>Article 14(a)(</w:t>
            </w:r>
            <w:proofErr w:type="spellStart"/>
            <w:r w:rsidRPr="00345EB5">
              <w:rPr>
                <w:rFonts w:ascii="Arial" w:hAnsi="Arial" w:cs="Arial"/>
                <w:sz w:val="20"/>
                <w:szCs w:val="20"/>
                <w:lang w:val="en-US"/>
              </w:rPr>
              <w:t>i</w:t>
            </w:r>
            <w:proofErr w:type="spellEnd"/>
            <w:r w:rsidRPr="00345EB5">
              <w:rPr>
                <w:rFonts w:ascii="Arial" w:hAnsi="Arial" w:cs="Arial"/>
                <w:sz w:val="20"/>
                <w:szCs w:val="20"/>
                <w:lang w:val="en-US"/>
              </w:rPr>
              <w:t>)</w:t>
            </w:r>
          </w:p>
          <w:p w14:paraId="51C9BBBF" w14:textId="77777777" w:rsidR="00A47AF6" w:rsidRPr="00345EB5" w:rsidRDefault="00A47AF6" w:rsidP="005C5ED5">
            <w:pPr>
              <w:spacing w:before="60" w:after="60"/>
              <w:rPr>
                <w:rFonts w:ascii="Arial" w:hAnsi="Arial" w:cs="Arial"/>
                <w:sz w:val="20"/>
                <w:szCs w:val="20"/>
                <w:lang w:val="en-US"/>
              </w:rPr>
            </w:pPr>
            <w:r w:rsidRPr="00345EB5">
              <w:rPr>
                <w:rFonts w:ascii="Arial" w:hAnsi="Arial" w:cs="Arial"/>
                <w:sz w:val="20"/>
                <w:szCs w:val="20"/>
                <w:lang w:val="en-US"/>
              </w:rPr>
              <w:t>DO 107</w:t>
            </w:r>
            <w:r>
              <w:rPr>
                <w:rFonts w:ascii="Arial" w:hAnsi="Arial" w:cs="Arial"/>
                <w:sz w:val="20"/>
                <w:szCs w:val="20"/>
                <w:lang w:val="en-US"/>
              </w:rPr>
              <w:t xml:space="preserve">, </w:t>
            </w:r>
            <w:r w:rsidRPr="00345EB5">
              <w:rPr>
                <w:rFonts w:ascii="Arial" w:hAnsi="Arial" w:cs="Arial"/>
                <w:sz w:val="20"/>
                <w:szCs w:val="20"/>
                <w:lang w:val="en-US"/>
              </w:rPr>
              <w:t>DO 180(a)(ii)</w:t>
            </w:r>
          </w:p>
        </w:tc>
      </w:tr>
      <w:tr w:rsidR="00A47AF6" w:rsidRPr="00E42343" w14:paraId="6452D837" w14:textId="77777777" w:rsidTr="005B64FB">
        <w:trPr>
          <w:cantSplit/>
        </w:trPr>
        <w:tc>
          <w:tcPr>
            <w:tcW w:w="922" w:type="pct"/>
            <w:vMerge/>
            <w:shd w:val="clear" w:color="auto" w:fill="auto"/>
            <w:vAlign w:val="center"/>
          </w:tcPr>
          <w:p w14:paraId="4FD3C51C" w14:textId="77777777" w:rsidR="00A47AF6" w:rsidRPr="00345EB5" w:rsidRDefault="00A47AF6" w:rsidP="005C5ED5">
            <w:pPr>
              <w:spacing w:before="60" w:after="60"/>
              <w:rPr>
                <w:rFonts w:ascii="Arial" w:hAnsi="Arial" w:cs="Arial"/>
                <w:sz w:val="20"/>
                <w:szCs w:val="20"/>
                <w:lang w:val="en-US"/>
              </w:rPr>
            </w:pPr>
          </w:p>
        </w:tc>
        <w:tc>
          <w:tcPr>
            <w:tcW w:w="1003" w:type="pct"/>
            <w:vMerge/>
            <w:shd w:val="clear" w:color="auto" w:fill="auto"/>
            <w:vAlign w:val="center"/>
          </w:tcPr>
          <w:p w14:paraId="0A3D9299"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772DBFBC" w14:textId="60FD6E8E" w:rsidR="00A47AF6" w:rsidRPr="00E42343" w:rsidRDefault="00A47AF6" w:rsidP="00A47AF6">
            <w:pPr>
              <w:pStyle w:val="ListParagraph"/>
              <w:numPr>
                <w:ilvl w:val="1"/>
                <w:numId w:val="13"/>
              </w:numPr>
              <w:spacing w:before="60" w:after="60"/>
              <w:ind w:left="595" w:hanging="595"/>
              <w:jc w:val="left"/>
              <w:rPr>
                <w:rFonts w:ascii="Arial" w:hAnsi="Arial"/>
                <w:sz w:val="20"/>
                <w:szCs w:val="20"/>
              </w:rPr>
            </w:pPr>
            <w:r w:rsidRPr="00E42343">
              <w:rPr>
                <w:rFonts w:ascii="Arial" w:hAnsi="Arial"/>
                <w:sz w:val="20"/>
                <w:szCs w:val="20"/>
              </w:rPr>
              <w:t>Les élèves apprennent à respecter et à réfléchir sur le PCI de leur propre communauté ou groupe, ainsi que sur celui des autres par le biais de programmes éducatifs et d</w:t>
            </w:r>
            <w:r w:rsidR="005B64FB">
              <w:rPr>
                <w:rFonts w:ascii="Arial" w:hAnsi="Arial"/>
                <w:sz w:val="20"/>
                <w:szCs w:val="20"/>
              </w:rPr>
              <w:t>’</w:t>
            </w:r>
            <w:r w:rsidRPr="00E42343">
              <w:rPr>
                <w:rFonts w:ascii="Arial" w:hAnsi="Arial"/>
                <w:sz w:val="20"/>
                <w:szCs w:val="20"/>
              </w:rPr>
              <w:t>enseignement.</w:t>
            </w:r>
          </w:p>
        </w:tc>
        <w:tc>
          <w:tcPr>
            <w:tcW w:w="77" w:type="pct"/>
            <w:tcBorders>
              <w:top w:val="nil"/>
              <w:bottom w:val="nil"/>
            </w:tcBorders>
            <w:shd w:val="clear" w:color="auto" w:fill="auto"/>
            <w:vAlign w:val="center"/>
          </w:tcPr>
          <w:p w14:paraId="31218C6E"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6F15189F"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Article 14(a)(</w:t>
            </w:r>
            <w:proofErr w:type="spellStart"/>
            <w:r w:rsidRPr="00E42343">
              <w:rPr>
                <w:rFonts w:ascii="Arial" w:hAnsi="Arial" w:cs="Arial"/>
                <w:sz w:val="20"/>
                <w:szCs w:val="20"/>
                <w:lang w:val="en-GB"/>
              </w:rPr>
              <w:t>i</w:t>
            </w:r>
            <w:proofErr w:type="spellEnd"/>
            <w:r w:rsidRPr="00E42343">
              <w:rPr>
                <w:rFonts w:ascii="Arial" w:hAnsi="Arial" w:cs="Arial"/>
                <w:sz w:val="20"/>
                <w:szCs w:val="20"/>
                <w:lang w:val="en-GB"/>
              </w:rPr>
              <w:t>)</w:t>
            </w:r>
          </w:p>
          <w:p w14:paraId="175E829A"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DO 105</w:t>
            </w:r>
            <w:r>
              <w:rPr>
                <w:rFonts w:ascii="Arial" w:hAnsi="Arial" w:cs="Arial"/>
                <w:sz w:val="20"/>
                <w:szCs w:val="20"/>
                <w:lang w:val="en-GB"/>
              </w:rPr>
              <w:t xml:space="preserve">, </w:t>
            </w:r>
            <w:r w:rsidRPr="00E42343">
              <w:rPr>
                <w:rFonts w:ascii="Arial" w:hAnsi="Arial" w:cs="Arial"/>
                <w:sz w:val="20"/>
                <w:szCs w:val="20"/>
                <w:lang w:val="en-GB"/>
              </w:rPr>
              <w:t>DO 180(a)(</w:t>
            </w:r>
            <w:proofErr w:type="spellStart"/>
            <w:r w:rsidRPr="00E42343">
              <w:rPr>
                <w:rFonts w:ascii="Arial" w:hAnsi="Arial" w:cs="Arial"/>
                <w:sz w:val="20"/>
                <w:szCs w:val="20"/>
                <w:lang w:val="en-GB"/>
              </w:rPr>
              <w:t>i</w:t>
            </w:r>
            <w:proofErr w:type="spellEnd"/>
            <w:r w:rsidRPr="00E42343">
              <w:rPr>
                <w:rFonts w:ascii="Arial" w:hAnsi="Arial" w:cs="Arial"/>
                <w:sz w:val="20"/>
                <w:szCs w:val="20"/>
                <w:lang w:val="en-GB"/>
              </w:rPr>
              <w:t>)</w:t>
            </w:r>
          </w:p>
          <w:p w14:paraId="1FC504B8"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PE 11</w:t>
            </w:r>
          </w:p>
        </w:tc>
      </w:tr>
      <w:tr w:rsidR="00A47AF6" w:rsidRPr="00E42343" w14:paraId="294117A0" w14:textId="77777777" w:rsidTr="005B64FB">
        <w:trPr>
          <w:cantSplit/>
        </w:trPr>
        <w:tc>
          <w:tcPr>
            <w:tcW w:w="922" w:type="pct"/>
            <w:vMerge/>
            <w:shd w:val="clear" w:color="auto" w:fill="auto"/>
            <w:vAlign w:val="center"/>
          </w:tcPr>
          <w:p w14:paraId="593D99DC" w14:textId="77777777" w:rsidR="00A47AF6" w:rsidRPr="00E42343" w:rsidRDefault="00A47AF6" w:rsidP="005C5ED5">
            <w:pPr>
              <w:spacing w:before="60" w:after="60"/>
              <w:rPr>
                <w:rFonts w:ascii="Arial" w:hAnsi="Arial" w:cs="Arial"/>
                <w:sz w:val="20"/>
                <w:szCs w:val="20"/>
              </w:rPr>
            </w:pPr>
          </w:p>
        </w:tc>
        <w:tc>
          <w:tcPr>
            <w:tcW w:w="1003" w:type="pct"/>
            <w:vMerge/>
            <w:shd w:val="clear" w:color="auto" w:fill="auto"/>
            <w:vAlign w:val="center"/>
          </w:tcPr>
          <w:p w14:paraId="2B446BA2"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7AE1F01A" w14:textId="7C488283" w:rsidR="00A47AF6" w:rsidRPr="00E42343" w:rsidRDefault="00A47AF6" w:rsidP="00A47AF6">
            <w:pPr>
              <w:pStyle w:val="ListParagraph"/>
              <w:numPr>
                <w:ilvl w:val="1"/>
                <w:numId w:val="13"/>
              </w:numPr>
              <w:spacing w:before="60" w:after="60"/>
              <w:ind w:left="595" w:hanging="595"/>
              <w:jc w:val="left"/>
              <w:rPr>
                <w:rFonts w:ascii="Arial" w:hAnsi="Arial"/>
                <w:sz w:val="20"/>
                <w:szCs w:val="20"/>
              </w:rPr>
            </w:pPr>
            <w:r w:rsidRPr="00E42343">
              <w:rPr>
                <w:rFonts w:ascii="Arial" w:hAnsi="Arial"/>
                <w:sz w:val="20"/>
                <w:szCs w:val="20"/>
              </w:rPr>
              <w:t>La diversité des apprenants du PCI se traduit par l</w:t>
            </w:r>
            <w:r w:rsidR="005B64FB">
              <w:rPr>
                <w:rFonts w:ascii="Arial" w:hAnsi="Arial"/>
                <w:sz w:val="20"/>
                <w:szCs w:val="20"/>
              </w:rPr>
              <w:t>’</w:t>
            </w:r>
            <w:r w:rsidRPr="00E42343">
              <w:rPr>
                <w:rFonts w:ascii="Arial" w:hAnsi="Arial"/>
                <w:sz w:val="20"/>
                <w:szCs w:val="20"/>
              </w:rPr>
              <w:t>enseignement en langue maternelle ou l</w:t>
            </w:r>
            <w:r w:rsidR="005B64FB">
              <w:rPr>
                <w:rFonts w:ascii="Arial" w:hAnsi="Arial"/>
                <w:sz w:val="20"/>
                <w:szCs w:val="20"/>
              </w:rPr>
              <w:t>’</w:t>
            </w:r>
            <w:r w:rsidRPr="00E42343">
              <w:rPr>
                <w:rFonts w:ascii="Arial" w:hAnsi="Arial"/>
                <w:sz w:val="20"/>
                <w:szCs w:val="20"/>
              </w:rPr>
              <w:t>éducation multilingue et/ou l</w:t>
            </w:r>
            <w:r w:rsidR="005B64FB">
              <w:rPr>
                <w:rFonts w:ascii="Arial" w:hAnsi="Arial"/>
                <w:sz w:val="20"/>
                <w:szCs w:val="20"/>
              </w:rPr>
              <w:t>’</w:t>
            </w:r>
            <w:r w:rsidRPr="00E42343">
              <w:rPr>
                <w:rFonts w:ascii="Arial" w:hAnsi="Arial"/>
                <w:sz w:val="20"/>
                <w:szCs w:val="20"/>
              </w:rPr>
              <w:t>inclusion de « contenu local » dans le programme d</w:t>
            </w:r>
            <w:r w:rsidR="005B64FB">
              <w:rPr>
                <w:rFonts w:ascii="Arial" w:hAnsi="Arial"/>
                <w:sz w:val="20"/>
                <w:szCs w:val="20"/>
              </w:rPr>
              <w:t>’</w:t>
            </w:r>
            <w:r w:rsidRPr="00E42343">
              <w:rPr>
                <w:rFonts w:ascii="Arial" w:hAnsi="Arial"/>
                <w:sz w:val="20"/>
                <w:szCs w:val="20"/>
              </w:rPr>
              <w:t>enseignement.</w:t>
            </w:r>
          </w:p>
        </w:tc>
        <w:tc>
          <w:tcPr>
            <w:tcW w:w="77" w:type="pct"/>
            <w:tcBorders>
              <w:top w:val="nil"/>
              <w:bottom w:val="nil"/>
            </w:tcBorders>
            <w:shd w:val="clear" w:color="auto" w:fill="auto"/>
            <w:vAlign w:val="center"/>
          </w:tcPr>
          <w:p w14:paraId="48C515DF"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4BE4F2BD"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107</w:t>
            </w:r>
          </w:p>
        </w:tc>
      </w:tr>
      <w:tr w:rsidR="00A47AF6" w:rsidRPr="00E42343" w14:paraId="792DCBC7" w14:textId="77777777" w:rsidTr="005B64FB">
        <w:trPr>
          <w:cantSplit/>
        </w:trPr>
        <w:tc>
          <w:tcPr>
            <w:tcW w:w="922" w:type="pct"/>
            <w:vMerge/>
            <w:shd w:val="clear" w:color="auto" w:fill="auto"/>
            <w:vAlign w:val="center"/>
          </w:tcPr>
          <w:p w14:paraId="41341C3B" w14:textId="77777777" w:rsidR="00A47AF6" w:rsidRPr="00E42343" w:rsidRDefault="00A47AF6" w:rsidP="005C5ED5">
            <w:pPr>
              <w:spacing w:before="60" w:after="60"/>
              <w:rPr>
                <w:rFonts w:ascii="Arial" w:hAnsi="Arial" w:cs="Arial"/>
                <w:sz w:val="20"/>
                <w:szCs w:val="20"/>
              </w:rPr>
            </w:pPr>
          </w:p>
        </w:tc>
        <w:tc>
          <w:tcPr>
            <w:tcW w:w="1003" w:type="pct"/>
            <w:vMerge/>
            <w:shd w:val="clear" w:color="auto" w:fill="auto"/>
            <w:vAlign w:val="center"/>
          </w:tcPr>
          <w:p w14:paraId="072BEBBD"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3AFF5F24" w14:textId="49430D3F" w:rsidR="00A47AF6" w:rsidRPr="00E42343" w:rsidRDefault="00A47AF6" w:rsidP="00A47AF6">
            <w:pPr>
              <w:pStyle w:val="ListParagraph"/>
              <w:numPr>
                <w:ilvl w:val="1"/>
                <w:numId w:val="13"/>
              </w:numPr>
              <w:spacing w:before="60" w:after="60"/>
              <w:ind w:left="595" w:hanging="595"/>
              <w:jc w:val="left"/>
              <w:rPr>
                <w:rFonts w:ascii="Arial" w:hAnsi="Arial"/>
                <w:sz w:val="20"/>
                <w:szCs w:val="20"/>
              </w:rPr>
            </w:pPr>
            <w:r w:rsidRPr="00E42343">
              <w:rPr>
                <w:rFonts w:ascii="Arial" w:hAnsi="Arial"/>
                <w:sz w:val="20"/>
                <w:szCs w:val="20"/>
              </w:rPr>
              <w:t>Les programmes éducatifs enseignent la protection des espaces naturels et culturels et des lieux de mémoire dont l</w:t>
            </w:r>
            <w:r w:rsidR="005B64FB">
              <w:rPr>
                <w:rFonts w:ascii="Arial" w:hAnsi="Arial"/>
                <w:sz w:val="20"/>
                <w:szCs w:val="20"/>
              </w:rPr>
              <w:t>’</w:t>
            </w:r>
            <w:r w:rsidRPr="00E42343">
              <w:rPr>
                <w:rFonts w:ascii="Arial" w:hAnsi="Arial"/>
                <w:sz w:val="20"/>
                <w:szCs w:val="20"/>
              </w:rPr>
              <w:t>existence est nécessaire à l</w:t>
            </w:r>
            <w:r w:rsidR="005B64FB">
              <w:rPr>
                <w:rFonts w:ascii="Arial" w:hAnsi="Arial"/>
                <w:sz w:val="20"/>
                <w:szCs w:val="20"/>
              </w:rPr>
              <w:t>’</w:t>
            </w:r>
            <w:r w:rsidRPr="00E42343">
              <w:rPr>
                <w:rFonts w:ascii="Arial" w:hAnsi="Arial"/>
                <w:sz w:val="20"/>
                <w:szCs w:val="20"/>
              </w:rPr>
              <w:t>expression du PCI.</w:t>
            </w:r>
          </w:p>
        </w:tc>
        <w:tc>
          <w:tcPr>
            <w:tcW w:w="77" w:type="pct"/>
            <w:tcBorders>
              <w:top w:val="nil"/>
              <w:bottom w:val="nil"/>
            </w:tcBorders>
            <w:shd w:val="clear" w:color="auto" w:fill="auto"/>
            <w:vAlign w:val="center"/>
          </w:tcPr>
          <w:p w14:paraId="71F1CBBB"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6421B519"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Article 14(c)</w:t>
            </w:r>
          </w:p>
          <w:p w14:paraId="7C2D7D22"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DO 155(e)</w:t>
            </w:r>
            <w:r>
              <w:rPr>
                <w:rFonts w:ascii="Arial" w:hAnsi="Arial" w:cs="Arial"/>
                <w:sz w:val="20"/>
                <w:szCs w:val="20"/>
                <w:lang w:val="en-GB"/>
              </w:rPr>
              <w:t xml:space="preserve">, </w:t>
            </w:r>
            <w:r w:rsidRPr="00E42343">
              <w:rPr>
                <w:rFonts w:ascii="Arial" w:hAnsi="Arial" w:cs="Arial"/>
                <w:sz w:val="20"/>
                <w:szCs w:val="20"/>
                <w:lang w:val="en-GB"/>
              </w:rPr>
              <w:t>DO 180(d)</w:t>
            </w:r>
          </w:p>
          <w:p w14:paraId="7826879F"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PE 5</w:t>
            </w:r>
          </w:p>
        </w:tc>
      </w:tr>
      <w:tr w:rsidR="00A47AF6" w:rsidRPr="00E42343" w14:paraId="2E5CC14E" w14:textId="77777777" w:rsidTr="005B64FB">
        <w:trPr>
          <w:cantSplit/>
        </w:trPr>
        <w:tc>
          <w:tcPr>
            <w:tcW w:w="922" w:type="pct"/>
            <w:vMerge/>
            <w:shd w:val="clear" w:color="auto" w:fill="auto"/>
            <w:vAlign w:val="center"/>
          </w:tcPr>
          <w:p w14:paraId="6CEF9C95" w14:textId="77777777" w:rsidR="00A47AF6" w:rsidRPr="00E42343" w:rsidRDefault="00A47AF6" w:rsidP="005C5ED5">
            <w:pPr>
              <w:spacing w:before="60" w:after="60"/>
              <w:rPr>
                <w:rFonts w:ascii="Arial" w:hAnsi="Arial" w:cs="Arial"/>
                <w:sz w:val="20"/>
                <w:szCs w:val="20"/>
              </w:rPr>
            </w:pPr>
          </w:p>
        </w:tc>
        <w:tc>
          <w:tcPr>
            <w:tcW w:w="1003" w:type="pct"/>
            <w:vMerge w:val="restart"/>
            <w:shd w:val="clear" w:color="auto" w:fill="auto"/>
            <w:vAlign w:val="center"/>
          </w:tcPr>
          <w:p w14:paraId="3F56F3BE" w14:textId="74885CD0"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Mesure dans laquelle l</w:t>
            </w:r>
            <w:r w:rsidR="005B64FB">
              <w:rPr>
                <w:rFonts w:ascii="Arial" w:hAnsi="Arial"/>
                <w:sz w:val="20"/>
                <w:szCs w:val="20"/>
              </w:rPr>
              <w:t>’</w:t>
            </w:r>
            <w:r w:rsidRPr="00E42343">
              <w:rPr>
                <w:rFonts w:ascii="Arial" w:hAnsi="Arial"/>
                <w:sz w:val="20"/>
                <w:szCs w:val="20"/>
              </w:rPr>
              <w:t>éducation postsecondaire soutient la pratique et la transmission du PCI ainsi que l</w:t>
            </w:r>
            <w:r w:rsidR="005B64FB">
              <w:rPr>
                <w:rFonts w:ascii="Arial" w:hAnsi="Arial"/>
                <w:sz w:val="20"/>
                <w:szCs w:val="20"/>
              </w:rPr>
              <w:t>’</w:t>
            </w:r>
            <w:r w:rsidRPr="00E42343">
              <w:rPr>
                <w:rFonts w:ascii="Arial" w:hAnsi="Arial"/>
                <w:sz w:val="20"/>
                <w:szCs w:val="20"/>
              </w:rPr>
              <w:t>étude de ses dimensions sociales, culturelles et autres.</w:t>
            </w:r>
          </w:p>
        </w:tc>
        <w:tc>
          <w:tcPr>
            <w:tcW w:w="2453" w:type="pct"/>
            <w:shd w:val="clear" w:color="auto" w:fill="auto"/>
            <w:vAlign w:val="center"/>
          </w:tcPr>
          <w:p w14:paraId="05D1A45B" w14:textId="50BDAE69" w:rsidR="00A47AF6" w:rsidRPr="00E42343" w:rsidRDefault="00A47AF6" w:rsidP="00A47AF6">
            <w:pPr>
              <w:pStyle w:val="ListParagraph"/>
              <w:numPr>
                <w:ilvl w:val="1"/>
                <w:numId w:val="17"/>
              </w:numPr>
              <w:spacing w:before="60" w:after="60"/>
              <w:ind w:left="567" w:hanging="567"/>
              <w:jc w:val="left"/>
              <w:rPr>
                <w:rFonts w:ascii="Arial" w:hAnsi="Arial"/>
                <w:sz w:val="20"/>
                <w:szCs w:val="20"/>
              </w:rPr>
            </w:pPr>
            <w:r w:rsidRPr="00E42343">
              <w:rPr>
                <w:rFonts w:ascii="Arial" w:hAnsi="Arial"/>
                <w:sz w:val="20"/>
                <w:szCs w:val="20"/>
              </w:rPr>
              <w:t>Les établissements d</w:t>
            </w:r>
            <w:r w:rsidR="005B64FB">
              <w:rPr>
                <w:rFonts w:ascii="Arial" w:hAnsi="Arial"/>
                <w:sz w:val="20"/>
                <w:szCs w:val="20"/>
              </w:rPr>
              <w:t>’</w:t>
            </w:r>
            <w:r w:rsidRPr="00E42343">
              <w:rPr>
                <w:rFonts w:ascii="Arial" w:hAnsi="Arial"/>
                <w:sz w:val="20"/>
                <w:szCs w:val="20"/>
              </w:rPr>
              <w:t>enseignement postsecondaire proposent des programmes et des diplômes (dans des domaines tels que la musique, les arts, l</w:t>
            </w:r>
            <w:r w:rsidR="005B64FB">
              <w:rPr>
                <w:rFonts w:ascii="Arial" w:hAnsi="Arial"/>
                <w:sz w:val="20"/>
                <w:szCs w:val="20"/>
              </w:rPr>
              <w:t>’</w:t>
            </w:r>
            <w:r w:rsidRPr="00E42343">
              <w:rPr>
                <w:rFonts w:ascii="Arial" w:hAnsi="Arial"/>
                <w:sz w:val="20"/>
                <w:szCs w:val="20"/>
              </w:rPr>
              <w:t>artisanat</w:t>
            </w:r>
            <w:r w:rsidRPr="004C6E46">
              <w:rPr>
                <w:rFonts w:ascii="Arial" w:hAnsi="Arial"/>
                <w:sz w:val="20"/>
                <w:szCs w:val="20"/>
              </w:rPr>
              <w:t>, l</w:t>
            </w:r>
            <w:r w:rsidR="005B64FB">
              <w:rPr>
                <w:rFonts w:ascii="Arial" w:hAnsi="Arial"/>
                <w:sz w:val="20"/>
                <w:szCs w:val="20"/>
              </w:rPr>
              <w:t>’</w:t>
            </w:r>
            <w:r w:rsidRPr="004C6E46">
              <w:rPr>
                <w:rFonts w:ascii="Arial" w:hAnsi="Arial"/>
                <w:sz w:val="20"/>
                <w:szCs w:val="20"/>
              </w:rPr>
              <w:t>enseignement et la formation technique et professionnelle</w:t>
            </w:r>
            <w:r w:rsidRPr="00E42343">
              <w:rPr>
                <w:rFonts w:ascii="Arial" w:hAnsi="Arial"/>
                <w:sz w:val="20"/>
                <w:szCs w:val="20"/>
              </w:rPr>
              <w:t>, etc.) qui renforcent la pratique et la transmission du PCI.</w:t>
            </w:r>
          </w:p>
        </w:tc>
        <w:tc>
          <w:tcPr>
            <w:tcW w:w="77" w:type="pct"/>
            <w:tcBorders>
              <w:top w:val="nil"/>
              <w:bottom w:val="nil"/>
            </w:tcBorders>
            <w:shd w:val="clear" w:color="auto" w:fill="auto"/>
            <w:vAlign w:val="center"/>
          </w:tcPr>
          <w:p w14:paraId="569AF2DA"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1636D17" w14:textId="77777777" w:rsidR="00A47AF6" w:rsidRPr="00E42343" w:rsidRDefault="00A47AF6" w:rsidP="005C5ED5">
            <w:pPr>
              <w:spacing w:before="60" w:after="60"/>
              <w:rPr>
                <w:rFonts w:ascii="Arial" w:hAnsi="Arial" w:cs="Arial"/>
                <w:sz w:val="20"/>
                <w:szCs w:val="20"/>
              </w:rPr>
            </w:pPr>
          </w:p>
        </w:tc>
      </w:tr>
      <w:tr w:rsidR="00A47AF6" w:rsidRPr="00E42343" w14:paraId="3A8AEA09" w14:textId="77777777" w:rsidTr="005B64FB">
        <w:trPr>
          <w:cantSplit/>
        </w:trPr>
        <w:tc>
          <w:tcPr>
            <w:tcW w:w="922" w:type="pct"/>
            <w:vMerge/>
            <w:shd w:val="clear" w:color="auto" w:fill="auto"/>
            <w:vAlign w:val="center"/>
          </w:tcPr>
          <w:p w14:paraId="37709EC9" w14:textId="77777777" w:rsidR="00A47AF6" w:rsidRPr="00E42343" w:rsidRDefault="00A47AF6" w:rsidP="005C5ED5">
            <w:pPr>
              <w:spacing w:before="60" w:after="60"/>
              <w:rPr>
                <w:rFonts w:ascii="Arial" w:hAnsi="Arial" w:cs="Arial"/>
                <w:sz w:val="20"/>
                <w:szCs w:val="20"/>
              </w:rPr>
            </w:pPr>
          </w:p>
        </w:tc>
        <w:tc>
          <w:tcPr>
            <w:tcW w:w="1003" w:type="pct"/>
            <w:vMerge/>
            <w:shd w:val="clear" w:color="auto" w:fill="auto"/>
            <w:vAlign w:val="center"/>
          </w:tcPr>
          <w:p w14:paraId="76884980"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p>
        </w:tc>
        <w:tc>
          <w:tcPr>
            <w:tcW w:w="2453" w:type="pct"/>
            <w:shd w:val="clear" w:color="auto" w:fill="auto"/>
            <w:vAlign w:val="center"/>
          </w:tcPr>
          <w:p w14:paraId="6578B473" w14:textId="3EEA38CB" w:rsidR="00A47AF6" w:rsidRPr="00E42343" w:rsidRDefault="00A47AF6" w:rsidP="00A47AF6">
            <w:pPr>
              <w:pStyle w:val="ListParagraph"/>
              <w:numPr>
                <w:ilvl w:val="1"/>
                <w:numId w:val="17"/>
              </w:numPr>
              <w:spacing w:before="60" w:after="60"/>
              <w:ind w:left="567" w:hanging="567"/>
              <w:jc w:val="left"/>
              <w:rPr>
                <w:rFonts w:ascii="Arial" w:hAnsi="Arial"/>
                <w:sz w:val="20"/>
                <w:szCs w:val="20"/>
              </w:rPr>
            </w:pPr>
            <w:r w:rsidRPr="00E42343">
              <w:rPr>
                <w:rFonts w:ascii="Arial" w:hAnsi="Arial"/>
                <w:sz w:val="20"/>
                <w:szCs w:val="20"/>
              </w:rPr>
              <w:t>Les établissements d</w:t>
            </w:r>
            <w:r w:rsidR="005B64FB">
              <w:rPr>
                <w:rFonts w:ascii="Arial" w:hAnsi="Arial"/>
                <w:sz w:val="20"/>
                <w:szCs w:val="20"/>
              </w:rPr>
              <w:t>’</w:t>
            </w:r>
            <w:r w:rsidRPr="00E42343">
              <w:rPr>
                <w:rFonts w:ascii="Arial" w:hAnsi="Arial"/>
                <w:sz w:val="20"/>
                <w:szCs w:val="20"/>
              </w:rPr>
              <w:t>enseignement postsecondaire proposent des programmes et des diplômes pour l</w:t>
            </w:r>
            <w:r w:rsidR="005B64FB">
              <w:rPr>
                <w:rFonts w:ascii="Arial" w:hAnsi="Arial"/>
                <w:sz w:val="20"/>
                <w:szCs w:val="20"/>
              </w:rPr>
              <w:t>’</w:t>
            </w:r>
            <w:r w:rsidRPr="00E42343">
              <w:rPr>
                <w:rFonts w:ascii="Arial" w:hAnsi="Arial"/>
                <w:sz w:val="20"/>
                <w:szCs w:val="20"/>
              </w:rPr>
              <w:t>étude du PCI et de ses dimensions sociales, culturelles</w:t>
            </w:r>
            <w:r>
              <w:rPr>
                <w:rFonts w:ascii="Arial" w:hAnsi="Arial"/>
                <w:sz w:val="20"/>
                <w:szCs w:val="20"/>
              </w:rPr>
              <w:t xml:space="preserve"> et autres</w:t>
            </w:r>
            <w:r w:rsidRPr="00E42343">
              <w:rPr>
                <w:rFonts w:ascii="Arial" w:hAnsi="Arial"/>
                <w:sz w:val="20"/>
                <w:szCs w:val="20"/>
              </w:rPr>
              <w:t>.</w:t>
            </w:r>
          </w:p>
        </w:tc>
        <w:tc>
          <w:tcPr>
            <w:tcW w:w="77" w:type="pct"/>
            <w:tcBorders>
              <w:top w:val="nil"/>
              <w:bottom w:val="nil"/>
            </w:tcBorders>
            <w:shd w:val="clear" w:color="auto" w:fill="auto"/>
            <w:vAlign w:val="center"/>
          </w:tcPr>
          <w:p w14:paraId="62AF90D8"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04548BFC" w14:textId="77777777" w:rsidR="00A47AF6" w:rsidRPr="00E42343" w:rsidRDefault="00A47AF6" w:rsidP="005C5ED5">
            <w:pPr>
              <w:spacing w:before="60" w:after="60"/>
              <w:rPr>
                <w:rFonts w:ascii="Arial" w:hAnsi="Arial" w:cs="Arial"/>
                <w:sz w:val="20"/>
                <w:szCs w:val="20"/>
              </w:rPr>
            </w:pPr>
          </w:p>
        </w:tc>
      </w:tr>
      <w:tr w:rsidR="00A47AF6" w:rsidRPr="00E42343" w14:paraId="1F16F993" w14:textId="77777777" w:rsidTr="005B64FB">
        <w:trPr>
          <w:cantSplit/>
        </w:trPr>
        <w:tc>
          <w:tcPr>
            <w:tcW w:w="922" w:type="pct"/>
            <w:vMerge w:val="restart"/>
            <w:shd w:val="clear" w:color="auto" w:fill="auto"/>
            <w:vAlign w:val="center"/>
          </w:tcPr>
          <w:p w14:paraId="7E412A8A" w14:textId="77777777" w:rsidR="00A47AF6" w:rsidRPr="00E42343" w:rsidRDefault="00A47AF6" w:rsidP="005C5ED5">
            <w:pPr>
              <w:spacing w:before="60" w:after="60"/>
              <w:rPr>
                <w:rFonts w:ascii="Arial" w:hAnsi="Arial" w:cs="Arial"/>
                <w:b/>
                <w:sz w:val="20"/>
                <w:szCs w:val="20"/>
              </w:rPr>
            </w:pPr>
            <w:r w:rsidRPr="00E42343">
              <w:rPr>
                <w:rFonts w:ascii="Arial" w:hAnsi="Arial" w:cs="Arial"/>
                <w:b/>
                <w:sz w:val="20"/>
                <w:szCs w:val="20"/>
              </w:rPr>
              <w:t>Inventaire et recherche</w:t>
            </w:r>
          </w:p>
        </w:tc>
        <w:tc>
          <w:tcPr>
            <w:tcW w:w="1003" w:type="pct"/>
            <w:vMerge w:val="restart"/>
            <w:shd w:val="clear" w:color="auto" w:fill="auto"/>
            <w:vAlign w:val="center"/>
          </w:tcPr>
          <w:p w14:paraId="2509F715"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Mesure dans laquelle les inventaires reflètent la diversité du PCI et contribuent à sa sauvegarde</w:t>
            </w:r>
          </w:p>
        </w:tc>
        <w:tc>
          <w:tcPr>
            <w:tcW w:w="2453" w:type="pct"/>
            <w:shd w:val="clear" w:color="auto" w:fill="auto"/>
            <w:vAlign w:val="center"/>
          </w:tcPr>
          <w:p w14:paraId="0A58995A" w14:textId="01375F92" w:rsidR="00A47AF6" w:rsidRPr="00E42343" w:rsidRDefault="00A47AF6" w:rsidP="00A47AF6">
            <w:pPr>
              <w:pStyle w:val="ListParagraph"/>
              <w:numPr>
                <w:ilvl w:val="1"/>
                <w:numId w:val="21"/>
              </w:numPr>
              <w:spacing w:before="60" w:after="60"/>
              <w:ind w:left="567" w:hanging="567"/>
              <w:jc w:val="left"/>
              <w:rPr>
                <w:rFonts w:ascii="Arial" w:hAnsi="Arial"/>
                <w:vanish/>
                <w:sz w:val="20"/>
                <w:szCs w:val="20"/>
              </w:rPr>
            </w:pPr>
            <w:r w:rsidRPr="00E42343">
              <w:rPr>
                <w:rFonts w:ascii="Arial" w:hAnsi="Arial"/>
                <w:sz w:val="20"/>
                <w:szCs w:val="20"/>
              </w:rPr>
              <w:t>Un ou plusieurs systèmes d</w:t>
            </w:r>
            <w:r w:rsidR="005B64FB">
              <w:rPr>
                <w:rFonts w:ascii="Arial" w:hAnsi="Arial"/>
                <w:sz w:val="20"/>
                <w:szCs w:val="20"/>
              </w:rPr>
              <w:t>’</w:t>
            </w:r>
            <w:r w:rsidRPr="00E42343">
              <w:rPr>
                <w:rFonts w:ascii="Arial" w:hAnsi="Arial"/>
                <w:sz w:val="20"/>
                <w:szCs w:val="20"/>
              </w:rPr>
              <w:t>inventaire orientés vers la sauvegarde et reflétant la diversité du PCI ont été établis ou révisés depuis la ratification.</w:t>
            </w:r>
          </w:p>
        </w:tc>
        <w:tc>
          <w:tcPr>
            <w:tcW w:w="77" w:type="pct"/>
            <w:tcBorders>
              <w:top w:val="nil"/>
              <w:bottom w:val="nil"/>
            </w:tcBorders>
            <w:shd w:val="clear" w:color="auto" w:fill="auto"/>
            <w:vAlign w:val="center"/>
          </w:tcPr>
          <w:p w14:paraId="03FFD86E"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091EB96C"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Articles 11 et 12</w:t>
            </w:r>
          </w:p>
          <w:p w14:paraId="7ABC2651"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 DO 2</w:t>
            </w:r>
          </w:p>
        </w:tc>
      </w:tr>
      <w:tr w:rsidR="00A47AF6" w:rsidRPr="00E42343" w14:paraId="6D06443F" w14:textId="77777777" w:rsidTr="005B64FB">
        <w:trPr>
          <w:cantSplit/>
        </w:trPr>
        <w:tc>
          <w:tcPr>
            <w:tcW w:w="922" w:type="pct"/>
            <w:vMerge/>
            <w:shd w:val="clear" w:color="auto" w:fill="auto"/>
            <w:vAlign w:val="center"/>
          </w:tcPr>
          <w:p w14:paraId="4F713187" w14:textId="77777777" w:rsidR="00A47AF6" w:rsidRPr="00E42343" w:rsidRDefault="00A47AF6" w:rsidP="005C5ED5">
            <w:pPr>
              <w:spacing w:before="60" w:after="60"/>
              <w:rPr>
                <w:rFonts w:ascii="Arial" w:hAnsi="Arial" w:cs="Arial"/>
                <w:sz w:val="20"/>
                <w:szCs w:val="20"/>
              </w:rPr>
            </w:pPr>
          </w:p>
        </w:tc>
        <w:tc>
          <w:tcPr>
            <w:tcW w:w="1003" w:type="pct"/>
            <w:vMerge/>
            <w:shd w:val="clear" w:color="auto" w:fill="auto"/>
            <w:vAlign w:val="center"/>
          </w:tcPr>
          <w:p w14:paraId="4485D991"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5DF85B21" w14:textId="77777777" w:rsidR="00A47AF6" w:rsidRPr="00E42343" w:rsidRDefault="00A47AF6" w:rsidP="00A47AF6">
            <w:pPr>
              <w:pStyle w:val="ListParagraph"/>
              <w:numPr>
                <w:ilvl w:val="1"/>
                <w:numId w:val="21"/>
              </w:numPr>
              <w:spacing w:before="60" w:after="60"/>
              <w:ind w:left="567" w:hanging="567"/>
              <w:jc w:val="left"/>
              <w:rPr>
                <w:rFonts w:ascii="Arial" w:hAnsi="Arial"/>
                <w:sz w:val="20"/>
                <w:szCs w:val="20"/>
              </w:rPr>
            </w:pPr>
            <w:r w:rsidRPr="00E42343">
              <w:rPr>
                <w:rFonts w:ascii="Arial" w:hAnsi="Arial"/>
                <w:sz w:val="20"/>
                <w:szCs w:val="20"/>
              </w:rPr>
              <w:t>Des inventaires spécialisés et</w:t>
            </w:r>
            <w:r>
              <w:rPr>
                <w:rFonts w:ascii="Arial" w:hAnsi="Arial"/>
                <w:sz w:val="20"/>
                <w:szCs w:val="20"/>
              </w:rPr>
              <w:t>/ou</w:t>
            </w:r>
            <w:r w:rsidRPr="00E42343">
              <w:rPr>
                <w:rFonts w:ascii="Arial" w:hAnsi="Arial"/>
                <w:sz w:val="20"/>
                <w:szCs w:val="20"/>
              </w:rPr>
              <w:t xml:space="preserve"> de différentes étendues reflètent la diversité et contribuent à la sauvegarde.</w:t>
            </w:r>
          </w:p>
        </w:tc>
        <w:tc>
          <w:tcPr>
            <w:tcW w:w="77" w:type="pct"/>
            <w:tcBorders>
              <w:top w:val="nil"/>
              <w:bottom w:val="nil"/>
            </w:tcBorders>
            <w:shd w:val="clear" w:color="auto" w:fill="auto"/>
            <w:vAlign w:val="center"/>
          </w:tcPr>
          <w:p w14:paraId="1BCCD775"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C726E82" w14:textId="77777777" w:rsidR="00A47AF6" w:rsidRPr="00E42343" w:rsidRDefault="00A47AF6" w:rsidP="005C5ED5">
            <w:pPr>
              <w:spacing w:before="60" w:after="60"/>
              <w:rPr>
                <w:rFonts w:ascii="Arial" w:hAnsi="Arial" w:cs="Arial"/>
                <w:sz w:val="20"/>
                <w:szCs w:val="20"/>
              </w:rPr>
            </w:pPr>
          </w:p>
        </w:tc>
      </w:tr>
      <w:tr w:rsidR="00A47AF6" w:rsidRPr="00E42343" w14:paraId="17F25FB5" w14:textId="77777777" w:rsidTr="005B64FB">
        <w:trPr>
          <w:cantSplit/>
        </w:trPr>
        <w:tc>
          <w:tcPr>
            <w:tcW w:w="922" w:type="pct"/>
            <w:vMerge/>
            <w:shd w:val="clear" w:color="auto" w:fill="auto"/>
            <w:vAlign w:val="center"/>
          </w:tcPr>
          <w:p w14:paraId="2475089E" w14:textId="77777777" w:rsidR="00A47AF6" w:rsidRPr="00E42343" w:rsidRDefault="00A47AF6" w:rsidP="005C5ED5">
            <w:pPr>
              <w:spacing w:before="60" w:after="60"/>
              <w:rPr>
                <w:rFonts w:ascii="Arial" w:hAnsi="Arial" w:cs="Arial"/>
                <w:sz w:val="20"/>
                <w:szCs w:val="20"/>
              </w:rPr>
            </w:pPr>
          </w:p>
        </w:tc>
        <w:tc>
          <w:tcPr>
            <w:tcW w:w="1003" w:type="pct"/>
            <w:vMerge/>
            <w:shd w:val="clear" w:color="auto" w:fill="auto"/>
            <w:vAlign w:val="center"/>
          </w:tcPr>
          <w:p w14:paraId="38D8663F"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p>
        </w:tc>
        <w:tc>
          <w:tcPr>
            <w:tcW w:w="2453" w:type="pct"/>
            <w:shd w:val="clear" w:color="auto" w:fill="auto"/>
            <w:vAlign w:val="center"/>
          </w:tcPr>
          <w:p w14:paraId="60D75859" w14:textId="77777777" w:rsidR="00A47AF6" w:rsidRPr="00E42343" w:rsidRDefault="00A47AF6" w:rsidP="00A47AF6">
            <w:pPr>
              <w:pStyle w:val="ListParagraph"/>
              <w:numPr>
                <w:ilvl w:val="1"/>
                <w:numId w:val="21"/>
              </w:numPr>
              <w:spacing w:before="60" w:after="60"/>
              <w:ind w:left="567" w:hanging="567"/>
              <w:jc w:val="left"/>
              <w:rPr>
                <w:rFonts w:ascii="Arial" w:hAnsi="Arial"/>
                <w:sz w:val="20"/>
                <w:szCs w:val="20"/>
              </w:rPr>
            </w:pPr>
            <w:r w:rsidRPr="00E42343">
              <w:rPr>
                <w:rFonts w:ascii="Arial" w:hAnsi="Arial"/>
                <w:sz w:val="20"/>
                <w:szCs w:val="20"/>
              </w:rPr>
              <w:t>Le ou les inventaires existants ont été mis à jour au cours de la période considérée, notamment pour tenir compte de la viabilité actuelle des éléments inclus.</w:t>
            </w:r>
          </w:p>
        </w:tc>
        <w:tc>
          <w:tcPr>
            <w:tcW w:w="77" w:type="pct"/>
            <w:tcBorders>
              <w:top w:val="nil"/>
              <w:bottom w:val="nil"/>
            </w:tcBorders>
            <w:shd w:val="clear" w:color="auto" w:fill="auto"/>
            <w:vAlign w:val="center"/>
          </w:tcPr>
          <w:p w14:paraId="406549E4"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08D07777"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Article 12</w:t>
            </w:r>
          </w:p>
          <w:p w14:paraId="4083B638"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 DO 2</w:t>
            </w:r>
          </w:p>
        </w:tc>
      </w:tr>
      <w:tr w:rsidR="00A47AF6" w:rsidRPr="00E42343" w14:paraId="2E5F43D8" w14:textId="77777777" w:rsidTr="005B64FB">
        <w:trPr>
          <w:cantSplit/>
        </w:trPr>
        <w:tc>
          <w:tcPr>
            <w:tcW w:w="922" w:type="pct"/>
            <w:vMerge/>
            <w:shd w:val="clear" w:color="auto" w:fill="auto"/>
            <w:vAlign w:val="center"/>
          </w:tcPr>
          <w:p w14:paraId="484E62AB" w14:textId="77777777" w:rsidR="00A47AF6" w:rsidRPr="00E42343" w:rsidRDefault="00A47AF6" w:rsidP="005C5ED5">
            <w:pPr>
              <w:spacing w:before="60" w:after="60"/>
              <w:rPr>
                <w:rFonts w:ascii="Arial" w:hAnsi="Arial" w:cs="Arial"/>
                <w:sz w:val="20"/>
                <w:szCs w:val="20"/>
              </w:rPr>
            </w:pPr>
          </w:p>
        </w:tc>
        <w:tc>
          <w:tcPr>
            <w:tcW w:w="1003" w:type="pct"/>
            <w:vMerge/>
            <w:shd w:val="clear" w:color="auto" w:fill="auto"/>
            <w:vAlign w:val="center"/>
          </w:tcPr>
          <w:p w14:paraId="022C11A4"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6FAD7A0C" w14:textId="74467275" w:rsidR="00A47AF6" w:rsidRPr="00E42343" w:rsidRDefault="00A47AF6" w:rsidP="00A47AF6">
            <w:pPr>
              <w:pStyle w:val="ListParagraph"/>
              <w:numPr>
                <w:ilvl w:val="1"/>
                <w:numId w:val="21"/>
              </w:numPr>
              <w:spacing w:before="60" w:after="60"/>
              <w:ind w:left="567" w:hanging="567"/>
              <w:jc w:val="left"/>
              <w:rPr>
                <w:rFonts w:ascii="Arial" w:hAnsi="Arial"/>
                <w:sz w:val="20"/>
                <w:szCs w:val="20"/>
              </w:rPr>
            </w:pPr>
            <w:r w:rsidRPr="00E42343">
              <w:rPr>
                <w:rFonts w:ascii="Arial" w:hAnsi="Arial"/>
                <w:sz w:val="20"/>
                <w:szCs w:val="20"/>
              </w:rPr>
              <w:t>L</w:t>
            </w:r>
            <w:r w:rsidR="005B64FB">
              <w:rPr>
                <w:rFonts w:ascii="Arial" w:hAnsi="Arial"/>
                <w:sz w:val="20"/>
                <w:szCs w:val="20"/>
              </w:rPr>
              <w:t>’</w:t>
            </w:r>
            <w:r w:rsidRPr="00E42343">
              <w:rPr>
                <w:rFonts w:ascii="Arial" w:hAnsi="Arial"/>
                <w:sz w:val="20"/>
                <w:szCs w:val="20"/>
              </w:rPr>
              <w:t>accès aux inventaires du PCI est facilité, dans le respect des pratiques coutumières qui régissent l</w:t>
            </w:r>
            <w:r w:rsidR="005B64FB">
              <w:rPr>
                <w:rFonts w:ascii="Arial" w:hAnsi="Arial"/>
                <w:sz w:val="20"/>
                <w:szCs w:val="20"/>
              </w:rPr>
              <w:t>’</w:t>
            </w:r>
            <w:r w:rsidRPr="00E42343">
              <w:rPr>
                <w:rFonts w:ascii="Arial" w:hAnsi="Arial"/>
                <w:sz w:val="20"/>
                <w:szCs w:val="20"/>
              </w:rPr>
              <w:t>accès à des aspects spécifiques de ce patrimoine, et ils sont utilisés pour renforcer la sauvegarde.</w:t>
            </w:r>
          </w:p>
        </w:tc>
        <w:tc>
          <w:tcPr>
            <w:tcW w:w="77" w:type="pct"/>
            <w:tcBorders>
              <w:top w:val="nil"/>
              <w:bottom w:val="nil"/>
            </w:tcBorders>
            <w:shd w:val="clear" w:color="auto" w:fill="auto"/>
            <w:vAlign w:val="center"/>
          </w:tcPr>
          <w:p w14:paraId="6D300469"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66263032"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Article 13(d)(ii)</w:t>
            </w:r>
          </w:p>
          <w:p w14:paraId="6213D856"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85</w:t>
            </w:r>
          </w:p>
        </w:tc>
      </w:tr>
      <w:tr w:rsidR="00A47AF6" w:rsidRPr="00E42343" w14:paraId="2B7EB4CE" w14:textId="77777777" w:rsidTr="005B64FB">
        <w:trPr>
          <w:cantSplit/>
        </w:trPr>
        <w:tc>
          <w:tcPr>
            <w:tcW w:w="922" w:type="pct"/>
            <w:vMerge/>
            <w:shd w:val="clear" w:color="auto" w:fill="auto"/>
            <w:vAlign w:val="center"/>
          </w:tcPr>
          <w:p w14:paraId="17BA7ED4" w14:textId="77777777" w:rsidR="00A47AF6" w:rsidRPr="00E42343" w:rsidRDefault="00A47AF6" w:rsidP="005C5ED5">
            <w:pPr>
              <w:spacing w:before="60" w:after="60"/>
              <w:rPr>
                <w:rFonts w:ascii="Arial" w:hAnsi="Arial" w:cs="Arial"/>
                <w:sz w:val="20"/>
                <w:szCs w:val="20"/>
              </w:rPr>
            </w:pPr>
          </w:p>
        </w:tc>
        <w:tc>
          <w:tcPr>
            <w:tcW w:w="1003" w:type="pct"/>
            <w:vMerge w:val="restart"/>
            <w:shd w:val="clear" w:color="auto" w:fill="auto"/>
            <w:vAlign w:val="center"/>
          </w:tcPr>
          <w:p w14:paraId="68A037D2" w14:textId="585921F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Mesure dans laquelle le processus d</w:t>
            </w:r>
            <w:r w:rsidR="005B64FB">
              <w:rPr>
                <w:rFonts w:ascii="Arial" w:hAnsi="Arial"/>
                <w:sz w:val="20"/>
                <w:szCs w:val="20"/>
              </w:rPr>
              <w:t>’</w:t>
            </w:r>
            <w:r w:rsidRPr="00E42343">
              <w:rPr>
                <w:rFonts w:ascii="Arial" w:hAnsi="Arial"/>
                <w:sz w:val="20"/>
                <w:szCs w:val="20"/>
              </w:rPr>
              <w:t>inventaire est inclusif, respecte la diversité du PCI et de ses praticiens, et soutient la sauvegarde par les communautés, les groupes et les individus concernés</w:t>
            </w:r>
          </w:p>
        </w:tc>
        <w:tc>
          <w:tcPr>
            <w:tcW w:w="2453" w:type="pct"/>
            <w:shd w:val="clear" w:color="auto" w:fill="auto"/>
            <w:vAlign w:val="center"/>
          </w:tcPr>
          <w:p w14:paraId="658A64F4" w14:textId="308220E4" w:rsidR="00A47AF6" w:rsidRPr="00E42343" w:rsidRDefault="00A47AF6" w:rsidP="00A47AF6">
            <w:pPr>
              <w:pStyle w:val="ListParagraph"/>
              <w:numPr>
                <w:ilvl w:val="1"/>
                <w:numId w:val="22"/>
              </w:numPr>
              <w:spacing w:before="60" w:after="60"/>
              <w:ind w:left="567" w:hanging="567"/>
              <w:jc w:val="left"/>
              <w:rPr>
                <w:rFonts w:ascii="Arial" w:hAnsi="Arial"/>
                <w:vanish/>
                <w:sz w:val="20"/>
                <w:szCs w:val="20"/>
              </w:rPr>
            </w:pPr>
            <w:r w:rsidRPr="0017287E">
              <w:rPr>
                <w:rFonts w:ascii="Arial" w:hAnsi="Arial"/>
                <w:sz w:val="20"/>
                <w:szCs w:val="20"/>
              </w:rPr>
              <w:t>Les communautés, groupes et ONG pertinentes participent de manière inclusive à l</w:t>
            </w:r>
            <w:r w:rsidR="005B64FB">
              <w:rPr>
                <w:rFonts w:ascii="Arial" w:hAnsi="Arial"/>
                <w:sz w:val="20"/>
                <w:szCs w:val="20"/>
              </w:rPr>
              <w:t>’</w:t>
            </w:r>
            <w:r w:rsidRPr="0017287E">
              <w:rPr>
                <w:rFonts w:ascii="Arial" w:hAnsi="Arial"/>
                <w:sz w:val="20"/>
                <w:szCs w:val="20"/>
              </w:rPr>
              <w:t>inventaire, ce qui informe et renforce leurs efforts de sauvegarde.</w:t>
            </w:r>
          </w:p>
        </w:tc>
        <w:tc>
          <w:tcPr>
            <w:tcW w:w="77" w:type="pct"/>
            <w:tcBorders>
              <w:top w:val="nil"/>
              <w:bottom w:val="nil"/>
            </w:tcBorders>
            <w:shd w:val="clear" w:color="auto" w:fill="auto"/>
            <w:vAlign w:val="center"/>
          </w:tcPr>
          <w:p w14:paraId="094FD38A"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6730204"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Article 11</w:t>
            </w:r>
          </w:p>
          <w:p w14:paraId="152125BA"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 DO 2</w:t>
            </w:r>
          </w:p>
          <w:p w14:paraId="33B114FB"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PE 1, PE 6, PE 8, PE 10</w:t>
            </w:r>
          </w:p>
        </w:tc>
      </w:tr>
      <w:tr w:rsidR="00A47AF6" w:rsidRPr="00E42343" w14:paraId="5BD248E7" w14:textId="77777777" w:rsidTr="005B64FB">
        <w:trPr>
          <w:cantSplit/>
        </w:trPr>
        <w:tc>
          <w:tcPr>
            <w:tcW w:w="922" w:type="pct"/>
            <w:vMerge/>
            <w:shd w:val="clear" w:color="auto" w:fill="auto"/>
            <w:vAlign w:val="center"/>
          </w:tcPr>
          <w:p w14:paraId="36EB1196" w14:textId="77777777" w:rsidR="00A47AF6" w:rsidRPr="00E42343" w:rsidRDefault="00A47AF6" w:rsidP="005C5ED5">
            <w:pPr>
              <w:spacing w:before="60" w:after="60"/>
              <w:rPr>
                <w:rFonts w:ascii="Arial" w:hAnsi="Arial" w:cs="Arial"/>
                <w:sz w:val="20"/>
                <w:szCs w:val="20"/>
              </w:rPr>
            </w:pPr>
          </w:p>
        </w:tc>
        <w:tc>
          <w:tcPr>
            <w:tcW w:w="1003" w:type="pct"/>
            <w:vMerge/>
            <w:shd w:val="clear" w:color="auto" w:fill="auto"/>
            <w:vAlign w:val="center"/>
          </w:tcPr>
          <w:p w14:paraId="730E7DA8"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0DF791E4" w14:textId="7937387C" w:rsidR="00A47AF6" w:rsidRPr="00E42343" w:rsidRDefault="00A47AF6" w:rsidP="00A47AF6">
            <w:pPr>
              <w:pStyle w:val="ListParagraph"/>
              <w:numPr>
                <w:ilvl w:val="1"/>
                <w:numId w:val="22"/>
              </w:numPr>
              <w:spacing w:before="60" w:after="60"/>
              <w:ind w:left="567" w:hanging="567"/>
              <w:jc w:val="left"/>
              <w:rPr>
                <w:rFonts w:ascii="Arial" w:hAnsi="Arial"/>
                <w:sz w:val="20"/>
                <w:szCs w:val="20"/>
              </w:rPr>
            </w:pPr>
            <w:r w:rsidRPr="00E42343">
              <w:rPr>
                <w:rFonts w:ascii="Arial" w:hAnsi="Arial"/>
                <w:sz w:val="20"/>
                <w:szCs w:val="20"/>
              </w:rPr>
              <w:t>Le processus d</w:t>
            </w:r>
            <w:r w:rsidR="005B64FB">
              <w:rPr>
                <w:rFonts w:ascii="Arial" w:hAnsi="Arial"/>
                <w:sz w:val="20"/>
                <w:szCs w:val="20"/>
              </w:rPr>
              <w:t>’</w:t>
            </w:r>
            <w:r w:rsidRPr="00E42343">
              <w:rPr>
                <w:rFonts w:ascii="Arial" w:hAnsi="Arial"/>
                <w:sz w:val="20"/>
                <w:szCs w:val="20"/>
              </w:rPr>
              <w:t>inventaire respecte la diversité du PCI et de ses praticiens, intégrant les pratiques et expressions de tous les secteurs de la société, tous les genres et toutes les régions.</w:t>
            </w:r>
          </w:p>
        </w:tc>
        <w:tc>
          <w:tcPr>
            <w:tcW w:w="77" w:type="pct"/>
            <w:tcBorders>
              <w:top w:val="nil"/>
              <w:bottom w:val="nil"/>
            </w:tcBorders>
            <w:shd w:val="clear" w:color="auto" w:fill="auto"/>
            <w:vAlign w:val="center"/>
          </w:tcPr>
          <w:p w14:paraId="6DA4950B"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DF6B032" w14:textId="77777777" w:rsidR="00A47AF6" w:rsidRPr="00E42343" w:rsidRDefault="00A47AF6" w:rsidP="005C5ED5">
            <w:pPr>
              <w:spacing w:before="60" w:after="60"/>
              <w:rPr>
                <w:rFonts w:ascii="Arial" w:hAnsi="Arial" w:cs="Arial"/>
                <w:sz w:val="20"/>
                <w:szCs w:val="20"/>
              </w:rPr>
            </w:pPr>
          </w:p>
        </w:tc>
      </w:tr>
      <w:tr w:rsidR="00A47AF6" w:rsidRPr="00E42343" w14:paraId="775DC210" w14:textId="77777777" w:rsidTr="005B64FB">
        <w:trPr>
          <w:cantSplit/>
        </w:trPr>
        <w:tc>
          <w:tcPr>
            <w:tcW w:w="922" w:type="pct"/>
            <w:vMerge/>
            <w:shd w:val="clear" w:color="auto" w:fill="auto"/>
            <w:vAlign w:val="center"/>
          </w:tcPr>
          <w:p w14:paraId="2D439E7C" w14:textId="77777777" w:rsidR="00A47AF6" w:rsidRPr="00E42343" w:rsidRDefault="00A47AF6" w:rsidP="005C5ED5">
            <w:pPr>
              <w:spacing w:before="60" w:after="60"/>
              <w:rPr>
                <w:rFonts w:ascii="Arial" w:hAnsi="Arial" w:cs="Arial"/>
                <w:sz w:val="20"/>
                <w:szCs w:val="20"/>
              </w:rPr>
            </w:pPr>
          </w:p>
        </w:tc>
        <w:tc>
          <w:tcPr>
            <w:tcW w:w="1003" w:type="pct"/>
            <w:vMerge w:val="restart"/>
            <w:shd w:val="clear" w:color="auto" w:fill="auto"/>
            <w:vAlign w:val="center"/>
          </w:tcPr>
          <w:p w14:paraId="1623C95A"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 xml:space="preserve">Mesure dans laquelle la recherche et la documentation, y compris les études scientifiques, </w:t>
            </w:r>
            <w:r w:rsidRPr="00E42343">
              <w:rPr>
                <w:rFonts w:ascii="Arial" w:hAnsi="Arial"/>
                <w:sz w:val="20"/>
                <w:szCs w:val="20"/>
              </w:rPr>
              <w:lastRenderedPageBreak/>
              <w:t>techniques et artistiques contribuent à la sauvegarde.</w:t>
            </w:r>
          </w:p>
        </w:tc>
        <w:tc>
          <w:tcPr>
            <w:tcW w:w="2453" w:type="pct"/>
            <w:shd w:val="clear" w:color="auto" w:fill="auto"/>
            <w:vAlign w:val="center"/>
          </w:tcPr>
          <w:p w14:paraId="75F02E0D" w14:textId="4EEFF1E1" w:rsidR="00A47AF6" w:rsidRPr="00E42343" w:rsidRDefault="00A47AF6" w:rsidP="00A47AF6">
            <w:pPr>
              <w:pStyle w:val="ListParagraph"/>
              <w:numPr>
                <w:ilvl w:val="1"/>
                <w:numId w:val="23"/>
              </w:numPr>
              <w:spacing w:before="60" w:after="60"/>
              <w:ind w:left="567" w:hanging="567"/>
              <w:jc w:val="left"/>
              <w:rPr>
                <w:rFonts w:ascii="Arial" w:hAnsi="Arial"/>
                <w:vanish/>
                <w:sz w:val="20"/>
                <w:szCs w:val="20"/>
              </w:rPr>
            </w:pPr>
            <w:r w:rsidRPr="00E42343">
              <w:rPr>
                <w:rFonts w:ascii="Arial" w:hAnsi="Arial"/>
                <w:sz w:val="20"/>
                <w:szCs w:val="20"/>
              </w:rPr>
              <w:lastRenderedPageBreak/>
              <w:t>Le soutien financier et d</w:t>
            </w:r>
            <w:r w:rsidR="005B64FB">
              <w:rPr>
                <w:rFonts w:ascii="Arial" w:hAnsi="Arial"/>
                <w:sz w:val="20"/>
                <w:szCs w:val="20"/>
              </w:rPr>
              <w:t>’</w:t>
            </w:r>
            <w:r w:rsidRPr="00E42343">
              <w:rPr>
                <w:rFonts w:ascii="Arial" w:hAnsi="Arial"/>
                <w:sz w:val="20"/>
                <w:szCs w:val="20"/>
              </w:rPr>
              <w:t>autres formes de soutien favorisent la recherche, les études scientifiques</w:t>
            </w:r>
            <w:r>
              <w:rPr>
                <w:rFonts w:ascii="Arial" w:hAnsi="Arial"/>
                <w:sz w:val="20"/>
                <w:szCs w:val="20"/>
              </w:rPr>
              <w:t>,</w:t>
            </w:r>
            <w:r w:rsidRPr="00E42343">
              <w:rPr>
                <w:rFonts w:ascii="Arial" w:hAnsi="Arial"/>
                <w:sz w:val="20"/>
                <w:szCs w:val="20"/>
              </w:rPr>
              <w:t xml:space="preserve"> techniques</w:t>
            </w:r>
            <w:r>
              <w:rPr>
                <w:rFonts w:ascii="Arial" w:hAnsi="Arial"/>
                <w:sz w:val="20"/>
                <w:szCs w:val="20"/>
              </w:rPr>
              <w:t xml:space="preserve"> et artistiques</w:t>
            </w:r>
            <w:r w:rsidRPr="00E42343">
              <w:rPr>
                <w:rFonts w:ascii="Arial" w:hAnsi="Arial"/>
                <w:sz w:val="20"/>
                <w:szCs w:val="20"/>
              </w:rPr>
              <w:t>, la documentation et l</w:t>
            </w:r>
            <w:r w:rsidR="005B64FB">
              <w:rPr>
                <w:rFonts w:ascii="Arial" w:hAnsi="Arial"/>
                <w:sz w:val="20"/>
                <w:szCs w:val="20"/>
              </w:rPr>
              <w:t>’</w:t>
            </w:r>
            <w:r w:rsidRPr="00E42343">
              <w:rPr>
                <w:rFonts w:ascii="Arial" w:hAnsi="Arial"/>
                <w:sz w:val="20"/>
                <w:szCs w:val="20"/>
              </w:rPr>
              <w:t>archivage, orientés vers la sauvegarde et la mise en œuvre conformément aux principes éthiques pertinents.</w:t>
            </w:r>
          </w:p>
        </w:tc>
        <w:tc>
          <w:tcPr>
            <w:tcW w:w="77" w:type="pct"/>
            <w:tcBorders>
              <w:top w:val="nil"/>
              <w:bottom w:val="nil"/>
            </w:tcBorders>
            <w:shd w:val="clear" w:color="auto" w:fill="auto"/>
            <w:vAlign w:val="center"/>
          </w:tcPr>
          <w:p w14:paraId="1A2396F2"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62627CE1"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173, DO 175</w:t>
            </w:r>
          </w:p>
        </w:tc>
      </w:tr>
      <w:tr w:rsidR="00A47AF6" w:rsidRPr="00E42343" w14:paraId="5CFE0E49" w14:textId="77777777" w:rsidTr="005B64FB">
        <w:trPr>
          <w:cantSplit/>
        </w:trPr>
        <w:tc>
          <w:tcPr>
            <w:tcW w:w="922" w:type="pct"/>
            <w:vMerge/>
            <w:shd w:val="clear" w:color="auto" w:fill="auto"/>
            <w:vAlign w:val="center"/>
          </w:tcPr>
          <w:p w14:paraId="62EAE974" w14:textId="77777777" w:rsidR="00A47AF6" w:rsidRPr="00E42343" w:rsidRDefault="00A47AF6" w:rsidP="005C5ED5">
            <w:pPr>
              <w:spacing w:before="60" w:after="60"/>
              <w:rPr>
                <w:rFonts w:ascii="Arial" w:hAnsi="Arial" w:cs="Arial"/>
                <w:sz w:val="20"/>
                <w:szCs w:val="20"/>
              </w:rPr>
            </w:pPr>
          </w:p>
        </w:tc>
        <w:tc>
          <w:tcPr>
            <w:tcW w:w="1003" w:type="pct"/>
            <w:vMerge/>
            <w:shd w:val="clear" w:color="auto" w:fill="auto"/>
            <w:vAlign w:val="center"/>
          </w:tcPr>
          <w:p w14:paraId="690AFAE7" w14:textId="77777777" w:rsidR="00A47AF6" w:rsidRPr="00E42343" w:rsidDel="00970845"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6548621B" w14:textId="21B4E9F8" w:rsidR="00A47AF6" w:rsidRPr="00E42343" w:rsidDel="00EC662D" w:rsidRDefault="00A47AF6" w:rsidP="00A47AF6">
            <w:pPr>
              <w:pStyle w:val="ListParagraph"/>
              <w:numPr>
                <w:ilvl w:val="1"/>
                <w:numId w:val="23"/>
              </w:numPr>
              <w:spacing w:before="60" w:after="60"/>
              <w:ind w:left="567" w:hanging="567"/>
              <w:jc w:val="left"/>
              <w:rPr>
                <w:rFonts w:ascii="Arial" w:hAnsi="Arial"/>
                <w:sz w:val="20"/>
                <w:szCs w:val="20"/>
              </w:rPr>
            </w:pPr>
            <w:r w:rsidRPr="00E42343">
              <w:rPr>
                <w:rFonts w:ascii="Arial" w:hAnsi="Arial"/>
                <w:sz w:val="20"/>
                <w:szCs w:val="20"/>
              </w:rPr>
              <w:t>La recherche est encouragée sur les approches</w:t>
            </w:r>
            <w:r>
              <w:rPr>
                <w:rFonts w:ascii="Arial" w:hAnsi="Arial"/>
                <w:sz w:val="20"/>
                <w:szCs w:val="20"/>
              </w:rPr>
              <w:t xml:space="preserve"> et les impacts</w:t>
            </w:r>
            <w:r w:rsidRPr="00E42343">
              <w:rPr>
                <w:rFonts w:ascii="Arial" w:hAnsi="Arial"/>
                <w:sz w:val="20"/>
                <w:szCs w:val="20"/>
              </w:rPr>
              <w:t xml:space="preserve"> de </w:t>
            </w:r>
            <w:r>
              <w:rPr>
                <w:rFonts w:ascii="Arial" w:hAnsi="Arial"/>
                <w:sz w:val="20"/>
                <w:szCs w:val="20"/>
              </w:rPr>
              <w:t xml:space="preserve">la </w:t>
            </w:r>
            <w:r w:rsidRPr="00E42343">
              <w:rPr>
                <w:rFonts w:ascii="Arial" w:hAnsi="Arial"/>
                <w:sz w:val="20"/>
                <w:szCs w:val="20"/>
              </w:rPr>
              <w:t xml:space="preserve">sauvegarde du PCI </w:t>
            </w:r>
            <w:r>
              <w:rPr>
                <w:rFonts w:ascii="Arial" w:hAnsi="Arial"/>
                <w:sz w:val="20"/>
                <w:szCs w:val="20"/>
              </w:rPr>
              <w:t>en général</w:t>
            </w:r>
            <w:r w:rsidRPr="00E42343">
              <w:rPr>
                <w:rFonts w:ascii="Arial" w:hAnsi="Arial"/>
                <w:sz w:val="20"/>
                <w:szCs w:val="20"/>
              </w:rPr>
              <w:t xml:space="preserve"> </w:t>
            </w:r>
            <w:r>
              <w:rPr>
                <w:rFonts w:ascii="Arial" w:hAnsi="Arial"/>
                <w:sz w:val="20"/>
                <w:szCs w:val="20"/>
              </w:rPr>
              <w:t xml:space="preserve">et </w:t>
            </w:r>
            <w:r w:rsidRPr="00E42343">
              <w:rPr>
                <w:rFonts w:ascii="Arial" w:hAnsi="Arial"/>
                <w:sz w:val="20"/>
                <w:szCs w:val="20"/>
              </w:rPr>
              <w:t>d</w:t>
            </w:r>
            <w:r w:rsidR="005B64FB">
              <w:rPr>
                <w:rFonts w:ascii="Arial" w:hAnsi="Arial"/>
                <w:sz w:val="20"/>
                <w:szCs w:val="20"/>
              </w:rPr>
              <w:t>’</w:t>
            </w:r>
            <w:r>
              <w:rPr>
                <w:rFonts w:ascii="Arial" w:hAnsi="Arial"/>
                <w:sz w:val="20"/>
                <w:szCs w:val="20"/>
              </w:rPr>
              <w:t>éléments</w:t>
            </w:r>
            <w:r w:rsidRPr="00E42343">
              <w:rPr>
                <w:rFonts w:ascii="Arial" w:hAnsi="Arial"/>
                <w:sz w:val="20"/>
                <w:szCs w:val="20"/>
              </w:rPr>
              <w:t xml:space="preserve"> spécifiques de ce patrimoine,</w:t>
            </w:r>
            <w:r>
              <w:rPr>
                <w:rFonts w:ascii="Arial" w:hAnsi="Arial"/>
                <w:sz w:val="20"/>
                <w:szCs w:val="20"/>
              </w:rPr>
              <w:t xml:space="preserve"> </w:t>
            </w:r>
            <w:r w:rsidRPr="00E42343">
              <w:rPr>
                <w:rFonts w:ascii="Arial" w:hAnsi="Arial"/>
                <w:sz w:val="20"/>
                <w:szCs w:val="20"/>
              </w:rPr>
              <w:t>qu</w:t>
            </w:r>
            <w:r w:rsidR="005B64FB">
              <w:rPr>
                <w:rFonts w:ascii="Arial" w:hAnsi="Arial"/>
                <w:sz w:val="20"/>
                <w:szCs w:val="20"/>
              </w:rPr>
              <w:t>’</w:t>
            </w:r>
            <w:r w:rsidRPr="00E42343">
              <w:rPr>
                <w:rFonts w:ascii="Arial" w:hAnsi="Arial"/>
                <w:sz w:val="20"/>
                <w:szCs w:val="20"/>
              </w:rPr>
              <w:t>ils soient inscrit</w:t>
            </w:r>
            <w:r>
              <w:rPr>
                <w:rFonts w:ascii="Arial" w:hAnsi="Arial"/>
                <w:sz w:val="20"/>
                <w:szCs w:val="20"/>
              </w:rPr>
              <w:t>s</w:t>
            </w:r>
            <w:r w:rsidRPr="00E42343">
              <w:rPr>
                <w:rFonts w:ascii="Arial" w:hAnsi="Arial"/>
                <w:sz w:val="20"/>
                <w:szCs w:val="20"/>
              </w:rPr>
              <w:t xml:space="preserve"> ou non.</w:t>
            </w:r>
          </w:p>
        </w:tc>
        <w:tc>
          <w:tcPr>
            <w:tcW w:w="77" w:type="pct"/>
            <w:tcBorders>
              <w:top w:val="nil"/>
              <w:bottom w:val="nil"/>
            </w:tcBorders>
            <w:shd w:val="clear" w:color="auto" w:fill="auto"/>
            <w:vAlign w:val="center"/>
          </w:tcPr>
          <w:p w14:paraId="24E89F1F"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0B2D1EAA"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162</w:t>
            </w:r>
          </w:p>
        </w:tc>
      </w:tr>
      <w:tr w:rsidR="00A47AF6" w:rsidRPr="00E42343" w14:paraId="30F31A4B" w14:textId="77777777" w:rsidTr="005B64FB">
        <w:trPr>
          <w:cantSplit/>
        </w:trPr>
        <w:tc>
          <w:tcPr>
            <w:tcW w:w="922" w:type="pct"/>
            <w:vMerge/>
            <w:shd w:val="clear" w:color="auto" w:fill="auto"/>
            <w:vAlign w:val="center"/>
          </w:tcPr>
          <w:p w14:paraId="1976FF02" w14:textId="77777777" w:rsidR="00A47AF6" w:rsidRPr="00E42343" w:rsidRDefault="00A47AF6" w:rsidP="005C5ED5">
            <w:pPr>
              <w:spacing w:before="60" w:after="60"/>
              <w:rPr>
                <w:rFonts w:ascii="Arial" w:hAnsi="Arial" w:cs="Arial"/>
                <w:sz w:val="20"/>
                <w:szCs w:val="20"/>
              </w:rPr>
            </w:pPr>
          </w:p>
        </w:tc>
        <w:tc>
          <w:tcPr>
            <w:tcW w:w="1003" w:type="pct"/>
            <w:vMerge/>
            <w:shd w:val="clear" w:color="auto" w:fill="auto"/>
            <w:vAlign w:val="center"/>
          </w:tcPr>
          <w:p w14:paraId="0521A634"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76F1CE63" w14:textId="77777777" w:rsidR="00A47AF6" w:rsidRPr="00E42343" w:rsidRDefault="00A47AF6" w:rsidP="00A47AF6">
            <w:pPr>
              <w:pStyle w:val="ListParagraph"/>
              <w:numPr>
                <w:ilvl w:val="1"/>
                <w:numId w:val="23"/>
              </w:numPr>
              <w:spacing w:before="60" w:after="60"/>
              <w:ind w:left="567" w:hanging="567"/>
              <w:jc w:val="left"/>
              <w:rPr>
                <w:rFonts w:ascii="Arial" w:hAnsi="Arial"/>
                <w:sz w:val="20"/>
                <w:szCs w:val="20"/>
              </w:rPr>
            </w:pPr>
            <w:r w:rsidRPr="00E42343">
              <w:rPr>
                <w:rFonts w:ascii="Arial" w:hAnsi="Arial"/>
                <w:sz w:val="20"/>
                <w:szCs w:val="20"/>
              </w:rPr>
              <w:t xml:space="preserve">Les praticiens et les détenteurs du PCI participent à la gestion, à la mise en œuvre et à la diffusion </w:t>
            </w:r>
            <w:r w:rsidRPr="0017287E">
              <w:rPr>
                <w:rFonts w:ascii="Arial" w:hAnsi="Arial"/>
                <w:sz w:val="20"/>
                <w:szCs w:val="20"/>
              </w:rPr>
              <w:t>des résultats</w:t>
            </w:r>
            <w:r w:rsidRPr="00E42343">
              <w:rPr>
                <w:rFonts w:ascii="Arial" w:hAnsi="Arial"/>
                <w:sz w:val="20"/>
                <w:szCs w:val="20"/>
              </w:rPr>
              <w:t xml:space="preserve"> de la recherche et des études scientifiques</w:t>
            </w:r>
            <w:r>
              <w:rPr>
                <w:rFonts w:ascii="Arial" w:hAnsi="Arial"/>
                <w:sz w:val="20"/>
                <w:szCs w:val="20"/>
              </w:rPr>
              <w:t>,</w:t>
            </w:r>
            <w:r w:rsidRPr="00E42343">
              <w:rPr>
                <w:rFonts w:ascii="Arial" w:hAnsi="Arial"/>
                <w:sz w:val="20"/>
                <w:szCs w:val="20"/>
              </w:rPr>
              <w:t xml:space="preserve"> techniques</w:t>
            </w:r>
            <w:r>
              <w:rPr>
                <w:rFonts w:ascii="Arial" w:hAnsi="Arial"/>
                <w:sz w:val="20"/>
                <w:szCs w:val="20"/>
              </w:rPr>
              <w:t xml:space="preserve"> et artistiques</w:t>
            </w:r>
            <w:r w:rsidRPr="00E42343">
              <w:rPr>
                <w:rFonts w:ascii="Arial" w:hAnsi="Arial"/>
                <w:sz w:val="20"/>
                <w:szCs w:val="20"/>
              </w:rPr>
              <w:t>, toujours avec leur consentement libre, préalable, durable et éclairé.</w:t>
            </w:r>
          </w:p>
        </w:tc>
        <w:tc>
          <w:tcPr>
            <w:tcW w:w="77" w:type="pct"/>
            <w:tcBorders>
              <w:top w:val="nil"/>
              <w:bottom w:val="nil"/>
            </w:tcBorders>
            <w:shd w:val="clear" w:color="auto" w:fill="auto"/>
            <w:vAlign w:val="center"/>
          </w:tcPr>
          <w:p w14:paraId="3587A054"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2F1E93CD"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 xml:space="preserve">DO 109(a), </w:t>
            </w:r>
            <w:r>
              <w:rPr>
                <w:rFonts w:ascii="Arial" w:hAnsi="Arial" w:cs="Arial"/>
                <w:sz w:val="20"/>
                <w:szCs w:val="20"/>
                <w:lang w:val="en-GB"/>
              </w:rPr>
              <w:t>DO </w:t>
            </w:r>
            <w:r w:rsidRPr="00E42343">
              <w:rPr>
                <w:rFonts w:ascii="Arial" w:hAnsi="Arial" w:cs="Arial"/>
                <w:sz w:val="20"/>
                <w:szCs w:val="20"/>
                <w:lang w:val="en-GB"/>
              </w:rPr>
              <w:t>109(e)</w:t>
            </w:r>
            <w:r>
              <w:rPr>
                <w:rFonts w:ascii="Arial" w:hAnsi="Arial" w:cs="Arial"/>
                <w:sz w:val="20"/>
                <w:szCs w:val="20"/>
                <w:lang w:val="en-US"/>
              </w:rPr>
              <w:t xml:space="preserve">, </w:t>
            </w:r>
            <w:r w:rsidRPr="00E42343">
              <w:rPr>
                <w:rFonts w:ascii="Arial" w:hAnsi="Arial" w:cs="Arial"/>
                <w:sz w:val="20"/>
                <w:szCs w:val="20"/>
                <w:lang w:val="en-GB"/>
              </w:rPr>
              <w:t>DO 153(b)(ii)</w:t>
            </w:r>
            <w:r>
              <w:rPr>
                <w:rFonts w:ascii="Arial" w:hAnsi="Arial" w:cs="Arial"/>
                <w:sz w:val="20"/>
                <w:szCs w:val="20"/>
                <w:lang w:val="en-GB"/>
              </w:rPr>
              <w:t xml:space="preserve">, </w:t>
            </w:r>
            <w:r w:rsidRPr="00E42343">
              <w:rPr>
                <w:rFonts w:ascii="Arial" w:hAnsi="Arial" w:cs="Arial"/>
                <w:sz w:val="20"/>
                <w:szCs w:val="20"/>
                <w:lang w:val="en-GB"/>
              </w:rPr>
              <w:t>DO 175</w:t>
            </w:r>
          </w:p>
          <w:p w14:paraId="4318FEC8"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PE 1, PE 7</w:t>
            </w:r>
          </w:p>
        </w:tc>
      </w:tr>
      <w:tr w:rsidR="00A47AF6" w:rsidRPr="00E42343" w14:paraId="49DB226D" w14:textId="77777777" w:rsidTr="005B64FB">
        <w:trPr>
          <w:cantSplit/>
        </w:trPr>
        <w:tc>
          <w:tcPr>
            <w:tcW w:w="922" w:type="pct"/>
            <w:vMerge/>
            <w:shd w:val="clear" w:color="auto" w:fill="auto"/>
            <w:vAlign w:val="center"/>
          </w:tcPr>
          <w:p w14:paraId="79448EB4" w14:textId="77777777" w:rsidR="00A47AF6" w:rsidRPr="00E42343" w:rsidRDefault="00A47AF6" w:rsidP="005C5ED5">
            <w:pPr>
              <w:spacing w:before="60" w:after="60"/>
              <w:rPr>
                <w:rFonts w:ascii="Arial" w:hAnsi="Arial" w:cs="Arial"/>
                <w:sz w:val="20"/>
                <w:szCs w:val="20"/>
              </w:rPr>
            </w:pPr>
          </w:p>
        </w:tc>
        <w:tc>
          <w:tcPr>
            <w:tcW w:w="1003" w:type="pct"/>
            <w:vMerge w:val="restart"/>
            <w:shd w:val="clear" w:color="auto" w:fill="auto"/>
            <w:vAlign w:val="center"/>
          </w:tcPr>
          <w:p w14:paraId="562378F7" w14:textId="4201027F"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Mesure dans laquelle les conclusions des recherches et la documentation sont accessibles et sont utilisés pour renforcer l</w:t>
            </w:r>
            <w:r w:rsidR="005B64FB">
              <w:rPr>
                <w:rFonts w:ascii="Arial" w:hAnsi="Arial"/>
                <w:sz w:val="20"/>
                <w:szCs w:val="20"/>
              </w:rPr>
              <w:t>’</w:t>
            </w:r>
            <w:r w:rsidRPr="00E42343">
              <w:rPr>
                <w:rFonts w:ascii="Arial" w:hAnsi="Arial"/>
                <w:sz w:val="20"/>
                <w:szCs w:val="20"/>
              </w:rPr>
              <w:t>élaboration de politiques et améliorer la sauvegarde</w:t>
            </w:r>
          </w:p>
        </w:tc>
        <w:tc>
          <w:tcPr>
            <w:tcW w:w="2453" w:type="pct"/>
            <w:shd w:val="clear" w:color="auto" w:fill="auto"/>
            <w:vAlign w:val="center"/>
          </w:tcPr>
          <w:p w14:paraId="29E47306" w14:textId="3D949879" w:rsidR="00A47AF6" w:rsidRPr="00E42343" w:rsidRDefault="00A47AF6" w:rsidP="00A47AF6">
            <w:pPr>
              <w:pStyle w:val="ListParagraph"/>
              <w:numPr>
                <w:ilvl w:val="1"/>
                <w:numId w:val="24"/>
              </w:numPr>
              <w:spacing w:before="60" w:after="60"/>
              <w:ind w:left="567" w:hanging="567"/>
              <w:jc w:val="left"/>
              <w:rPr>
                <w:rFonts w:ascii="Arial" w:hAnsi="Arial"/>
                <w:vanish/>
                <w:sz w:val="20"/>
                <w:szCs w:val="20"/>
              </w:rPr>
            </w:pPr>
            <w:r w:rsidRPr="00E42343">
              <w:rPr>
                <w:rFonts w:ascii="Arial" w:hAnsi="Arial"/>
                <w:sz w:val="20"/>
                <w:szCs w:val="20"/>
              </w:rPr>
              <w:t>La documentation et les résultats de la recherche sont accessibles aux communautés, groupes et individus, dans le respect des pratiques coutumières qui régissent l</w:t>
            </w:r>
            <w:r w:rsidR="005B64FB">
              <w:rPr>
                <w:rFonts w:ascii="Arial" w:hAnsi="Arial"/>
                <w:sz w:val="20"/>
                <w:szCs w:val="20"/>
              </w:rPr>
              <w:t>’</w:t>
            </w:r>
            <w:r w:rsidRPr="00E42343">
              <w:rPr>
                <w:rFonts w:ascii="Arial" w:hAnsi="Arial"/>
                <w:sz w:val="20"/>
                <w:szCs w:val="20"/>
              </w:rPr>
              <w:t>accès à des aspects spécifiques dudit patrimoine.</w:t>
            </w:r>
          </w:p>
        </w:tc>
        <w:tc>
          <w:tcPr>
            <w:tcW w:w="77" w:type="pct"/>
            <w:tcBorders>
              <w:top w:val="nil"/>
              <w:bottom w:val="nil"/>
            </w:tcBorders>
            <w:shd w:val="clear" w:color="auto" w:fill="auto"/>
            <w:vAlign w:val="center"/>
          </w:tcPr>
          <w:p w14:paraId="3C1D781C"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1959639"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Article 13(d)(ii)</w:t>
            </w:r>
          </w:p>
          <w:p w14:paraId="72B0F08E" w14:textId="77777777" w:rsidR="00A47AF6" w:rsidRPr="000B701D" w:rsidRDefault="00A47AF6" w:rsidP="005C5ED5">
            <w:pPr>
              <w:spacing w:before="60" w:after="60"/>
              <w:rPr>
                <w:rFonts w:ascii="Arial" w:hAnsi="Arial" w:cs="Arial"/>
                <w:sz w:val="20"/>
                <w:szCs w:val="20"/>
                <w:lang w:val="en-US"/>
              </w:rPr>
            </w:pPr>
            <w:r w:rsidRPr="00E42343">
              <w:rPr>
                <w:rFonts w:ascii="Arial" w:hAnsi="Arial" w:cs="Arial"/>
                <w:sz w:val="20"/>
                <w:szCs w:val="20"/>
                <w:lang w:val="en-GB"/>
              </w:rPr>
              <w:t>DO 85</w:t>
            </w:r>
            <w:r>
              <w:rPr>
                <w:rFonts w:ascii="Arial" w:hAnsi="Arial" w:cs="Arial"/>
                <w:sz w:val="20"/>
                <w:szCs w:val="20"/>
                <w:lang w:val="en-GB"/>
              </w:rPr>
              <w:t xml:space="preserve">, </w:t>
            </w:r>
            <w:r w:rsidRPr="00E42343">
              <w:rPr>
                <w:rFonts w:ascii="Arial" w:hAnsi="Arial" w:cs="Arial"/>
                <w:sz w:val="20"/>
                <w:szCs w:val="20"/>
                <w:lang w:val="en-GB"/>
              </w:rPr>
              <w:t>DO 101(c)</w:t>
            </w:r>
            <w:r>
              <w:rPr>
                <w:rFonts w:ascii="Arial" w:hAnsi="Arial" w:cs="Arial"/>
                <w:sz w:val="20"/>
                <w:szCs w:val="20"/>
                <w:lang w:val="en-GB"/>
              </w:rPr>
              <w:t xml:space="preserve">, </w:t>
            </w:r>
            <w:r w:rsidRPr="000B701D">
              <w:rPr>
                <w:rFonts w:ascii="Arial" w:hAnsi="Arial" w:cs="Arial"/>
                <w:sz w:val="20"/>
                <w:szCs w:val="20"/>
                <w:lang w:val="en-US"/>
              </w:rPr>
              <w:t>DO 153(b)(iii)</w:t>
            </w:r>
          </w:p>
          <w:p w14:paraId="09096E5A"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PE 5</w:t>
            </w:r>
          </w:p>
        </w:tc>
      </w:tr>
      <w:tr w:rsidR="00A47AF6" w:rsidRPr="00E42343" w14:paraId="3D9EB4EA" w14:textId="77777777" w:rsidTr="005B64FB">
        <w:trPr>
          <w:cantSplit/>
        </w:trPr>
        <w:tc>
          <w:tcPr>
            <w:tcW w:w="922" w:type="pct"/>
            <w:vMerge/>
            <w:shd w:val="clear" w:color="auto" w:fill="auto"/>
            <w:vAlign w:val="center"/>
          </w:tcPr>
          <w:p w14:paraId="76C47E1F" w14:textId="77777777" w:rsidR="00A47AF6" w:rsidRPr="00E42343" w:rsidRDefault="00A47AF6" w:rsidP="005C5ED5">
            <w:pPr>
              <w:spacing w:before="60" w:after="60"/>
              <w:rPr>
                <w:rFonts w:ascii="Arial" w:hAnsi="Arial" w:cs="Arial"/>
                <w:sz w:val="20"/>
                <w:szCs w:val="20"/>
              </w:rPr>
            </w:pPr>
          </w:p>
        </w:tc>
        <w:tc>
          <w:tcPr>
            <w:tcW w:w="1003" w:type="pct"/>
            <w:vMerge/>
            <w:shd w:val="clear" w:color="auto" w:fill="auto"/>
            <w:vAlign w:val="center"/>
          </w:tcPr>
          <w:p w14:paraId="6B2752E3"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5EA3B065" w14:textId="0102B3C8" w:rsidR="00A47AF6" w:rsidRPr="00E42343" w:rsidRDefault="00A47AF6" w:rsidP="00A47AF6">
            <w:pPr>
              <w:pStyle w:val="ListParagraph"/>
              <w:numPr>
                <w:ilvl w:val="1"/>
                <w:numId w:val="24"/>
              </w:numPr>
              <w:spacing w:before="60" w:after="60"/>
              <w:ind w:left="567" w:hanging="567"/>
              <w:jc w:val="left"/>
              <w:rPr>
                <w:rFonts w:ascii="Arial" w:hAnsi="Arial"/>
                <w:sz w:val="20"/>
                <w:szCs w:val="20"/>
              </w:rPr>
            </w:pPr>
            <w:r w:rsidRPr="00E42343">
              <w:rPr>
                <w:rFonts w:ascii="Arial" w:hAnsi="Arial"/>
                <w:sz w:val="20"/>
                <w:szCs w:val="20"/>
              </w:rPr>
              <w:t xml:space="preserve">Les </w:t>
            </w:r>
            <w:r>
              <w:rPr>
                <w:rFonts w:ascii="Arial" w:hAnsi="Arial"/>
                <w:sz w:val="20"/>
                <w:szCs w:val="20"/>
              </w:rPr>
              <w:t>résultats</w:t>
            </w:r>
            <w:r w:rsidRPr="00E42343">
              <w:rPr>
                <w:rFonts w:ascii="Arial" w:hAnsi="Arial"/>
                <w:sz w:val="20"/>
                <w:szCs w:val="20"/>
              </w:rPr>
              <w:t xml:space="preserve"> de la recherche, de la documentation et des études scientifiques, techniques et artistiques sur le PCI sont utilisés pour renforcer l</w:t>
            </w:r>
            <w:r w:rsidR="005B64FB">
              <w:rPr>
                <w:rFonts w:ascii="Arial" w:hAnsi="Arial"/>
                <w:sz w:val="20"/>
                <w:szCs w:val="20"/>
              </w:rPr>
              <w:t>’</w:t>
            </w:r>
            <w:r w:rsidRPr="00E42343">
              <w:rPr>
                <w:rFonts w:ascii="Arial" w:hAnsi="Arial"/>
                <w:sz w:val="20"/>
                <w:szCs w:val="20"/>
              </w:rPr>
              <w:t>élaboration des politiques</w:t>
            </w:r>
            <w:r>
              <w:rPr>
                <w:rFonts w:ascii="Arial" w:hAnsi="Arial"/>
                <w:sz w:val="20"/>
                <w:szCs w:val="20"/>
              </w:rPr>
              <w:t xml:space="preserve"> dans tous les secteurs</w:t>
            </w:r>
            <w:r w:rsidRPr="00E42343">
              <w:rPr>
                <w:rFonts w:ascii="Arial" w:hAnsi="Arial"/>
                <w:sz w:val="20"/>
                <w:szCs w:val="20"/>
              </w:rPr>
              <w:t>.</w:t>
            </w:r>
          </w:p>
        </w:tc>
        <w:tc>
          <w:tcPr>
            <w:tcW w:w="77" w:type="pct"/>
            <w:tcBorders>
              <w:top w:val="nil"/>
              <w:bottom w:val="nil"/>
            </w:tcBorders>
            <w:shd w:val="clear" w:color="auto" w:fill="auto"/>
            <w:vAlign w:val="center"/>
          </w:tcPr>
          <w:p w14:paraId="48B2FC1E"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57ED42E"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153(b)(ii)</w:t>
            </w:r>
          </w:p>
        </w:tc>
      </w:tr>
      <w:tr w:rsidR="00A47AF6" w:rsidRPr="00E42343" w14:paraId="7973CFAF" w14:textId="77777777" w:rsidTr="005B64FB">
        <w:trPr>
          <w:cantSplit/>
        </w:trPr>
        <w:tc>
          <w:tcPr>
            <w:tcW w:w="922" w:type="pct"/>
            <w:vMerge/>
            <w:shd w:val="clear" w:color="auto" w:fill="auto"/>
            <w:vAlign w:val="center"/>
          </w:tcPr>
          <w:p w14:paraId="0C8F446F" w14:textId="77777777" w:rsidR="00A47AF6" w:rsidRPr="00E42343" w:rsidRDefault="00A47AF6" w:rsidP="005C5ED5">
            <w:pPr>
              <w:spacing w:before="60" w:after="60"/>
              <w:rPr>
                <w:rFonts w:ascii="Arial" w:hAnsi="Arial" w:cs="Arial"/>
                <w:sz w:val="20"/>
                <w:szCs w:val="20"/>
              </w:rPr>
            </w:pPr>
          </w:p>
        </w:tc>
        <w:tc>
          <w:tcPr>
            <w:tcW w:w="1003" w:type="pct"/>
            <w:vMerge/>
            <w:shd w:val="clear" w:color="auto" w:fill="auto"/>
            <w:vAlign w:val="center"/>
          </w:tcPr>
          <w:p w14:paraId="6F411E7A"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303B2B74" w14:textId="77777777" w:rsidR="00A47AF6" w:rsidRPr="00E42343" w:rsidRDefault="00A47AF6" w:rsidP="00A47AF6">
            <w:pPr>
              <w:pStyle w:val="ListParagraph"/>
              <w:numPr>
                <w:ilvl w:val="1"/>
                <w:numId w:val="24"/>
              </w:numPr>
              <w:spacing w:before="60" w:after="60"/>
              <w:ind w:left="567" w:hanging="567"/>
              <w:jc w:val="left"/>
              <w:rPr>
                <w:rFonts w:ascii="Arial" w:hAnsi="Arial"/>
                <w:sz w:val="20"/>
                <w:szCs w:val="20"/>
              </w:rPr>
            </w:pPr>
            <w:r w:rsidRPr="00E42343">
              <w:rPr>
                <w:rFonts w:ascii="Arial" w:hAnsi="Arial"/>
                <w:sz w:val="20"/>
                <w:szCs w:val="20"/>
              </w:rPr>
              <w:t xml:space="preserve">Les </w:t>
            </w:r>
            <w:r>
              <w:rPr>
                <w:rFonts w:ascii="Arial" w:hAnsi="Arial"/>
                <w:sz w:val="20"/>
                <w:szCs w:val="20"/>
              </w:rPr>
              <w:t xml:space="preserve">résultats </w:t>
            </w:r>
            <w:r w:rsidRPr="00E42343">
              <w:rPr>
                <w:rFonts w:ascii="Arial" w:hAnsi="Arial"/>
                <w:sz w:val="20"/>
                <w:szCs w:val="20"/>
              </w:rPr>
              <w:t>de la recherche, la documentation et les études scientifiques, techniques et artistiques sur le PCI sont utilisés pour améliorer la sauvegarde.</w:t>
            </w:r>
          </w:p>
        </w:tc>
        <w:tc>
          <w:tcPr>
            <w:tcW w:w="77" w:type="pct"/>
            <w:tcBorders>
              <w:top w:val="nil"/>
              <w:bottom w:val="nil"/>
            </w:tcBorders>
            <w:shd w:val="clear" w:color="auto" w:fill="auto"/>
            <w:vAlign w:val="center"/>
          </w:tcPr>
          <w:p w14:paraId="68FEC1CD"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05DCC50" w14:textId="77777777" w:rsidR="00A47AF6" w:rsidRPr="00E42343" w:rsidRDefault="00A47AF6" w:rsidP="005C5ED5">
            <w:pPr>
              <w:spacing w:before="60" w:after="60"/>
              <w:rPr>
                <w:rFonts w:ascii="Arial" w:hAnsi="Arial" w:cs="Arial"/>
                <w:sz w:val="20"/>
                <w:szCs w:val="20"/>
              </w:rPr>
            </w:pPr>
          </w:p>
        </w:tc>
      </w:tr>
      <w:tr w:rsidR="00A47AF6" w:rsidRPr="00357839" w14:paraId="42C1C0DE" w14:textId="77777777" w:rsidTr="005B64FB">
        <w:trPr>
          <w:cantSplit/>
        </w:trPr>
        <w:tc>
          <w:tcPr>
            <w:tcW w:w="922" w:type="pct"/>
            <w:vMerge w:val="restart"/>
            <w:shd w:val="clear" w:color="auto" w:fill="auto"/>
            <w:vAlign w:val="center"/>
          </w:tcPr>
          <w:p w14:paraId="6AF3565F" w14:textId="77777777" w:rsidR="00A47AF6" w:rsidRPr="00E42343" w:rsidRDefault="00A47AF6" w:rsidP="005C5ED5">
            <w:pPr>
              <w:spacing w:before="60" w:after="60"/>
              <w:rPr>
                <w:rFonts w:ascii="Arial" w:hAnsi="Arial" w:cs="Arial"/>
                <w:b/>
                <w:sz w:val="20"/>
                <w:szCs w:val="20"/>
              </w:rPr>
            </w:pPr>
            <w:r w:rsidRPr="00E42343">
              <w:rPr>
                <w:rFonts w:ascii="Arial" w:hAnsi="Arial" w:cs="Arial"/>
                <w:b/>
                <w:sz w:val="20"/>
                <w:szCs w:val="20"/>
              </w:rPr>
              <w:t>Politiques et mesure</w:t>
            </w:r>
            <w:r>
              <w:rPr>
                <w:rFonts w:ascii="Arial" w:hAnsi="Arial" w:cs="Arial"/>
                <w:b/>
                <w:sz w:val="20"/>
                <w:szCs w:val="20"/>
              </w:rPr>
              <w:t>s juridiques et administratives</w:t>
            </w:r>
          </w:p>
        </w:tc>
        <w:tc>
          <w:tcPr>
            <w:tcW w:w="1003" w:type="pct"/>
            <w:vMerge w:val="restart"/>
            <w:shd w:val="clear" w:color="auto" w:fill="auto"/>
            <w:vAlign w:val="center"/>
          </w:tcPr>
          <w:p w14:paraId="144566A3" w14:textId="259C4E50"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 xml:space="preserve">Mesure dans laquelle les politiques </w:t>
            </w:r>
            <w:r>
              <w:rPr>
                <w:rFonts w:ascii="Arial" w:hAnsi="Arial"/>
                <w:sz w:val="20"/>
                <w:szCs w:val="20"/>
              </w:rPr>
              <w:t xml:space="preserve">ainsi que </w:t>
            </w:r>
            <w:r w:rsidRPr="00E42343">
              <w:rPr>
                <w:rFonts w:ascii="Arial" w:hAnsi="Arial"/>
                <w:sz w:val="20"/>
                <w:szCs w:val="20"/>
              </w:rPr>
              <w:t>les mesures juridiques et administratives relatives à la culture reflètent la diversité du PCI et l</w:t>
            </w:r>
            <w:r w:rsidR="005B64FB">
              <w:rPr>
                <w:rFonts w:ascii="Arial" w:hAnsi="Arial"/>
                <w:sz w:val="20"/>
                <w:szCs w:val="20"/>
              </w:rPr>
              <w:t>’</w:t>
            </w:r>
            <w:r w:rsidRPr="00E42343">
              <w:rPr>
                <w:rFonts w:ascii="Arial" w:hAnsi="Arial"/>
                <w:sz w:val="20"/>
                <w:szCs w:val="20"/>
              </w:rPr>
              <w:t>importance de sa sauvegarde et sont mises en œuvre</w:t>
            </w:r>
          </w:p>
        </w:tc>
        <w:tc>
          <w:tcPr>
            <w:tcW w:w="2453" w:type="pct"/>
            <w:shd w:val="clear" w:color="auto" w:fill="auto"/>
            <w:vAlign w:val="center"/>
          </w:tcPr>
          <w:p w14:paraId="457F32E3" w14:textId="77777777" w:rsidR="00A47AF6" w:rsidRPr="00E42343" w:rsidRDefault="00A47AF6" w:rsidP="00A47AF6">
            <w:pPr>
              <w:pStyle w:val="ListParagraph"/>
              <w:numPr>
                <w:ilvl w:val="1"/>
                <w:numId w:val="25"/>
              </w:numPr>
              <w:spacing w:before="60" w:after="60"/>
              <w:ind w:left="567" w:hanging="567"/>
              <w:jc w:val="left"/>
              <w:rPr>
                <w:rFonts w:ascii="Arial" w:hAnsi="Arial"/>
                <w:vanish/>
                <w:sz w:val="20"/>
                <w:szCs w:val="20"/>
              </w:rPr>
            </w:pPr>
            <w:r w:rsidRPr="00E42343">
              <w:rPr>
                <w:rFonts w:ascii="Arial" w:hAnsi="Arial"/>
                <w:sz w:val="20"/>
                <w:szCs w:val="20"/>
              </w:rPr>
              <w:t>Des politiques culturelles et/ou des mesures juridiques et administratives intégrant le PCI et sa sauvegarde, et reflétant sa diversité, ont été élaborées ou révisées et sont mises en œuvre.</w:t>
            </w:r>
          </w:p>
        </w:tc>
        <w:tc>
          <w:tcPr>
            <w:tcW w:w="77" w:type="pct"/>
            <w:tcBorders>
              <w:top w:val="nil"/>
              <w:bottom w:val="nil"/>
            </w:tcBorders>
            <w:shd w:val="clear" w:color="auto" w:fill="auto"/>
            <w:vAlign w:val="center"/>
          </w:tcPr>
          <w:p w14:paraId="3BD006BB"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369F0CB9"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Article 13(a)</w:t>
            </w:r>
          </w:p>
          <w:p w14:paraId="0EB7F86A"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DO 153(b)(</w:t>
            </w:r>
            <w:proofErr w:type="spellStart"/>
            <w:r w:rsidRPr="00E42343">
              <w:rPr>
                <w:rFonts w:ascii="Arial" w:hAnsi="Arial" w:cs="Arial"/>
                <w:sz w:val="20"/>
                <w:szCs w:val="20"/>
                <w:lang w:val="en-GB"/>
              </w:rPr>
              <w:t>i</w:t>
            </w:r>
            <w:proofErr w:type="spellEnd"/>
            <w:r w:rsidRPr="00E42343">
              <w:rPr>
                <w:rFonts w:ascii="Arial" w:hAnsi="Arial" w:cs="Arial"/>
                <w:sz w:val="20"/>
                <w:szCs w:val="20"/>
                <w:lang w:val="en-GB"/>
              </w:rPr>
              <w:t>)</w:t>
            </w:r>
            <w:r>
              <w:rPr>
                <w:rFonts w:ascii="Arial" w:hAnsi="Arial" w:cs="Arial"/>
                <w:sz w:val="20"/>
                <w:szCs w:val="20"/>
                <w:lang w:val="en-GB"/>
              </w:rPr>
              <w:t xml:space="preserve">, </w:t>
            </w:r>
            <w:r w:rsidRPr="00E42343">
              <w:rPr>
                <w:rFonts w:ascii="Arial" w:hAnsi="Arial" w:cs="Arial"/>
                <w:sz w:val="20"/>
                <w:szCs w:val="20"/>
                <w:lang w:val="en-GB"/>
              </w:rPr>
              <w:t>DO 171(d)</w:t>
            </w:r>
          </w:p>
        </w:tc>
      </w:tr>
      <w:tr w:rsidR="00A47AF6" w:rsidRPr="00E42343" w14:paraId="6A72ECED" w14:textId="77777777" w:rsidTr="005B64FB">
        <w:trPr>
          <w:cantSplit/>
        </w:trPr>
        <w:tc>
          <w:tcPr>
            <w:tcW w:w="922" w:type="pct"/>
            <w:vMerge/>
            <w:shd w:val="clear" w:color="auto" w:fill="auto"/>
            <w:vAlign w:val="center"/>
          </w:tcPr>
          <w:p w14:paraId="1E10CDA2" w14:textId="77777777" w:rsidR="00A47AF6" w:rsidRPr="00E42343" w:rsidRDefault="00A47AF6" w:rsidP="005C5ED5">
            <w:pPr>
              <w:spacing w:before="60" w:after="60"/>
              <w:ind w:left="360"/>
              <w:rPr>
                <w:rFonts w:ascii="Arial" w:hAnsi="Arial" w:cs="Arial"/>
                <w:sz w:val="20"/>
                <w:szCs w:val="20"/>
                <w:lang w:val="en-GB"/>
              </w:rPr>
            </w:pPr>
          </w:p>
        </w:tc>
        <w:tc>
          <w:tcPr>
            <w:tcW w:w="1003" w:type="pct"/>
            <w:vMerge/>
            <w:shd w:val="clear" w:color="auto" w:fill="auto"/>
            <w:vAlign w:val="center"/>
          </w:tcPr>
          <w:p w14:paraId="05AD702F" w14:textId="77777777" w:rsidR="00A47AF6" w:rsidRPr="00E42343" w:rsidRDefault="00A47AF6" w:rsidP="005C5ED5">
            <w:pPr>
              <w:pStyle w:val="ListParagraph"/>
              <w:spacing w:before="60" w:after="60"/>
              <w:ind w:left="0"/>
              <w:rPr>
                <w:rFonts w:ascii="Arial" w:hAnsi="Arial"/>
                <w:sz w:val="20"/>
                <w:szCs w:val="20"/>
                <w:lang w:val="en-GB"/>
              </w:rPr>
            </w:pPr>
          </w:p>
        </w:tc>
        <w:tc>
          <w:tcPr>
            <w:tcW w:w="2453" w:type="pct"/>
            <w:shd w:val="clear" w:color="auto" w:fill="auto"/>
            <w:vAlign w:val="center"/>
          </w:tcPr>
          <w:p w14:paraId="69B5749E" w14:textId="5B4929AB" w:rsidR="00A47AF6" w:rsidRPr="00E42343" w:rsidRDefault="00A47AF6" w:rsidP="00A47AF6">
            <w:pPr>
              <w:pStyle w:val="ListParagraph"/>
              <w:numPr>
                <w:ilvl w:val="1"/>
                <w:numId w:val="25"/>
              </w:numPr>
              <w:spacing w:before="60" w:after="60"/>
              <w:ind w:left="567" w:hanging="567"/>
              <w:jc w:val="left"/>
              <w:rPr>
                <w:rFonts w:ascii="Arial" w:hAnsi="Arial"/>
                <w:sz w:val="20"/>
                <w:szCs w:val="20"/>
              </w:rPr>
            </w:pPr>
            <w:r w:rsidRPr="00E42343">
              <w:rPr>
                <w:rFonts w:ascii="Arial" w:hAnsi="Arial"/>
                <w:sz w:val="20"/>
                <w:szCs w:val="20"/>
              </w:rPr>
              <w:t>Des stratégies et/ou des plans d</w:t>
            </w:r>
            <w:r w:rsidR="005B64FB">
              <w:rPr>
                <w:rFonts w:ascii="Arial" w:hAnsi="Arial"/>
                <w:sz w:val="20"/>
                <w:szCs w:val="20"/>
              </w:rPr>
              <w:t>’</w:t>
            </w:r>
            <w:r w:rsidRPr="00E42343">
              <w:rPr>
                <w:rFonts w:ascii="Arial" w:hAnsi="Arial"/>
                <w:sz w:val="20"/>
                <w:szCs w:val="20"/>
              </w:rPr>
              <w:t>action nationaux ou infranationaux de sauvegarde du PCI sont élaborés ou révisés et sont mis en œuvre, y compris des plans de sauvegarde d</w:t>
            </w:r>
            <w:r w:rsidR="005B64FB">
              <w:rPr>
                <w:rFonts w:ascii="Arial" w:hAnsi="Arial"/>
                <w:sz w:val="20"/>
                <w:szCs w:val="20"/>
              </w:rPr>
              <w:t>’</w:t>
            </w:r>
            <w:r w:rsidRPr="00E42343">
              <w:rPr>
                <w:rFonts w:ascii="Arial" w:hAnsi="Arial"/>
                <w:sz w:val="20"/>
                <w:szCs w:val="20"/>
              </w:rPr>
              <w:t>éléments spécifiques, qu</w:t>
            </w:r>
            <w:r w:rsidR="005B64FB">
              <w:rPr>
                <w:rFonts w:ascii="Arial" w:hAnsi="Arial"/>
                <w:sz w:val="20"/>
                <w:szCs w:val="20"/>
              </w:rPr>
              <w:t>’</w:t>
            </w:r>
            <w:r w:rsidRPr="00E42343">
              <w:rPr>
                <w:rFonts w:ascii="Arial" w:hAnsi="Arial"/>
                <w:sz w:val="20"/>
                <w:szCs w:val="20"/>
              </w:rPr>
              <w:t>ils soient inscrits ou non.</w:t>
            </w:r>
          </w:p>
        </w:tc>
        <w:tc>
          <w:tcPr>
            <w:tcW w:w="77" w:type="pct"/>
            <w:tcBorders>
              <w:top w:val="nil"/>
              <w:bottom w:val="nil"/>
            </w:tcBorders>
            <w:shd w:val="clear" w:color="auto" w:fill="auto"/>
            <w:vAlign w:val="center"/>
          </w:tcPr>
          <w:p w14:paraId="7147BE6B"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6860F3B9"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 DO 2</w:t>
            </w:r>
          </w:p>
        </w:tc>
      </w:tr>
      <w:tr w:rsidR="00A47AF6" w:rsidRPr="00E42343" w14:paraId="62DD3A57" w14:textId="77777777" w:rsidTr="005B64FB">
        <w:trPr>
          <w:cantSplit/>
        </w:trPr>
        <w:tc>
          <w:tcPr>
            <w:tcW w:w="922" w:type="pct"/>
            <w:vMerge/>
            <w:shd w:val="clear" w:color="auto" w:fill="auto"/>
            <w:vAlign w:val="center"/>
          </w:tcPr>
          <w:p w14:paraId="55F82F71" w14:textId="77777777" w:rsidR="00A47AF6" w:rsidRPr="00E42343" w:rsidRDefault="00A47AF6" w:rsidP="005C5ED5">
            <w:pPr>
              <w:spacing w:before="60" w:after="60"/>
              <w:ind w:left="360"/>
              <w:rPr>
                <w:rFonts w:ascii="Arial" w:hAnsi="Arial" w:cs="Arial"/>
                <w:sz w:val="20"/>
                <w:szCs w:val="20"/>
                <w:lang w:val="en-GB"/>
              </w:rPr>
            </w:pPr>
          </w:p>
        </w:tc>
        <w:tc>
          <w:tcPr>
            <w:tcW w:w="1003" w:type="pct"/>
            <w:vMerge/>
            <w:shd w:val="clear" w:color="auto" w:fill="auto"/>
            <w:vAlign w:val="center"/>
          </w:tcPr>
          <w:p w14:paraId="2D40D8BF" w14:textId="77777777" w:rsidR="00A47AF6" w:rsidRPr="00E42343" w:rsidRDefault="00A47AF6" w:rsidP="005C5ED5">
            <w:pPr>
              <w:pStyle w:val="ListParagraph"/>
              <w:spacing w:before="60" w:after="60"/>
              <w:ind w:left="0"/>
              <w:rPr>
                <w:rFonts w:ascii="Arial" w:hAnsi="Arial"/>
                <w:sz w:val="20"/>
                <w:szCs w:val="20"/>
                <w:lang w:val="en-GB"/>
              </w:rPr>
            </w:pPr>
          </w:p>
        </w:tc>
        <w:tc>
          <w:tcPr>
            <w:tcW w:w="2453" w:type="pct"/>
            <w:shd w:val="clear" w:color="auto" w:fill="auto"/>
            <w:vAlign w:val="center"/>
          </w:tcPr>
          <w:p w14:paraId="2BC7D0EF" w14:textId="53437B37" w:rsidR="00A47AF6" w:rsidRPr="00E42343" w:rsidRDefault="00A47AF6" w:rsidP="00A47AF6">
            <w:pPr>
              <w:pStyle w:val="ListParagraph"/>
              <w:numPr>
                <w:ilvl w:val="1"/>
                <w:numId w:val="25"/>
              </w:numPr>
              <w:spacing w:before="60" w:after="60"/>
              <w:ind w:left="567" w:hanging="567"/>
              <w:jc w:val="left"/>
              <w:rPr>
                <w:rFonts w:ascii="Arial" w:hAnsi="Arial"/>
                <w:sz w:val="20"/>
                <w:szCs w:val="20"/>
              </w:rPr>
            </w:pPr>
            <w:r w:rsidRPr="00E42343">
              <w:rPr>
                <w:rFonts w:ascii="Arial" w:hAnsi="Arial"/>
                <w:sz w:val="20"/>
                <w:szCs w:val="20"/>
              </w:rPr>
              <w:t>Le soutien public,</w:t>
            </w:r>
            <w:r>
              <w:rPr>
                <w:rFonts w:ascii="Arial" w:hAnsi="Arial"/>
                <w:sz w:val="20"/>
                <w:szCs w:val="20"/>
              </w:rPr>
              <w:t xml:space="preserve"> financier et/ou technique</w:t>
            </w:r>
            <w:r w:rsidRPr="00E42343">
              <w:rPr>
                <w:rFonts w:ascii="Arial" w:hAnsi="Arial"/>
                <w:sz w:val="20"/>
                <w:szCs w:val="20"/>
              </w:rPr>
              <w:t xml:space="preserve"> pour la sauvegarde d</w:t>
            </w:r>
            <w:r w:rsidR="005B64FB">
              <w:rPr>
                <w:rFonts w:ascii="Arial" w:hAnsi="Arial"/>
                <w:sz w:val="20"/>
                <w:szCs w:val="20"/>
              </w:rPr>
              <w:t>’</w:t>
            </w:r>
            <w:r w:rsidRPr="00E42343">
              <w:rPr>
                <w:rFonts w:ascii="Arial" w:hAnsi="Arial"/>
                <w:sz w:val="20"/>
                <w:szCs w:val="20"/>
              </w:rPr>
              <w:t xml:space="preserve">éléments du </w:t>
            </w:r>
            <w:r>
              <w:rPr>
                <w:rFonts w:ascii="Arial" w:hAnsi="Arial"/>
                <w:sz w:val="20"/>
                <w:szCs w:val="20"/>
              </w:rPr>
              <w:t>PCI, qu</w:t>
            </w:r>
            <w:r w:rsidR="005B64FB">
              <w:rPr>
                <w:rFonts w:ascii="Arial" w:hAnsi="Arial"/>
                <w:sz w:val="20"/>
                <w:szCs w:val="20"/>
              </w:rPr>
              <w:t>’</w:t>
            </w:r>
            <w:r>
              <w:rPr>
                <w:rFonts w:ascii="Arial" w:hAnsi="Arial"/>
                <w:sz w:val="20"/>
                <w:szCs w:val="20"/>
              </w:rPr>
              <w:t>ils soient inscrits ou non,</w:t>
            </w:r>
            <w:r w:rsidRPr="00E42343">
              <w:rPr>
                <w:rFonts w:ascii="Arial" w:hAnsi="Arial"/>
                <w:sz w:val="20"/>
                <w:szCs w:val="20"/>
              </w:rPr>
              <w:t xml:space="preserve"> est fourni sur une base équitable </w:t>
            </w:r>
            <w:r>
              <w:rPr>
                <w:rFonts w:ascii="Arial" w:hAnsi="Arial"/>
                <w:sz w:val="20"/>
                <w:szCs w:val="20"/>
              </w:rPr>
              <w:t>par rapport au soutien global apporté à la culture et au patrimoine en général</w:t>
            </w:r>
            <w:r w:rsidRPr="00E42343">
              <w:rPr>
                <w:rFonts w:ascii="Arial" w:hAnsi="Arial"/>
                <w:sz w:val="20"/>
                <w:szCs w:val="20"/>
              </w:rPr>
              <w:t>, tout en tenant compte de la priorité accordée à ceux identifiés comme ayant besoin d</w:t>
            </w:r>
            <w:r w:rsidR="005B64FB">
              <w:rPr>
                <w:rFonts w:ascii="Arial" w:hAnsi="Arial"/>
                <w:sz w:val="20"/>
                <w:szCs w:val="20"/>
              </w:rPr>
              <w:t>’</w:t>
            </w:r>
            <w:r w:rsidRPr="00E42343">
              <w:rPr>
                <w:rFonts w:ascii="Arial" w:hAnsi="Arial"/>
                <w:sz w:val="20"/>
                <w:szCs w:val="20"/>
              </w:rPr>
              <w:t>une sauvegarde urgente.</w:t>
            </w:r>
          </w:p>
        </w:tc>
        <w:tc>
          <w:tcPr>
            <w:tcW w:w="77" w:type="pct"/>
            <w:tcBorders>
              <w:top w:val="nil"/>
              <w:bottom w:val="nil"/>
            </w:tcBorders>
            <w:shd w:val="clear" w:color="auto" w:fill="auto"/>
            <w:vAlign w:val="center"/>
          </w:tcPr>
          <w:p w14:paraId="2BA7277C"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46A27E89" w14:textId="77777777" w:rsidR="00A47AF6" w:rsidRPr="00E42343" w:rsidRDefault="00A47AF6" w:rsidP="005C5ED5">
            <w:pPr>
              <w:spacing w:before="60" w:after="60"/>
              <w:rPr>
                <w:rFonts w:ascii="Arial" w:hAnsi="Arial" w:cs="Arial"/>
                <w:sz w:val="20"/>
                <w:szCs w:val="20"/>
              </w:rPr>
            </w:pPr>
          </w:p>
        </w:tc>
      </w:tr>
      <w:tr w:rsidR="00A47AF6" w:rsidRPr="00E42343" w14:paraId="19EA4D19" w14:textId="77777777" w:rsidTr="005B64FB">
        <w:trPr>
          <w:cantSplit/>
        </w:trPr>
        <w:tc>
          <w:tcPr>
            <w:tcW w:w="922" w:type="pct"/>
            <w:vMerge/>
            <w:shd w:val="clear" w:color="auto" w:fill="auto"/>
            <w:vAlign w:val="center"/>
          </w:tcPr>
          <w:p w14:paraId="5C13FD03" w14:textId="77777777" w:rsidR="00A47AF6" w:rsidRPr="00345EB5" w:rsidRDefault="00A47AF6" w:rsidP="005C5ED5">
            <w:pPr>
              <w:spacing w:before="60" w:after="60"/>
              <w:ind w:left="360"/>
              <w:rPr>
                <w:rFonts w:ascii="Arial" w:hAnsi="Arial" w:cs="Arial"/>
                <w:sz w:val="20"/>
                <w:szCs w:val="20"/>
              </w:rPr>
            </w:pPr>
          </w:p>
        </w:tc>
        <w:tc>
          <w:tcPr>
            <w:tcW w:w="1003" w:type="pct"/>
            <w:vMerge/>
            <w:shd w:val="clear" w:color="auto" w:fill="auto"/>
            <w:vAlign w:val="center"/>
          </w:tcPr>
          <w:p w14:paraId="05DE3B07" w14:textId="77777777" w:rsidR="00A47AF6" w:rsidRPr="00345EB5" w:rsidRDefault="00A47AF6" w:rsidP="005C5ED5">
            <w:pPr>
              <w:pStyle w:val="ListParagraph"/>
              <w:spacing w:before="60" w:after="60"/>
              <w:ind w:left="0"/>
              <w:rPr>
                <w:rFonts w:ascii="Arial" w:hAnsi="Arial"/>
                <w:sz w:val="20"/>
                <w:szCs w:val="20"/>
              </w:rPr>
            </w:pPr>
          </w:p>
        </w:tc>
        <w:tc>
          <w:tcPr>
            <w:tcW w:w="2453" w:type="pct"/>
            <w:shd w:val="clear" w:color="auto" w:fill="auto"/>
            <w:vAlign w:val="center"/>
          </w:tcPr>
          <w:p w14:paraId="398B3457" w14:textId="77777777" w:rsidR="00A47AF6" w:rsidRPr="00E42343" w:rsidRDefault="00A47AF6" w:rsidP="00A47AF6">
            <w:pPr>
              <w:pStyle w:val="ListParagraph"/>
              <w:numPr>
                <w:ilvl w:val="1"/>
                <w:numId w:val="25"/>
              </w:numPr>
              <w:spacing w:before="60" w:after="60"/>
              <w:ind w:left="567" w:hanging="567"/>
              <w:jc w:val="left"/>
              <w:rPr>
                <w:rFonts w:ascii="Arial" w:hAnsi="Arial"/>
                <w:sz w:val="20"/>
                <w:szCs w:val="20"/>
              </w:rPr>
            </w:pPr>
            <w:r w:rsidRPr="00E42343">
              <w:rPr>
                <w:rFonts w:ascii="Arial" w:hAnsi="Arial"/>
                <w:sz w:val="20"/>
                <w:szCs w:val="20"/>
              </w:rPr>
              <w:t xml:space="preserve">Les politiques culturelles et/ou les mesures juridiques et administratives intégrant le PCI et sa sauvegarde sont </w:t>
            </w:r>
            <w:r w:rsidRPr="00A71AF7">
              <w:rPr>
                <w:rFonts w:ascii="Arial" w:hAnsi="Arial"/>
                <w:sz w:val="20"/>
                <w:szCs w:val="20"/>
              </w:rPr>
              <w:t>informées par</w:t>
            </w:r>
            <w:r w:rsidRPr="00E42343">
              <w:rPr>
                <w:rFonts w:ascii="Arial" w:hAnsi="Arial"/>
                <w:sz w:val="20"/>
                <w:szCs w:val="20"/>
              </w:rPr>
              <w:t xml:space="preserve"> la participation active des communautés, des groupes et des individus.</w:t>
            </w:r>
          </w:p>
        </w:tc>
        <w:tc>
          <w:tcPr>
            <w:tcW w:w="77" w:type="pct"/>
            <w:tcBorders>
              <w:top w:val="nil"/>
              <w:bottom w:val="nil"/>
            </w:tcBorders>
            <w:shd w:val="clear" w:color="auto" w:fill="auto"/>
            <w:vAlign w:val="center"/>
          </w:tcPr>
          <w:p w14:paraId="2C63BB4F"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0915870A" w14:textId="77777777" w:rsidR="00A47AF6" w:rsidRPr="00E42343" w:rsidRDefault="00A47AF6" w:rsidP="005C5ED5">
            <w:pPr>
              <w:spacing w:before="60" w:after="60"/>
              <w:rPr>
                <w:rFonts w:ascii="Arial" w:hAnsi="Arial" w:cs="Arial"/>
                <w:sz w:val="20"/>
                <w:szCs w:val="20"/>
              </w:rPr>
            </w:pPr>
          </w:p>
        </w:tc>
      </w:tr>
      <w:tr w:rsidR="00A47AF6" w:rsidRPr="00E42343" w14:paraId="42EED7BE" w14:textId="77777777" w:rsidTr="005B64FB">
        <w:trPr>
          <w:cantSplit/>
        </w:trPr>
        <w:tc>
          <w:tcPr>
            <w:tcW w:w="922" w:type="pct"/>
            <w:vMerge/>
            <w:shd w:val="clear" w:color="auto" w:fill="auto"/>
            <w:vAlign w:val="center"/>
          </w:tcPr>
          <w:p w14:paraId="4C9C6FFA" w14:textId="77777777" w:rsidR="00A47AF6" w:rsidRPr="00E42343" w:rsidRDefault="00A47AF6" w:rsidP="005C5ED5">
            <w:pPr>
              <w:spacing w:before="60" w:after="60"/>
              <w:ind w:left="360"/>
              <w:rPr>
                <w:rFonts w:ascii="Arial" w:hAnsi="Arial" w:cs="Arial"/>
                <w:sz w:val="20"/>
                <w:szCs w:val="20"/>
              </w:rPr>
            </w:pPr>
          </w:p>
        </w:tc>
        <w:tc>
          <w:tcPr>
            <w:tcW w:w="1003" w:type="pct"/>
            <w:vMerge w:val="restart"/>
            <w:shd w:val="clear" w:color="auto" w:fill="auto"/>
            <w:vAlign w:val="center"/>
          </w:tcPr>
          <w:p w14:paraId="2880B6FE" w14:textId="01D5011E"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 xml:space="preserve">Mesure dans laquelle les politiques </w:t>
            </w:r>
            <w:r>
              <w:rPr>
                <w:rFonts w:ascii="Arial" w:hAnsi="Arial"/>
                <w:sz w:val="20"/>
                <w:szCs w:val="20"/>
              </w:rPr>
              <w:t>ainsi que</w:t>
            </w:r>
            <w:r w:rsidRPr="00E42343">
              <w:rPr>
                <w:rFonts w:ascii="Arial" w:hAnsi="Arial"/>
                <w:sz w:val="20"/>
                <w:szCs w:val="20"/>
              </w:rPr>
              <w:t xml:space="preserve"> les mesures juridiques et administratives relatives à l</w:t>
            </w:r>
            <w:r w:rsidR="005B64FB">
              <w:rPr>
                <w:rFonts w:ascii="Arial" w:hAnsi="Arial"/>
                <w:sz w:val="20"/>
                <w:szCs w:val="20"/>
              </w:rPr>
              <w:t>’</w:t>
            </w:r>
            <w:r w:rsidRPr="00E42343">
              <w:rPr>
                <w:rFonts w:ascii="Arial" w:hAnsi="Arial"/>
                <w:sz w:val="20"/>
                <w:szCs w:val="20"/>
              </w:rPr>
              <w:t>éducation reflètent la diversité du PCI et l</w:t>
            </w:r>
            <w:r w:rsidR="005B64FB">
              <w:rPr>
                <w:rFonts w:ascii="Arial" w:hAnsi="Arial"/>
                <w:sz w:val="20"/>
                <w:szCs w:val="20"/>
              </w:rPr>
              <w:t>’</w:t>
            </w:r>
            <w:r w:rsidRPr="00E42343">
              <w:rPr>
                <w:rFonts w:ascii="Arial" w:hAnsi="Arial"/>
                <w:sz w:val="20"/>
                <w:szCs w:val="20"/>
              </w:rPr>
              <w:t>importance de sa sauvegarde et sont mises en œuvre</w:t>
            </w:r>
          </w:p>
        </w:tc>
        <w:tc>
          <w:tcPr>
            <w:tcW w:w="2453" w:type="pct"/>
            <w:shd w:val="clear" w:color="auto" w:fill="auto"/>
            <w:vAlign w:val="center"/>
          </w:tcPr>
          <w:p w14:paraId="6CF8FAB3" w14:textId="6C51639C" w:rsidR="00A47AF6" w:rsidRPr="00E42343" w:rsidRDefault="00A47AF6" w:rsidP="00A47AF6">
            <w:pPr>
              <w:pStyle w:val="ListParagraph"/>
              <w:numPr>
                <w:ilvl w:val="1"/>
                <w:numId w:val="26"/>
              </w:numPr>
              <w:spacing w:before="60" w:after="60"/>
              <w:ind w:left="567" w:hanging="567"/>
              <w:jc w:val="left"/>
              <w:rPr>
                <w:rFonts w:ascii="Arial" w:hAnsi="Arial"/>
                <w:vanish/>
                <w:sz w:val="20"/>
                <w:szCs w:val="20"/>
              </w:rPr>
            </w:pPr>
            <w:r w:rsidRPr="00E42343">
              <w:rPr>
                <w:rFonts w:ascii="Arial" w:hAnsi="Arial"/>
                <w:sz w:val="20"/>
                <w:szCs w:val="20"/>
              </w:rPr>
              <w:t>Des politiques et/ou des mesures juridiques et administratives en matière d</w:t>
            </w:r>
            <w:r w:rsidR="005B64FB">
              <w:rPr>
                <w:rFonts w:ascii="Arial" w:hAnsi="Arial"/>
                <w:sz w:val="20"/>
                <w:szCs w:val="20"/>
              </w:rPr>
              <w:t>’</w:t>
            </w:r>
            <w:r w:rsidRPr="00E42343">
              <w:rPr>
                <w:rFonts w:ascii="Arial" w:hAnsi="Arial"/>
                <w:sz w:val="20"/>
                <w:szCs w:val="20"/>
              </w:rPr>
              <w:t>éducation sont adoptées ou révisées et mises en œuvre pour assurer la reconnaissance, le respect et la mise en valeur du PCI.</w:t>
            </w:r>
          </w:p>
        </w:tc>
        <w:tc>
          <w:tcPr>
            <w:tcW w:w="77" w:type="pct"/>
            <w:tcBorders>
              <w:top w:val="nil"/>
              <w:bottom w:val="nil"/>
            </w:tcBorders>
            <w:shd w:val="clear" w:color="auto" w:fill="auto"/>
            <w:vAlign w:val="center"/>
          </w:tcPr>
          <w:p w14:paraId="26B6895C"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43C04A4A"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Article 14(a)(ii)</w:t>
            </w:r>
          </w:p>
        </w:tc>
      </w:tr>
      <w:tr w:rsidR="00A47AF6" w:rsidRPr="00E42343" w14:paraId="5CECF667" w14:textId="77777777" w:rsidTr="005B64FB">
        <w:trPr>
          <w:cantSplit/>
        </w:trPr>
        <w:tc>
          <w:tcPr>
            <w:tcW w:w="922" w:type="pct"/>
            <w:vMerge/>
            <w:shd w:val="clear" w:color="auto" w:fill="auto"/>
            <w:vAlign w:val="center"/>
          </w:tcPr>
          <w:p w14:paraId="5FD76C36" w14:textId="77777777" w:rsidR="00A47AF6" w:rsidRPr="00E42343" w:rsidRDefault="00A47AF6" w:rsidP="005C5ED5">
            <w:pPr>
              <w:spacing w:before="60" w:after="60"/>
              <w:ind w:left="360"/>
              <w:rPr>
                <w:rFonts w:ascii="Arial" w:hAnsi="Arial" w:cs="Arial"/>
                <w:sz w:val="20"/>
                <w:szCs w:val="20"/>
              </w:rPr>
            </w:pPr>
          </w:p>
        </w:tc>
        <w:tc>
          <w:tcPr>
            <w:tcW w:w="1003" w:type="pct"/>
            <w:vMerge/>
            <w:shd w:val="clear" w:color="auto" w:fill="auto"/>
            <w:vAlign w:val="center"/>
          </w:tcPr>
          <w:p w14:paraId="665F4BCD"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70EBDECC" w14:textId="5C0D84D8" w:rsidR="00A47AF6" w:rsidRPr="00E42343" w:rsidRDefault="00A47AF6" w:rsidP="00A47AF6">
            <w:pPr>
              <w:pStyle w:val="ListParagraph"/>
              <w:numPr>
                <w:ilvl w:val="1"/>
                <w:numId w:val="26"/>
              </w:numPr>
              <w:spacing w:before="60" w:after="60"/>
              <w:ind w:left="567" w:hanging="567"/>
              <w:jc w:val="left"/>
              <w:rPr>
                <w:rFonts w:ascii="Arial" w:hAnsi="Arial"/>
                <w:sz w:val="20"/>
                <w:szCs w:val="20"/>
              </w:rPr>
            </w:pPr>
            <w:r w:rsidRPr="00E42343">
              <w:rPr>
                <w:rFonts w:ascii="Arial" w:hAnsi="Arial"/>
                <w:sz w:val="20"/>
                <w:szCs w:val="20"/>
              </w:rPr>
              <w:t>Des politiques et/ou des mesures juridiques et administratives en matière d</w:t>
            </w:r>
            <w:r w:rsidR="005B64FB">
              <w:rPr>
                <w:rFonts w:ascii="Arial" w:hAnsi="Arial"/>
                <w:sz w:val="20"/>
                <w:szCs w:val="20"/>
              </w:rPr>
              <w:t>’</w:t>
            </w:r>
            <w:r w:rsidRPr="00E42343">
              <w:rPr>
                <w:rFonts w:ascii="Arial" w:hAnsi="Arial"/>
                <w:sz w:val="20"/>
                <w:szCs w:val="20"/>
              </w:rPr>
              <w:t>éducation sont adoptées ou révisées et mises en œuvre pour renforcer la transmission et la pratique du PCI.</w:t>
            </w:r>
          </w:p>
        </w:tc>
        <w:tc>
          <w:tcPr>
            <w:tcW w:w="77" w:type="pct"/>
            <w:tcBorders>
              <w:top w:val="nil"/>
              <w:bottom w:val="nil"/>
            </w:tcBorders>
            <w:shd w:val="clear" w:color="auto" w:fill="auto"/>
            <w:vAlign w:val="center"/>
          </w:tcPr>
          <w:p w14:paraId="23CF2475"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CB66927"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Article 14(a)(ii)</w:t>
            </w:r>
          </w:p>
        </w:tc>
      </w:tr>
      <w:tr w:rsidR="00A47AF6" w:rsidRPr="00E42343" w14:paraId="3D5F755A" w14:textId="77777777" w:rsidTr="005B64FB">
        <w:trPr>
          <w:cantSplit/>
        </w:trPr>
        <w:tc>
          <w:tcPr>
            <w:tcW w:w="922" w:type="pct"/>
            <w:vMerge/>
            <w:shd w:val="clear" w:color="auto" w:fill="auto"/>
            <w:vAlign w:val="center"/>
          </w:tcPr>
          <w:p w14:paraId="09B5A337" w14:textId="77777777" w:rsidR="00A47AF6" w:rsidRPr="00E42343" w:rsidRDefault="00A47AF6" w:rsidP="005C5ED5">
            <w:pPr>
              <w:spacing w:before="60" w:after="60"/>
              <w:ind w:left="360"/>
              <w:rPr>
                <w:rFonts w:ascii="Arial" w:hAnsi="Arial" w:cs="Arial"/>
                <w:sz w:val="20"/>
                <w:szCs w:val="20"/>
              </w:rPr>
            </w:pPr>
          </w:p>
        </w:tc>
        <w:tc>
          <w:tcPr>
            <w:tcW w:w="1003" w:type="pct"/>
            <w:vMerge/>
            <w:tcBorders>
              <w:bottom w:val="single" w:sz="4" w:space="0" w:color="000000"/>
            </w:tcBorders>
            <w:shd w:val="clear" w:color="auto" w:fill="auto"/>
            <w:vAlign w:val="center"/>
          </w:tcPr>
          <w:p w14:paraId="184327A2"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63544399" w14:textId="62AC0F9D" w:rsidR="00A47AF6" w:rsidRPr="00E42343" w:rsidRDefault="00A47AF6" w:rsidP="00A47AF6">
            <w:pPr>
              <w:pStyle w:val="ListParagraph"/>
              <w:numPr>
                <w:ilvl w:val="1"/>
                <w:numId w:val="26"/>
              </w:numPr>
              <w:spacing w:before="60" w:after="60"/>
              <w:ind w:left="567" w:hanging="567"/>
              <w:jc w:val="left"/>
              <w:rPr>
                <w:rFonts w:ascii="Arial" w:hAnsi="Arial"/>
                <w:sz w:val="20"/>
                <w:szCs w:val="20"/>
              </w:rPr>
            </w:pPr>
            <w:r w:rsidRPr="00E42343">
              <w:rPr>
                <w:rFonts w:ascii="Arial" w:hAnsi="Arial"/>
                <w:sz w:val="20"/>
                <w:szCs w:val="20"/>
              </w:rPr>
              <w:t>Des politiques et/ou des mesures juridiques et administratives promeuvent l</w:t>
            </w:r>
            <w:r w:rsidR="005B64FB">
              <w:rPr>
                <w:rFonts w:ascii="Arial" w:hAnsi="Arial"/>
                <w:sz w:val="20"/>
                <w:szCs w:val="20"/>
              </w:rPr>
              <w:t>’</w:t>
            </w:r>
            <w:r w:rsidRPr="00E42343">
              <w:rPr>
                <w:rFonts w:ascii="Arial" w:hAnsi="Arial"/>
                <w:sz w:val="20"/>
                <w:szCs w:val="20"/>
              </w:rPr>
              <w:t>enseignement de la langue maternelle et l</w:t>
            </w:r>
            <w:r w:rsidR="005B64FB">
              <w:rPr>
                <w:rFonts w:ascii="Arial" w:hAnsi="Arial"/>
                <w:sz w:val="20"/>
                <w:szCs w:val="20"/>
              </w:rPr>
              <w:t>’</w:t>
            </w:r>
            <w:r w:rsidRPr="00E42343">
              <w:rPr>
                <w:rFonts w:ascii="Arial" w:hAnsi="Arial"/>
                <w:sz w:val="20"/>
                <w:szCs w:val="20"/>
              </w:rPr>
              <w:t>éducation multilingue.</w:t>
            </w:r>
          </w:p>
        </w:tc>
        <w:tc>
          <w:tcPr>
            <w:tcW w:w="77" w:type="pct"/>
            <w:tcBorders>
              <w:top w:val="nil"/>
              <w:bottom w:val="nil"/>
            </w:tcBorders>
            <w:shd w:val="clear" w:color="auto" w:fill="auto"/>
            <w:vAlign w:val="center"/>
          </w:tcPr>
          <w:p w14:paraId="32B224F1"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773FFBA7"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Article 14(a)(ii)</w:t>
            </w:r>
          </w:p>
          <w:p w14:paraId="6CA62828"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107</w:t>
            </w:r>
          </w:p>
        </w:tc>
      </w:tr>
      <w:tr w:rsidR="00A47AF6" w:rsidRPr="00E42343" w14:paraId="4C3A5453" w14:textId="77777777" w:rsidTr="005B64FB">
        <w:trPr>
          <w:cantSplit/>
          <w:trHeight w:val="675"/>
        </w:trPr>
        <w:tc>
          <w:tcPr>
            <w:tcW w:w="922" w:type="pct"/>
            <w:vMerge/>
            <w:shd w:val="clear" w:color="auto" w:fill="auto"/>
            <w:vAlign w:val="center"/>
          </w:tcPr>
          <w:p w14:paraId="1225CA0D" w14:textId="77777777" w:rsidR="00A47AF6" w:rsidRPr="00E42343" w:rsidRDefault="00A47AF6" w:rsidP="005C5ED5">
            <w:pPr>
              <w:spacing w:before="60" w:after="60"/>
              <w:ind w:left="360"/>
              <w:rPr>
                <w:rFonts w:ascii="Arial" w:hAnsi="Arial" w:cs="Arial"/>
                <w:sz w:val="20"/>
                <w:szCs w:val="20"/>
              </w:rPr>
            </w:pPr>
          </w:p>
        </w:tc>
        <w:tc>
          <w:tcPr>
            <w:tcW w:w="1003" w:type="pct"/>
            <w:vMerge w:val="restart"/>
            <w:tcBorders>
              <w:bottom w:val="single" w:sz="4" w:space="0" w:color="auto"/>
            </w:tcBorders>
            <w:shd w:val="clear" w:color="auto" w:fill="auto"/>
            <w:vAlign w:val="center"/>
          </w:tcPr>
          <w:p w14:paraId="4EC50BB8" w14:textId="036AAA13"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 xml:space="preserve">Mesure dans laquelle les politiques </w:t>
            </w:r>
            <w:r>
              <w:rPr>
                <w:rFonts w:ascii="Arial" w:hAnsi="Arial"/>
                <w:sz w:val="20"/>
                <w:szCs w:val="20"/>
              </w:rPr>
              <w:t>ainsi que</w:t>
            </w:r>
            <w:r w:rsidRPr="00E42343">
              <w:rPr>
                <w:rFonts w:ascii="Arial" w:hAnsi="Arial"/>
                <w:sz w:val="20"/>
                <w:szCs w:val="20"/>
              </w:rPr>
              <w:t xml:space="preserve"> les mesures juridiques et administratives dans des domaines autres que la culture et l</w:t>
            </w:r>
            <w:r w:rsidR="005B64FB">
              <w:rPr>
                <w:rFonts w:ascii="Arial" w:hAnsi="Arial"/>
                <w:sz w:val="20"/>
                <w:szCs w:val="20"/>
              </w:rPr>
              <w:t>’</w:t>
            </w:r>
            <w:r w:rsidRPr="00E42343">
              <w:rPr>
                <w:rFonts w:ascii="Arial" w:hAnsi="Arial"/>
                <w:sz w:val="20"/>
                <w:szCs w:val="20"/>
              </w:rPr>
              <w:t>éducation reflètent la diversité du PCI et l</w:t>
            </w:r>
            <w:r w:rsidR="005B64FB">
              <w:rPr>
                <w:rFonts w:ascii="Arial" w:hAnsi="Arial"/>
                <w:sz w:val="20"/>
                <w:szCs w:val="20"/>
              </w:rPr>
              <w:t>’</w:t>
            </w:r>
            <w:r w:rsidRPr="00E42343">
              <w:rPr>
                <w:rFonts w:ascii="Arial" w:hAnsi="Arial"/>
                <w:sz w:val="20"/>
                <w:szCs w:val="20"/>
              </w:rPr>
              <w:t>importance de sa sauvegarde et sont mises en œuvre</w:t>
            </w:r>
          </w:p>
        </w:tc>
        <w:tc>
          <w:tcPr>
            <w:tcW w:w="2453" w:type="pct"/>
            <w:shd w:val="clear" w:color="auto" w:fill="auto"/>
            <w:vAlign w:val="center"/>
          </w:tcPr>
          <w:p w14:paraId="785F781E" w14:textId="77777777" w:rsidR="00A47AF6" w:rsidRPr="00E42343" w:rsidRDefault="00A47AF6" w:rsidP="00A47AF6">
            <w:pPr>
              <w:pStyle w:val="ListParagraph"/>
              <w:numPr>
                <w:ilvl w:val="1"/>
                <w:numId w:val="15"/>
              </w:numPr>
              <w:spacing w:before="60" w:after="60"/>
              <w:ind w:left="567" w:hanging="567"/>
              <w:jc w:val="left"/>
              <w:rPr>
                <w:rFonts w:ascii="Arial" w:hAnsi="Arial"/>
                <w:vanish/>
                <w:sz w:val="20"/>
                <w:szCs w:val="20"/>
              </w:rPr>
            </w:pPr>
            <w:r w:rsidRPr="00E42343">
              <w:rPr>
                <w:rFonts w:ascii="Arial" w:hAnsi="Arial"/>
                <w:sz w:val="20"/>
                <w:szCs w:val="20"/>
              </w:rPr>
              <w:t xml:space="preserve">Les Principes éthiques pour </w:t>
            </w:r>
            <w:r>
              <w:rPr>
                <w:rFonts w:ascii="Arial" w:hAnsi="Arial"/>
                <w:sz w:val="20"/>
                <w:szCs w:val="20"/>
              </w:rPr>
              <w:t xml:space="preserve">la </w:t>
            </w:r>
            <w:r w:rsidRPr="00E42343">
              <w:rPr>
                <w:rFonts w:ascii="Arial" w:hAnsi="Arial"/>
                <w:sz w:val="20"/>
                <w:szCs w:val="20"/>
              </w:rPr>
              <w:t>sauvegarde du PCI sont respectés dans les plans, les politiques et les programmes de développement.</w:t>
            </w:r>
          </w:p>
        </w:tc>
        <w:tc>
          <w:tcPr>
            <w:tcW w:w="77" w:type="pct"/>
            <w:tcBorders>
              <w:top w:val="nil"/>
              <w:bottom w:val="nil"/>
            </w:tcBorders>
            <w:shd w:val="clear" w:color="auto" w:fill="auto"/>
            <w:vAlign w:val="center"/>
          </w:tcPr>
          <w:p w14:paraId="019014C8"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0F79F621"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171(c)</w:t>
            </w:r>
          </w:p>
          <w:p w14:paraId="54E40FAD"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PE</w:t>
            </w:r>
          </w:p>
        </w:tc>
      </w:tr>
      <w:tr w:rsidR="00A47AF6" w:rsidRPr="00357839" w14:paraId="37A1F300" w14:textId="77777777" w:rsidTr="005B64FB">
        <w:trPr>
          <w:cantSplit/>
        </w:trPr>
        <w:tc>
          <w:tcPr>
            <w:tcW w:w="922" w:type="pct"/>
            <w:vMerge/>
            <w:shd w:val="clear" w:color="auto" w:fill="auto"/>
            <w:vAlign w:val="center"/>
          </w:tcPr>
          <w:p w14:paraId="74C1C8AB" w14:textId="77777777" w:rsidR="00A47AF6" w:rsidRPr="00E42343" w:rsidRDefault="00A47AF6" w:rsidP="005C5ED5">
            <w:pPr>
              <w:spacing w:before="60" w:after="60"/>
              <w:rPr>
                <w:rFonts w:ascii="Arial" w:hAnsi="Arial" w:cs="Arial"/>
                <w:sz w:val="20"/>
                <w:szCs w:val="20"/>
              </w:rPr>
            </w:pPr>
          </w:p>
        </w:tc>
        <w:tc>
          <w:tcPr>
            <w:tcW w:w="1003" w:type="pct"/>
            <w:vMerge/>
            <w:tcBorders>
              <w:bottom w:val="single" w:sz="4" w:space="0" w:color="auto"/>
            </w:tcBorders>
            <w:shd w:val="clear" w:color="auto" w:fill="auto"/>
            <w:vAlign w:val="center"/>
          </w:tcPr>
          <w:p w14:paraId="493C4421"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280E7125" w14:textId="77777777" w:rsidR="00A47AF6" w:rsidRPr="00E42343" w:rsidRDefault="00A47AF6" w:rsidP="00A47AF6">
            <w:pPr>
              <w:pStyle w:val="ListParagraph"/>
              <w:numPr>
                <w:ilvl w:val="1"/>
                <w:numId w:val="15"/>
              </w:numPr>
              <w:spacing w:before="60" w:after="60"/>
              <w:ind w:left="567" w:hanging="567"/>
              <w:jc w:val="left"/>
              <w:rPr>
                <w:rFonts w:ascii="Arial" w:hAnsi="Arial"/>
                <w:sz w:val="20"/>
                <w:szCs w:val="20"/>
              </w:rPr>
            </w:pPr>
            <w:r w:rsidRPr="00E42343">
              <w:rPr>
                <w:rFonts w:ascii="Arial" w:hAnsi="Arial"/>
                <w:sz w:val="20"/>
                <w:szCs w:val="20"/>
              </w:rPr>
              <w:t>Des politiques et/ou des mesures juridiques et administratives en matière de développement social inclusif</w:t>
            </w:r>
            <w:r w:rsidRPr="00E42343">
              <w:rPr>
                <w:rStyle w:val="FootnoteReference"/>
                <w:rFonts w:ascii="Arial" w:hAnsi="Arial"/>
                <w:sz w:val="20"/>
                <w:szCs w:val="20"/>
              </w:rPr>
              <w:footnoteReference w:id="11"/>
            </w:r>
            <w:r w:rsidRPr="00E42343">
              <w:rPr>
                <w:rFonts w:ascii="Arial" w:hAnsi="Arial"/>
                <w:sz w:val="20"/>
                <w:szCs w:val="20"/>
              </w:rPr>
              <w:t xml:space="preserve"> et de durabilité environnementale sont adoptées ou révisées pour tenir compte du PCI</w:t>
            </w:r>
            <w:r>
              <w:rPr>
                <w:rFonts w:ascii="Arial" w:hAnsi="Arial"/>
                <w:sz w:val="20"/>
                <w:szCs w:val="20"/>
              </w:rPr>
              <w:t xml:space="preserve"> et </w:t>
            </w:r>
            <w:r w:rsidRPr="00E42343">
              <w:rPr>
                <w:rFonts w:ascii="Arial" w:hAnsi="Arial"/>
                <w:sz w:val="20"/>
                <w:szCs w:val="20"/>
              </w:rPr>
              <w:t>de sa sauvegarde.</w:t>
            </w:r>
          </w:p>
        </w:tc>
        <w:tc>
          <w:tcPr>
            <w:tcW w:w="77" w:type="pct"/>
            <w:tcBorders>
              <w:top w:val="nil"/>
              <w:bottom w:val="nil"/>
            </w:tcBorders>
            <w:shd w:val="clear" w:color="auto" w:fill="auto"/>
            <w:vAlign w:val="center"/>
          </w:tcPr>
          <w:p w14:paraId="4D175309"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2D95BC3"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DO 171(d)</w:t>
            </w:r>
            <w:r>
              <w:rPr>
                <w:rFonts w:ascii="Arial" w:hAnsi="Arial" w:cs="Arial"/>
                <w:sz w:val="20"/>
                <w:szCs w:val="20"/>
                <w:lang w:val="en-GB"/>
              </w:rPr>
              <w:t xml:space="preserve">, </w:t>
            </w:r>
            <w:r w:rsidRPr="00E42343">
              <w:rPr>
                <w:rFonts w:ascii="Arial" w:hAnsi="Arial" w:cs="Arial"/>
                <w:sz w:val="20"/>
                <w:szCs w:val="20"/>
                <w:lang w:val="en-GB"/>
              </w:rPr>
              <w:t>DO 178, DO 179, DO 181, DO 182, DO 188 à 190, DO 191</w:t>
            </w:r>
          </w:p>
        </w:tc>
      </w:tr>
      <w:tr w:rsidR="00A47AF6" w:rsidRPr="00E42343" w14:paraId="75EC1203" w14:textId="77777777" w:rsidTr="00CF22C3">
        <w:trPr>
          <w:cantSplit/>
        </w:trPr>
        <w:tc>
          <w:tcPr>
            <w:tcW w:w="922" w:type="pct"/>
            <w:vMerge/>
            <w:shd w:val="clear" w:color="auto" w:fill="auto"/>
            <w:vAlign w:val="center"/>
          </w:tcPr>
          <w:p w14:paraId="5AF41274" w14:textId="77777777" w:rsidR="00A47AF6" w:rsidRPr="00345EB5" w:rsidRDefault="00A47AF6" w:rsidP="005C5ED5">
            <w:pPr>
              <w:spacing w:before="60" w:after="60"/>
              <w:rPr>
                <w:rFonts w:ascii="Arial" w:hAnsi="Arial" w:cs="Arial"/>
                <w:sz w:val="20"/>
                <w:szCs w:val="20"/>
                <w:lang w:val="en-US"/>
              </w:rPr>
            </w:pPr>
          </w:p>
        </w:tc>
        <w:tc>
          <w:tcPr>
            <w:tcW w:w="1003" w:type="pct"/>
            <w:vMerge/>
            <w:tcBorders>
              <w:bottom w:val="single" w:sz="4" w:space="0" w:color="auto"/>
            </w:tcBorders>
            <w:shd w:val="clear" w:color="auto" w:fill="auto"/>
            <w:vAlign w:val="center"/>
          </w:tcPr>
          <w:p w14:paraId="6074C29B" w14:textId="77777777" w:rsidR="00A47AF6" w:rsidRPr="00E42343" w:rsidRDefault="00A47AF6" w:rsidP="005C5ED5">
            <w:pPr>
              <w:pStyle w:val="ListParagraph"/>
              <w:spacing w:before="60" w:after="60"/>
              <w:ind w:left="0"/>
              <w:rPr>
                <w:rFonts w:ascii="Arial" w:hAnsi="Arial"/>
                <w:sz w:val="20"/>
                <w:szCs w:val="20"/>
                <w:lang w:val="en-GB"/>
              </w:rPr>
            </w:pPr>
          </w:p>
        </w:tc>
        <w:tc>
          <w:tcPr>
            <w:tcW w:w="2453" w:type="pct"/>
            <w:shd w:val="clear" w:color="auto" w:fill="auto"/>
            <w:vAlign w:val="center"/>
          </w:tcPr>
          <w:p w14:paraId="7A5AA5AC" w14:textId="77777777" w:rsidR="00A47AF6" w:rsidRPr="00E42343" w:rsidRDefault="00A47AF6" w:rsidP="00A47AF6">
            <w:pPr>
              <w:pStyle w:val="ListParagraph"/>
              <w:numPr>
                <w:ilvl w:val="1"/>
                <w:numId w:val="15"/>
              </w:numPr>
              <w:spacing w:before="60" w:after="60"/>
              <w:ind w:left="567" w:hanging="567"/>
              <w:jc w:val="left"/>
              <w:rPr>
                <w:rFonts w:ascii="Arial" w:hAnsi="Arial"/>
                <w:sz w:val="20"/>
                <w:szCs w:val="20"/>
              </w:rPr>
            </w:pPr>
            <w:r w:rsidRPr="00E42343">
              <w:rPr>
                <w:rFonts w:ascii="Arial" w:hAnsi="Arial"/>
                <w:sz w:val="20"/>
                <w:szCs w:val="20"/>
              </w:rPr>
              <w:t xml:space="preserve">Des politiques et/ou des mesures juridiques et administratives en matière de réponse aux catastrophes naturelles ou aux situations de conflit armé sont adoptées ou révisées pour inclure le </w:t>
            </w:r>
            <w:r>
              <w:rPr>
                <w:rFonts w:ascii="Arial" w:hAnsi="Arial"/>
                <w:sz w:val="20"/>
                <w:szCs w:val="20"/>
              </w:rPr>
              <w:t>PCI</w:t>
            </w:r>
            <w:r w:rsidRPr="00E42343">
              <w:rPr>
                <w:rFonts w:ascii="Arial" w:hAnsi="Arial"/>
                <w:sz w:val="20"/>
                <w:szCs w:val="20"/>
              </w:rPr>
              <w:t xml:space="preserve"> affecté par des telles situations et reconnaître son importance pour la résilience des populations touchées.</w:t>
            </w:r>
          </w:p>
        </w:tc>
        <w:tc>
          <w:tcPr>
            <w:tcW w:w="77" w:type="pct"/>
            <w:tcBorders>
              <w:top w:val="nil"/>
              <w:bottom w:val="nil"/>
            </w:tcBorders>
            <w:shd w:val="clear" w:color="auto" w:fill="auto"/>
            <w:vAlign w:val="center"/>
          </w:tcPr>
          <w:p w14:paraId="0292B0DF"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0981861" w14:textId="77777777" w:rsidR="00A47AF6" w:rsidRPr="00345EB5" w:rsidRDefault="00A47AF6" w:rsidP="005C5ED5">
            <w:pPr>
              <w:spacing w:before="60" w:after="60"/>
              <w:rPr>
                <w:rFonts w:ascii="Arial" w:hAnsi="Arial" w:cs="Arial"/>
                <w:sz w:val="20"/>
                <w:szCs w:val="20"/>
              </w:rPr>
            </w:pPr>
          </w:p>
        </w:tc>
      </w:tr>
      <w:tr w:rsidR="00A47AF6" w:rsidRPr="00E42343" w14:paraId="3065A6FE" w14:textId="77777777" w:rsidTr="00CF22C3">
        <w:trPr>
          <w:cantSplit/>
          <w:trHeight w:val="70"/>
        </w:trPr>
        <w:tc>
          <w:tcPr>
            <w:tcW w:w="922" w:type="pct"/>
            <w:vMerge/>
            <w:shd w:val="clear" w:color="auto" w:fill="auto"/>
            <w:vAlign w:val="center"/>
          </w:tcPr>
          <w:p w14:paraId="7C7BE696" w14:textId="77777777" w:rsidR="00A47AF6" w:rsidRPr="00345EB5" w:rsidRDefault="00A47AF6" w:rsidP="005C5ED5">
            <w:pPr>
              <w:spacing w:before="60" w:after="60"/>
              <w:ind w:left="360"/>
              <w:rPr>
                <w:rFonts w:ascii="Arial" w:hAnsi="Arial" w:cs="Arial"/>
                <w:sz w:val="20"/>
                <w:szCs w:val="20"/>
              </w:rPr>
            </w:pPr>
          </w:p>
        </w:tc>
        <w:tc>
          <w:tcPr>
            <w:tcW w:w="1003" w:type="pct"/>
            <w:vMerge/>
            <w:tcBorders>
              <w:bottom w:val="single" w:sz="4" w:space="0" w:color="auto"/>
            </w:tcBorders>
            <w:shd w:val="clear" w:color="auto" w:fill="auto"/>
            <w:vAlign w:val="center"/>
          </w:tcPr>
          <w:p w14:paraId="3849FF1B" w14:textId="77777777" w:rsidR="00A47AF6" w:rsidRPr="00345EB5" w:rsidRDefault="00A47AF6" w:rsidP="005C5ED5">
            <w:pPr>
              <w:pStyle w:val="ListParagraph"/>
              <w:spacing w:before="60" w:after="60"/>
              <w:ind w:left="0"/>
              <w:rPr>
                <w:rFonts w:ascii="Arial" w:hAnsi="Arial"/>
                <w:sz w:val="20"/>
                <w:szCs w:val="20"/>
              </w:rPr>
            </w:pPr>
          </w:p>
        </w:tc>
        <w:tc>
          <w:tcPr>
            <w:tcW w:w="2453" w:type="pct"/>
            <w:shd w:val="clear" w:color="auto" w:fill="auto"/>
            <w:vAlign w:val="center"/>
          </w:tcPr>
          <w:p w14:paraId="09CC76F8" w14:textId="77777777" w:rsidR="00A47AF6" w:rsidRPr="00E42343" w:rsidRDefault="00A47AF6" w:rsidP="00A47AF6">
            <w:pPr>
              <w:pStyle w:val="ListParagraph"/>
              <w:numPr>
                <w:ilvl w:val="1"/>
                <w:numId w:val="15"/>
              </w:numPr>
              <w:spacing w:before="60" w:after="60"/>
              <w:ind w:left="567" w:hanging="567"/>
              <w:jc w:val="left"/>
              <w:rPr>
                <w:rFonts w:ascii="Arial" w:hAnsi="Arial"/>
                <w:sz w:val="20"/>
                <w:szCs w:val="20"/>
              </w:rPr>
            </w:pPr>
            <w:r w:rsidRPr="00E42343">
              <w:rPr>
                <w:rFonts w:ascii="Arial" w:hAnsi="Arial"/>
                <w:sz w:val="20"/>
                <w:szCs w:val="20"/>
              </w:rPr>
              <w:t>Des politiques et/ou des mesures juridiques et administratives en matière de développement économique inclusif</w:t>
            </w:r>
            <w:r w:rsidRPr="00E42343">
              <w:rPr>
                <w:rStyle w:val="FootnoteReference"/>
                <w:rFonts w:ascii="Arial" w:hAnsi="Arial"/>
                <w:sz w:val="20"/>
                <w:szCs w:val="20"/>
              </w:rPr>
              <w:footnoteReference w:id="12"/>
            </w:r>
            <w:r w:rsidRPr="00E42343">
              <w:rPr>
                <w:rFonts w:ascii="Arial" w:hAnsi="Arial"/>
                <w:sz w:val="20"/>
                <w:szCs w:val="20"/>
              </w:rPr>
              <w:t xml:space="preserve"> sont </w:t>
            </w:r>
            <w:r w:rsidRPr="0017287E">
              <w:rPr>
                <w:rFonts w:ascii="Arial" w:hAnsi="Arial"/>
                <w:sz w:val="20"/>
                <w:szCs w:val="20"/>
              </w:rPr>
              <w:t>adoptées</w:t>
            </w:r>
            <w:r w:rsidRPr="00E42343">
              <w:rPr>
                <w:rFonts w:ascii="Arial" w:hAnsi="Arial"/>
                <w:sz w:val="20"/>
                <w:szCs w:val="20"/>
              </w:rPr>
              <w:t xml:space="preserve"> ou révisées pour tenir compte du PCI et de sa sauvegarde.</w:t>
            </w:r>
          </w:p>
        </w:tc>
        <w:tc>
          <w:tcPr>
            <w:tcW w:w="77" w:type="pct"/>
            <w:tcBorders>
              <w:top w:val="nil"/>
              <w:bottom w:val="nil"/>
            </w:tcBorders>
            <w:shd w:val="clear" w:color="auto" w:fill="auto"/>
            <w:vAlign w:val="center"/>
          </w:tcPr>
          <w:p w14:paraId="03FCB880"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13EC704"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171(d)</w:t>
            </w:r>
            <w:r>
              <w:rPr>
                <w:rFonts w:ascii="Arial" w:hAnsi="Arial" w:cs="Arial"/>
                <w:sz w:val="20"/>
                <w:szCs w:val="20"/>
              </w:rPr>
              <w:t xml:space="preserve">, </w:t>
            </w:r>
            <w:r>
              <w:rPr>
                <w:rFonts w:ascii="Arial" w:hAnsi="Arial" w:cs="Arial"/>
                <w:sz w:val="20"/>
                <w:szCs w:val="20"/>
              </w:rPr>
              <w:br/>
            </w:r>
            <w:r w:rsidRPr="00E42343">
              <w:rPr>
                <w:rFonts w:ascii="Arial" w:hAnsi="Arial" w:cs="Arial"/>
                <w:sz w:val="20"/>
                <w:szCs w:val="20"/>
              </w:rPr>
              <w:t>DO 183 à 186</w:t>
            </w:r>
          </w:p>
        </w:tc>
      </w:tr>
      <w:tr w:rsidR="00A47AF6" w:rsidRPr="00E42343" w14:paraId="1967876D" w14:textId="77777777" w:rsidTr="00CF22C3">
        <w:trPr>
          <w:cantSplit/>
          <w:trHeight w:val="393"/>
        </w:trPr>
        <w:tc>
          <w:tcPr>
            <w:tcW w:w="922" w:type="pct"/>
            <w:vMerge/>
            <w:shd w:val="clear" w:color="auto" w:fill="auto"/>
            <w:vAlign w:val="center"/>
          </w:tcPr>
          <w:p w14:paraId="46C41D23" w14:textId="77777777" w:rsidR="00A47AF6" w:rsidRPr="00E42343" w:rsidRDefault="00A47AF6" w:rsidP="005C5ED5">
            <w:pPr>
              <w:spacing w:before="60" w:after="60"/>
              <w:ind w:left="360"/>
              <w:rPr>
                <w:rFonts w:ascii="Arial" w:hAnsi="Arial" w:cs="Arial"/>
                <w:sz w:val="20"/>
                <w:szCs w:val="20"/>
              </w:rPr>
            </w:pPr>
          </w:p>
        </w:tc>
        <w:tc>
          <w:tcPr>
            <w:tcW w:w="1003" w:type="pct"/>
            <w:vMerge/>
            <w:tcBorders>
              <w:bottom w:val="single" w:sz="4" w:space="0" w:color="auto"/>
            </w:tcBorders>
            <w:shd w:val="clear" w:color="auto" w:fill="auto"/>
            <w:vAlign w:val="center"/>
          </w:tcPr>
          <w:p w14:paraId="6C9EB0C3" w14:textId="77777777" w:rsidR="00A47AF6" w:rsidRPr="00C67212" w:rsidRDefault="00A47AF6" w:rsidP="005C5ED5">
            <w:pPr>
              <w:pStyle w:val="ListParagraph"/>
              <w:spacing w:before="60" w:after="60"/>
              <w:ind w:left="0"/>
              <w:rPr>
                <w:rFonts w:ascii="Arial" w:hAnsi="Arial"/>
                <w:sz w:val="20"/>
                <w:szCs w:val="20"/>
              </w:rPr>
            </w:pPr>
          </w:p>
        </w:tc>
        <w:tc>
          <w:tcPr>
            <w:tcW w:w="2453" w:type="pct"/>
            <w:shd w:val="clear" w:color="auto" w:fill="auto"/>
            <w:vAlign w:val="center"/>
          </w:tcPr>
          <w:p w14:paraId="1EF01C02" w14:textId="77777777" w:rsidR="00A47AF6" w:rsidRPr="00E42343" w:rsidRDefault="00A47AF6" w:rsidP="00A47AF6">
            <w:pPr>
              <w:pStyle w:val="ListParagraph"/>
              <w:numPr>
                <w:ilvl w:val="1"/>
                <w:numId w:val="15"/>
              </w:numPr>
              <w:spacing w:before="60" w:after="60"/>
              <w:ind w:left="567" w:hanging="567"/>
              <w:jc w:val="left"/>
              <w:rPr>
                <w:rFonts w:ascii="Arial" w:hAnsi="Arial"/>
                <w:sz w:val="20"/>
                <w:szCs w:val="20"/>
              </w:rPr>
            </w:pPr>
            <w:r w:rsidRPr="00E42343">
              <w:rPr>
                <w:rFonts w:ascii="Arial" w:hAnsi="Arial"/>
                <w:sz w:val="20"/>
                <w:szCs w:val="20"/>
              </w:rPr>
              <w:t>Des mesures ou incitations financières ou fiscales favorables sont adoptées ou révisées pour faciliter et/ou encourager la pratique et la transmission du PCI et accroître la disponibilité des ressources naturelles et autres nécessaires à sa pratique.</w:t>
            </w:r>
          </w:p>
        </w:tc>
        <w:tc>
          <w:tcPr>
            <w:tcW w:w="77" w:type="pct"/>
            <w:tcBorders>
              <w:top w:val="nil"/>
              <w:bottom w:val="nil"/>
            </w:tcBorders>
            <w:shd w:val="clear" w:color="auto" w:fill="auto"/>
            <w:vAlign w:val="center"/>
          </w:tcPr>
          <w:p w14:paraId="7C6F333E"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10DCC68"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78</w:t>
            </w:r>
            <w:r>
              <w:rPr>
                <w:rFonts w:ascii="Arial" w:hAnsi="Arial" w:cs="Arial"/>
                <w:sz w:val="20"/>
                <w:szCs w:val="20"/>
              </w:rPr>
              <w:t xml:space="preserve">, </w:t>
            </w:r>
            <w:r>
              <w:rPr>
                <w:rFonts w:ascii="Arial" w:hAnsi="Arial" w:cs="Arial"/>
                <w:sz w:val="20"/>
                <w:szCs w:val="20"/>
              </w:rPr>
              <w:br/>
            </w:r>
            <w:r w:rsidRPr="00E42343">
              <w:rPr>
                <w:rFonts w:ascii="Arial" w:hAnsi="Arial" w:cs="Arial"/>
                <w:sz w:val="20"/>
                <w:szCs w:val="20"/>
              </w:rPr>
              <w:t>DO 186(b)</w:t>
            </w:r>
          </w:p>
        </w:tc>
      </w:tr>
      <w:tr w:rsidR="00A47AF6" w:rsidRPr="00E42343" w14:paraId="1971D220" w14:textId="77777777" w:rsidTr="005B64FB">
        <w:trPr>
          <w:cantSplit/>
        </w:trPr>
        <w:tc>
          <w:tcPr>
            <w:tcW w:w="922" w:type="pct"/>
            <w:vMerge/>
            <w:shd w:val="clear" w:color="auto" w:fill="auto"/>
            <w:vAlign w:val="center"/>
          </w:tcPr>
          <w:p w14:paraId="33C32BAD" w14:textId="77777777" w:rsidR="00A47AF6" w:rsidRPr="00E42343" w:rsidRDefault="00A47AF6" w:rsidP="005C5ED5">
            <w:pPr>
              <w:spacing w:before="60" w:after="60"/>
              <w:rPr>
                <w:rFonts w:ascii="Arial" w:hAnsi="Arial" w:cs="Arial"/>
                <w:sz w:val="20"/>
                <w:szCs w:val="20"/>
              </w:rPr>
            </w:pPr>
          </w:p>
        </w:tc>
        <w:tc>
          <w:tcPr>
            <w:tcW w:w="1003" w:type="pct"/>
            <w:vMerge w:val="restart"/>
            <w:tcBorders>
              <w:top w:val="single" w:sz="4" w:space="0" w:color="auto"/>
            </w:tcBorders>
            <w:shd w:val="clear" w:color="auto" w:fill="auto"/>
            <w:vAlign w:val="center"/>
          </w:tcPr>
          <w:p w14:paraId="616F65D6"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 xml:space="preserve">Mesure dans laquelle les politiques </w:t>
            </w:r>
            <w:r>
              <w:rPr>
                <w:rFonts w:ascii="Arial" w:hAnsi="Arial"/>
                <w:sz w:val="20"/>
                <w:szCs w:val="20"/>
              </w:rPr>
              <w:t>ainsi que</w:t>
            </w:r>
            <w:r w:rsidRPr="00E42343">
              <w:rPr>
                <w:rFonts w:ascii="Arial" w:hAnsi="Arial"/>
                <w:sz w:val="20"/>
                <w:szCs w:val="20"/>
              </w:rPr>
              <w:t xml:space="preserve"> les mesures juridiques et administratives respectent les droits, pratiques et expressions coutumiers, en particulier en ce qui concerne la pratique et la transmission du PCI.</w:t>
            </w:r>
          </w:p>
        </w:tc>
        <w:tc>
          <w:tcPr>
            <w:tcW w:w="2453" w:type="pct"/>
            <w:shd w:val="clear" w:color="auto" w:fill="auto"/>
            <w:vAlign w:val="center"/>
          </w:tcPr>
          <w:p w14:paraId="09A2A25B" w14:textId="77777777" w:rsidR="00A47AF6" w:rsidRPr="00E42343" w:rsidRDefault="00A47AF6" w:rsidP="00A47AF6">
            <w:pPr>
              <w:pStyle w:val="ListParagraph"/>
              <w:numPr>
                <w:ilvl w:val="1"/>
                <w:numId w:val="27"/>
              </w:numPr>
              <w:spacing w:before="60" w:after="60"/>
              <w:ind w:left="567" w:hanging="567"/>
              <w:jc w:val="left"/>
              <w:rPr>
                <w:rFonts w:ascii="Arial" w:hAnsi="Arial"/>
                <w:vanish/>
                <w:sz w:val="20"/>
                <w:szCs w:val="20"/>
              </w:rPr>
            </w:pPr>
            <w:r w:rsidRPr="00E42343">
              <w:rPr>
                <w:rFonts w:ascii="Arial" w:hAnsi="Arial"/>
                <w:sz w:val="20"/>
                <w:szCs w:val="20"/>
              </w:rPr>
              <w:t>Des formes de protection juridique, telles que les droits de propriété intellectuelle et du droit au respect de la vie privée, sont reconnus aux détenteurs et praticiens du PCI et leurs communautés, lorsque leur PCI est exploité par des tierces parties à des fins commerciales ou autres.</w:t>
            </w:r>
          </w:p>
        </w:tc>
        <w:tc>
          <w:tcPr>
            <w:tcW w:w="77" w:type="pct"/>
            <w:tcBorders>
              <w:top w:val="nil"/>
              <w:bottom w:val="nil"/>
            </w:tcBorders>
            <w:shd w:val="clear" w:color="auto" w:fill="auto"/>
            <w:vAlign w:val="center"/>
          </w:tcPr>
          <w:p w14:paraId="3F3B27D8"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B745871"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104</w:t>
            </w:r>
            <w:r>
              <w:rPr>
                <w:rFonts w:ascii="Arial" w:hAnsi="Arial" w:cs="Arial"/>
                <w:sz w:val="20"/>
                <w:szCs w:val="20"/>
              </w:rPr>
              <w:t xml:space="preserve">, </w:t>
            </w:r>
            <w:r w:rsidRPr="00E42343">
              <w:rPr>
                <w:rFonts w:ascii="Arial" w:hAnsi="Arial" w:cs="Arial"/>
                <w:sz w:val="20"/>
                <w:szCs w:val="20"/>
              </w:rPr>
              <w:t>DO 173</w:t>
            </w:r>
          </w:p>
        </w:tc>
      </w:tr>
      <w:tr w:rsidR="00A47AF6" w:rsidRPr="00E42343" w14:paraId="0FC0C20A" w14:textId="77777777" w:rsidTr="005B64FB">
        <w:trPr>
          <w:cantSplit/>
        </w:trPr>
        <w:tc>
          <w:tcPr>
            <w:tcW w:w="922" w:type="pct"/>
            <w:vMerge/>
            <w:shd w:val="clear" w:color="auto" w:fill="auto"/>
            <w:vAlign w:val="center"/>
          </w:tcPr>
          <w:p w14:paraId="3E96DEC1" w14:textId="77777777" w:rsidR="00A47AF6" w:rsidRPr="00E42343" w:rsidRDefault="00A47AF6" w:rsidP="005C5ED5">
            <w:pPr>
              <w:spacing w:before="60" w:after="60"/>
              <w:ind w:left="360"/>
              <w:rPr>
                <w:rFonts w:ascii="Arial" w:hAnsi="Arial" w:cs="Arial"/>
                <w:sz w:val="20"/>
                <w:szCs w:val="20"/>
              </w:rPr>
            </w:pPr>
          </w:p>
        </w:tc>
        <w:tc>
          <w:tcPr>
            <w:tcW w:w="1003" w:type="pct"/>
            <w:vMerge/>
            <w:shd w:val="clear" w:color="auto" w:fill="auto"/>
            <w:vAlign w:val="center"/>
          </w:tcPr>
          <w:p w14:paraId="3CEC76BE"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56942EB0" w14:textId="04689E4B" w:rsidR="00A47AF6" w:rsidRPr="00E42343" w:rsidRDefault="00A47AF6" w:rsidP="00A47AF6">
            <w:pPr>
              <w:pStyle w:val="ListParagraph"/>
              <w:numPr>
                <w:ilvl w:val="1"/>
                <w:numId w:val="27"/>
              </w:numPr>
              <w:spacing w:before="60" w:after="60"/>
              <w:ind w:left="567" w:hanging="567"/>
              <w:jc w:val="left"/>
              <w:rPr>
                <w:rFonts w:ascii="Arial" w:hAnsi="Arial"/>
                <w:sz w:val="20"/>
                <w:szCs w:val="20"/>
              </w:rPr>
            </w:pPr>
            <w:r w:rsidRPr="00E42343">
              <w:rPr>
                <w:rFonts w:ascii="Arial" w:hAnsi="Arial"/>
                <w:sz w:val="20"/>
                <w:szCs w:val="20"/>
              </w:rPr>
              <w:t>L</w:t>
            </w:r>
            <w:r w:rsidR="005B64FB">
              <w:rPr>
                <w:rFonts w:ascii="Arial" w:hAnsi="Arial"/>
                <w:sz w:val="20"/>
                <w:szCs w:val="20"/>
              </w:rPr>
              <w:t>’</w:t>
            </w:r>
            <w:r w:rsidRPr="00E42343">
              <w:rPr>
                <w:rFonts w:ascii="Arial" w:hAnsi="Arial"/>
                <w:sz w:val="20"/>
                <w:szCs w:val="20"/>
              </w:rPr>
              <w:t>importance des droits coutumiers des communautés et des groupes sur les écosystèmes terrestres, maritimes et forestiers nécessaires à la pratique et la transmission du PCI est reconnue dans les politiques et/ou</w:t>
            </w:r>
            <w:r>
              <w:rPr>
                <w:rFonts w:ascii="Arial" w:hAnsi="Arial"/>
                <w:sz w:val="20"/>
                <w:szCs w:val="20"/>
              </w:rPr>
              <w:t xml:space="preserve"> les </w:t>
            </w:r>
            <w:r w:rsidRPr="00E42343">
              <w:rPr>
                <w:rFonts w:ascii="Arial" w:hAnsi="Arial"/>
                <w:sz w:val="20"/>
                <w:szCs w:val="20"/>
              </w:rPr>
              <w:t>mesures juridiques et administratives.</w:t>
            </w:r>
          </w:p>
        </w:tc>
        <w:tc>
          <w:tcPr>
            <w:tcW w:w="77" w:type="pct"/>
            <w:tcBorders>
              <w:top w:val="nil"/>
              <w:bottom w:val="nil"/>
            </w:tcBorders>
            <w:shd w:val="clear" w:color="auto" w:fill="auto"/>
            <w:vAlign w:val="center"/>
          </w:tcPr>
          <w:p w14:paraId="0DD003B6"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002B1491"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178(c)</w:t>
            </w:r>
          </w:p>
        </w:tc>
      </w:tr>
      <w:tr w:rsidR="00A47AF6" w:rsidRPr="00E42343" w14:paraId="1BE90DBF" w14:textId="77777777" w:rsidTr="005B64FB">
        <w:trPr>
          <w:cantSplit/>
        </w:trPr>
        <w:tc>
          <w:tcPr>
            <w:tcW w:w="922" w:type="pct"/>
            <w:vMerge/>
            <w:shd w:val="clear" w:color="auto" w:fill="auto"/>
            <w:vAlign w:val="center"/>
          </w:tcPr>
          <w:p w14:paraId="70E0B86C" w14:textId="77777777" w:rsidR="00A47AF6" w:rsidRPr="00E42343" w:rsidRDefault="00A47AF6" w:rsidP="005C5ED5">
            <w:pPr>
              <w:spacing w:before="60" w:after="60"/>
              <w:ind w:left="360"/>
              <w:rPr>
                <w:rFonts w:ascii="Arial" w:hAnsi="Arial" w:cs="Arial"/>
                <w:sz w:val="20"/>
                <w:szCs w:val="20"/>
              </w:rPr>
            </w:pPr>
          </w:p>
        </w:tc>
        <w:tc>
          <w:tcPr>
            <w:tcW w:w="1003" w:type="pct"/>
            <w:vMerge/>
            <w:shd w:val="clear" w:color="auto" w:fill="auto"/>
            <w:vAlign w:val="center"/>
          </w:tcPr>
          <w:p w14:paraId="780FF7AE"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179DC892" w14:textId="77777777" w:rsidR="00A47AF6" w:rsidRPr="00E42343" w:rsidRDefault="00A47AF6" w:rsidP="00A47AF6">
            <w:pPr>
              <w:pStyle w:val="ListParagraph"/>
              <w:numPr>
                <w:ilvl w:val="1"/>
                <w:numId w:val="27"/>
              </w:numPr>
              <w:spacing w:before="60" w:after="60"/>
              <w:ind w:left="567" w:hanging="567"/>
              <w:jc w:val="left"/>
              <w:rPr>
                <w:rFonts w:ascii="Arial" w:hAnsi="Arial"/>
                <w:sz w:val="20"/>
                <w:szCs w:val="20"/>
              </w:rPr>
            </w:pPr>
            <w:r w:rsidRPr="00E42343">
              <w:rPr>
                <w:rFonts w:ascii="Arial" w:hAnsi="Arial"/>
                <w:sz w:val="20"/>
                <w:szCs w:val="20"/>
              </w:rPr>
              <w:t xml:space="preserve">Les politiques et/ou </w:t>
            </w:r>
            <w:r>
              <w:rPr>
                <w:rFonts w:ascii="Arial" w:hAnsi="Arial"/>
                <w:sz w:val="20"/>
                <w:szCs w:val="20"/>
              </w:rPr>
              <w:t xml:space="preserve">les </w:t>
            </w:r>
            <w:r w:rsidRPr="00E42343">
              <w:rPr>
                <w:rFonts w:ascii="Arial" w:hAnsi="Arial"/>
                <w:sz w:val="20"/>
                <w:szCs w:val="20"/>
              </w:rPr>
              <w:t>mesures juridiques et administratives</w:t>
            </w:r>
            <w:r>
              <w:rPr>
                <w:rFonts w:ascii="Arial" w:hAnsi="Arial"/>
                <w:sz w:val="20"/>
                <w:szCs w:val="20"/>
              </w:rPr>
              <w:t xml:space="preserve"> </w:t>
            </w:r>
            <w:r w:rsidRPr="00E42343">
              <w:rPr>
                <w:rFonts w:ascii="Arial" w:hAnsi="Arial"/>
                <w:sz w:val="20"/>
                <w:szCs w:val="20"/>
              </w:rPr>
              <w:t>reconnaissent les expressions, les pratiques et les représentations du PCI qui contribuent à la prévention des différends et à la résolution pacifique des conflits.</w:t>
            </w:r>
          </w:p>
        </w:tc>
        <w:tc>
          <w:tcPr>
            <w:tcW w:w="77" w:type="pct"/>
            <w:tcBorders>
              <w:top w:val="nil"/>
              <w:bottom w:val="nil"/>
            </w:tcBorders>
            <w:shd w:val="clear" w:color="auto" w:fill="auto"/>
            <w:vAlign w:val="center"/>
          </w:tcPr>
          <w:p w14:paraId="1B245458"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BC47C7F"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194, DO 195</w:t>
            </w:r>
          </w:p>
        </w:tc>
      </w:tr>
      <w:tr w:rsidR="00A47AF6" w:rsidRPr="00E42343" w14:paraId="5C2DA726" w14:textId="77777777" w:rsidTr="005B64FB">
        <w:trPr>
          <w:cantSplit/>
        </w:trPr>
        <w:tc>
          <w:tcPr>
            <w:tcW w:w="922" w:type="pct"/>
            <w:vMerge w:val="restart"/>
            <w:shd w:val="clear" w:color="auto" w:fill="auto"/>
            <w:vAlign w:val="center"/>
          </w:tcPr>
          <w:p w14:paraId="56C12AA8" w14:textId="77777777" w:rsidR="00A47AF6" w:rsidRPr="00E42343" w:rsidRDefault="00A47AF6" w:rsidP="005C5ED5">
            <w:pPr>
              <w:spacing w:before="60" w:after="60"/>
              <w:rPr>
                <w:rFonts w:ascii="Arial" w:hAnsi="Arial" w:cs="Arial"/>
                <w:sz w:val="20"/>
                <w:szCs w:val="20"/>
              </w:rPr>
            </w:pPr>
            <w:r w:rsidRPr="00E42343">
              <w:rPr>
                <w:rFonts w:ascii="Arial" w:hAnsi="Arial" w:cs="Arial"/>
                <w:b/>
                <w:sz w:val="20"/>
                <w:szCs w:val="20"/>
              </w:rPr>
              <w:t xml:space="preserve">Rôle du </w:t>
            </w:r>
            <w:r>
              <w:rPr>
                <w:rFonts w:ascii="Arial" w:hAnsi="Arial" w:cs="Arial"/>
                <w:b/>
                <w:sz w:val="20"/>
                <w:szCs w:val="20"/>
              </w:rPr>
              <w:t>patrimoine culturel immatériel</w:t>
            </w:r>
            <w:r w:rsidRPr="00E42343">
              <w:rPr>
                <w:rFonts w:ascii="Arial" w:hAnsi="Arial" w:cs="Arial"/>
                <w:b/>
                <w:sz w:val="20"/>
                <w:szCs w:val="20"/>
              </w:rPr>
              <w:t xml:space="preserve"> et de sa sauvegarde dans la société</w:t>
            </w:r>
          </w:p>
        </w:tc>
        <w:tc>
          <w:tcPr>
            <w:tcW w:w="1003" w:type="pct"/>
            <w:vMerge w:val="restart"/>
            <w:shd w:val="clear" w:color="auto" w:fill="auto"/>
            <w:vAlign w:val="center"/>
          </w:tcPr>
          <w:p w14:paraId="4B8E59CE" w14:textId="1281A8B2"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Mesure dans laquelle l</w:t>
            </w:r>
            <w:r w:rsidR="005B64FB">
              <w:rPr>
                <w:rFonts w:ascii="Arial" w:hAnsi="Arial"/>
                <w:sz w:val="20"/>
                <w:szCs w:val="20"/>
              </w:rPr>
              <w:t>’</w:t>
            </w:r>
            <w:r w:rsidRPr="00E42343">
              <w:rPr>
                <w:rFonts w:ascii="Arial" w:hAnsi="Arial"/>
                <w:sz w:val="20"/>
                <w:szCs w:val="20"/>
              </w:rPr>
              <w:t>importance du PCI et sa sauvegarde dans la société est reconnue, tant par les communautés, les groupes et les individus concernés</w:t>
            </w:r>
            <w:r>
              <w:rPr>
                <w:rFonts w:ascii="Arial" w:hAnsi="Arial"/>
                <w:sz w:val="20"/>
                <w:szCs w:val="20"/>
              </w:rPr>
              <w:t>,</w:t>
            </w:r>
            <w:r w:rsidRPr="00E42343">
              <w:rPr>
                <w:rFonts w:ascii="Arial" w:hAnsi="Arial"/>
                <w:sz w:val="20"/>
                <w:szCs w:val="20"/>
              </w:rPr>
              <w:t xml:space="preserve"> que par la société en général</w:t>
            </w:r>
          </w:p>
        </w:tc>
        <w:tc>
          <w:tcPr>
            <w:tcW w:w="2453" w:type="pct"/>
            <w:shd w:val="clear" w:color="auto" w:fill="auto"/>
            <w:vAlign w:val="center"/>
          </w:tcPr>
          <w:p w14:paraId="2F180775" w14:textId="77777777" w:rsidR="00A47AF6" w:rsidRPr="00E42343" w:rsidRDefault="00A47AF6" w:rsidP="00A47AF6">
            <w:pPr>
              <w:pStyle w:val="ListParagraph"/>
              <w:numPr>
                <w:ilvl w:val="1"/>
                <w:numId w:val="28"/>
              </w:numPr>
              <w:spacing w:before="60" w:after="60"/>
              <w:ind w:left="567" w:hanging="567"/>
              <w:jc w:val="left"/>
              <w:rPr>
                <w:rFonts w:ascii="Arial" w:hAnsi="Arial"/>
                <w:vanish/>
                <w:sz w:val="20"/>
                <w:szCs w:val="20"/>
              </w:rPr>
            </w:pPr>
            <w:r w:rsidRPr="00E42343">
              <w:rPr>
                <w:rFonts w:ascii="Arial" w:hAnsi="Arial"/>
                <w:sz w:val="20"/>
                <w:szCs w:val="20"/>
              </w:rPr>
              <w:t>Les communautés, les groupes et les individus utilisent leur PCI pour leur bien-être, y compris dans le contexte de programmes de développement durable.</w:t>
            </w:r>
          </w:p>
        </w:tc>
        <w:tc>
          <w:tcPr>
            <w:tcW w:w="77" w:type="pct"/>
            <w:tcBorders>
              <w:top w:val="nil"/>
              <w:bottom w:val="nil"/>
            </w:tcBorders>
            <w:shd w:val="clear" w:color="auto" w:fill="auto"/>
            <w:vAlign w:val="center"/>
          </w:tcPr>
          <w:p w14:paraId="47E2E241"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660EADC7" w14:textId="77777777" w:rsidR="00A47AF6" w:rsidRPr="00E42343" w:rsidRDefault="00A47AF6" w:rsidP="005C5ED5">
            <w:pPr>
              <w:spacing w:before="60" w:after="60"/>
              <w:rPr>
                <w:rFonts w:ascii="Arial" w:hAnsi="Arial" w:cs="Arial"/>
                <w:sz w:val="20"/>
                <w:szCs w:val="20"/>
              </w:rPr>
            </w:pPr>
          </w:p>
        </w:tc>
      </w:tr>
      <w:tr w:rsidR="00A47AF6" w:rsidRPr="00E42343" w14:paraId="31E76EB1" w14:textId="77777777" w:rsidTr="005B64FB">
        <w:trPr>
          <w:cantSplit/>
        </w:trPr>
        <w:tc>
          <w:tcPr>
            <w:tcW w:w="922" w:type="pct"/>
            <w:vMerge/>
            <w:shd w:val="clear" w:color="auto" w:fill="auto"/>
            <w:vAlign w:val="center"/>
          </w:tcPr>
          <w:p w14:paraId="5E72404F"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6019F8EE" w14:textId="77777777" w:rsidR="00A47AF6" w:rsidRPr="00E42343" w:rsidRDefault="00A47AF6" w:rsidP="005C5ED5">
            <w:pPr>
              <w:pStyle w:val="ListParagraph"/>
              <w:spacing w:before="60" w:after="60"/>
              <w:ind w:left="370"/>
              <w:rPr>
                <w:rFonts w:ascii="Arial" w:hAnsi="Arial"/>
                <w:sz w:val="20"/>
                <w:szCs w:val="20"/>
              </w:rPr>
            </w:pPr>
          </w:p>
        </w:tc>
        <w:tc>
          <w:tcPr>
            <w:tcW w:w="2453" w:type="pct"/>
            <w:shd w:val="clear" w:color="auto" w:fill="auto"/>
            <w:vAlign w:val="center"/>
          </w:tcPr>
          <w:p w14:paraId="5F6FA152" w14:textId="77777777" w:rsidR="00A47AF6" w:rsidRPr="00E42343" w:rsidRDefault="00A47AF6" w:rsidP="00A47AF6">
            <w:pPr>
              <w:pStyle w:val="ListParagraph"/>
              <w:numPr>
                <w:ilvl w:val="1"/>
                <w:numId w:val="28"/>
              </w:numPr>
              <w:spacing w:before="60" w:after="60"/>
              <w:ind w:left="567" w:hanging="567"/>
              <w:jc w:val="left"/>
              <w:rPr>
                <w:rFonts w:ascii="Arial" w:hAnsi="Arial"/>
                <w:sz w:val="20"/>
                <w:szCs w:val="20"/>
              </w:rPr>
            </w:pPr>
            <w:r w:rsidRPr="00E42343">
              <w:rPr>
                <w:rFonts w:ascii="Arial" w:hAnsi="Arial"/>
                <w:sz w:val="20"/>
                <w:szCs w:val="20"/>
              </w:rPr>
              <w:t>Les communautés, les groupes et les individus utilisent leur PCI pour le dialogue en vue de promouvoir le respect mutuel, la résolution des conflits et la consolidation de la paix.</w:t>
            </w:r>
            <w:r>
              <w:rPr>
                <w:rFonts w:ascii="Arial" w:hAnsi="Arial"/>
                <w:sz w:val="20"/>
                <w:szCs w:val="20"/>
              </w:rPr>
              <w:t xml:space="preserve"> </w:t>
            </w:r>
          </w:p>
        </w:tc>
        <w:tc>
          <w:tcPr>
            <w:tcW w:w="77" w:type="pct"/>
            <w:tcBorders>
              <w:top w:val="nil"/>
              <w:bottom w:val="nil"/>
            </w:tcBorders>
            <w:shd w:val="clear" w:color="auto" w:fill="auto"/>
            <w:vAlign w:val="center"/>
          </w:tcPr>
          <w:p w14:paraId="588C9EFA"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25BBD502" w14:textId="77777777" w:rsidR="00A47AF6" w:rsidRPr="00E42343" w:rsidRDefault="00A47AF6" w:rsidP="005C5ED5">
            <w:pPr>
              <w:spacing w:before="60" w:after="60"/>
              <w:rPr>
                <w:rFonts w:ascii="Arial" w:hAnsi="Arial" w:cs="Arial"/>
                <w:sz w:val="20"/>
                <w:szCs w:val="20"/>
              </w:rPr>
            </w:pPr>
          </w:p>
        </w:tc>
      </w:tr>
      <w:tr w:rsidR="00A47AF6" w:rsidRPr="00E42343" w14:paraId="0503C200" w14:textId="77777777" w:rsidTr="005B64FB">
        <w:trPr>
          <w:cantSplit/>
          <w:trHeight w:val="1000"/>
        </w:trPr>
        <w:tc>
          <w:tcPr>
            <w:tcW w:w="922" w:type="pct"/>
            <w:vMerge/>
            <w:shd w:val="clear" w:color="auto" w:fill="auto"/>
            <w:vAlign w:val="center"/>
          </w:tcPr>
          <w:p w14:paraId="168E4249"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6A91B705" w14:textId="77777777" w:rsidR="00A47AF6" w:rsidRPr="00E42343" w:rsidRDefault="00A47AF6" w:rsidP="005C5ED5">
            <w:pPr>
              <w:pStyle w:val="ListParagraph"/>
              <w:spacing w:before="60" w:after="60"/>
              <w:ind w:left="370"/>
              <w:rPr>
                <w:rFonts w:ascii="Arial" w:hAnsi="Arial"/>
                <w:sz w:val="20"/>
                <w:szCs w:val="20"/>
              </w:rPr>
            </w:pPr>
          </w:p>
        </w:tc>
        <w:tc>
          <w:tcPr>
            <w:tcW w:w="2453" w:type="pct"/>
            <w:shd w:val="clear" w:color="auto" w:fill="auto"/>
            <w:vAlign w:val="center"/>
          </w:tcPr>
          <w:p w14:paraId="7327261C" w14:textId="105ECF5E" w:rsidR="00A47AF6" w:rsidRPr="00E42343" w:rsidRDefault="00A47AF6" w:rsidP="00A47AF6">
            <w:pPr>
              <w:pStyle w:val="ListParagraph"/>
              <w:numPr>
                <w:ilvl w:val="1"/>
                <w:numId w:val="28"/>
              </w:numPr>
              <w:spacing w:before="60" w:after="60"/>
              <w:ind w:left="567" w:hanging="567"/>
              <w:jc w:val="left"/>
              <w:rPr>
                <w:rFonts w:ascii="Arial" w:hAnsi="Arial"/>
                <w:sz w:val="20"/>
                <w:szCs w:val="20"/>
              </w:rPr>
            </w:pPr>
            <w:r w:rsidRPr="00E42343">
              <w:rPr>
                <w:rFonts w:ascii="Arial" w:hAnsi="Arial"/>
                <w:sz w:val="20"/>
                <w:szCs w:val="20"/>
              </w:rPr>
              <w:t>Les interventions de développement reconnaissent l</w:t>
            </w:r>
            <w:r w:rsidR="005B64FB">
              <w:rPr>
                <w:rFonts w:ascii="Arial" w:hAnsi="Arial"/>
                <w:sz w:val="20"/>
                <w:szCs w:val="20"/>
              </w:rPr>
              <w:t>’</w:t>
            </w:r>
            <w:r w:rsidRPr="00E42343">
              <w:rPr>
                <w:rFonts w:ascii="Arial" w:hAnsi="Arial"/>
                <w:sz w:val="20"/>
                <w:szCs w:val="20"/>
              </w:rPr>
              <w:t>importance du PCI dans la société en tant que source d</w:t>
            </w:r>
            <w:r w:rsidR="005B64FB">
              <w:rPr>
                <w:rFonts w:ascii="Arial" w:hAnsi="Arial"/>
                <w:sz w:val="20"/>
                <w:szCs w:val="20"/>
              </w:rPr>
              <w:t>’</w:t>
            </w:r>
            <w:r w:rsidRPr="00E42343">
              <w:rPr>
                <w:rFonts w:ascii="Arial" w:hAnsi="Arial"/>
                <w:sz w:val="20"/>
                <w:szCs w:val="20"/>
              </w:rPr>
              <w:t>identité et de continuité</w:t>
            </w:r>
            <w:r>
              <w:rPr>
                <w:rFonts w:ascii="Arial" w:hAnsi="Arial"/>
                <w:sz w:val="20"/>
                <w:szCs w:val="20"/>
              </w:rPr>
              <w:t xml:space="preserve"> ainsi que de connaissances et de savoir-faire, </w:t>
            </w:r>
            <w:r w:rsidRPr="00E42343">
              <w:rPr>
                <w:rFonts w:ascii="Arial" w:hAnsi="Arial"/>
                <w:sz w:val="20"/>
                <w:szCs w:val="20"/>
              </w:rPr>
              <w:t>et renforcent</w:t>
            </w:r>
            <w:r>
              <w:rPr>
                <w:rFonts w:ascii="Arial" w:hAnsi="Arial"/>
                <w:sz w:val="20"/>
                <w:szCs w:val="20"/>
              </w:rPr>
              <w:t xml:space="preserve"> son rôle en tant que ressource </w:t>
            </w:r>
            <w:r w:rsidRPr="00E42343">
              <w:rPr>
                <w:rFonts w:ascii="Arial" w:hAnsi="Arial"/>
                <w:sz w:val="20"/>
                <w:szCs w:val="20"/>
              </w:rPr>
              <w:t>pour permettre le développement durable.</w:t>
            </w:r>
          </w:p>
        </w:tc>
        <w:tc>
          <w:tcPr>
            <w:tcW w:w="77" w:type="pct"/>
            <w:tcBorders>
              <w:top w:val="nil"/>
              <w:bottom w:val="nil"/>
            </w:tcBorders>
            <w:shd w:val="clear" w:color="auto" w:fill="auto"/>
            <w:vAlign w:val="center"/>
          </w:tcPr>
          <w:p w14:paraId="3FEE0492"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29322D62"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170</w:t>
            </w:r>
            <w:r>
              <w:rPr>
                <w:rFonts w:ascii="Arial" w:hAnsi="Arial" w:cs="Arial"/>
                <w:sz w:val="20"/>
                <w:szCs w:val="20"/>
              </w:rPr>
              <w:t xml:space="preserve">, </w:t>
            </w:r>
            <w:r w:rsidRPr="00E42343">
              <w:rPr>
                <w:rFonts w:ascii="Arial" w:hAnsi="Arial" w:cs="Arial"/>
                <w:sz w:val="20"/>
                <w:szCs w:val="20"/>
              </w:rPr>
              <w:t>DO 173</w:t>
            </w:r>
          </w:p>
        </w:tc>
      </w:tr>
      <w:tr w:rsidR="00A47AF6" w:rsidRPr="00357839" w14:paraId="55F13176" w14:textId="77777777" w:rsidTr="005B64FB">
        <w:trPr>
          <w:cantSplit/>
        </w:trPr>
        <w:tc>
          <w:tcPr>
            <w:tcW w:w="922" w:type="pct"/>
            <w:vMerge/>
            <w:shd w:val="clear" w:color="auto" w:fill="auto"/>
            <w:vAlign w:val="center"/>
          </w:tcPr>
          <w:p w14:paraId="7C3632B8" w14:textId="77777777" w:rsidR="00A47AF6" w:rsidRPr="00E42343" w:rsidRDefault="00A47AF6" w:rsidP="005C5ED5">
            <w:pPr>
              <w:spacing w:before="60" w:after="60"/>
              <w:rPr>
                <w:rFonts w:ascii="Arial" w:hAnsi="Arial" w:cs="Arial"/>
                <w:b/>
                <w:sz w:val="20"/>
                <w:szCs w:val="20"/>
              </w:rPr>
            </w:pPr>
          </w:p>
        </w:tc>
        <w:tc>
          <w:tcPr>
            <w:tcW w:w="1003" w:type="pct"/>
            <w:vMerge w:val="restart"/>
            <w:shd w:val="clear" w:color="auto" w:fill="auto"/>
            <w:vAlign w:val="center"/>
          </w:tcPr>
          <w:p w14:paraId="4644A9F0" w14:textId="3A01A064"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Mesure dans laquelle l</w:t>
            </w:r>
            <w:r w:rsidR="005B64FB">
              <w:rPr>
                <w:rFonts w:ascii="Arial" w:hAnsi="Arial"/>
                <w:sz w:val="20"/>
                <w:szCs w:val="20"/>
              </w:rPr>
              <w:t>’</w:t>
            </w:r>
            <w:r w:rsidRPr="00E42343">
              <w:rPr>
                <w:rFonts w:ascii="Arial" w:hAnsi="Arial"/>
                <w:sz w:val="20"/>
                <w:szCs w:val="20"/>
              </w:rPr>
              <w:t>importance de la sauvegarde du PCI est reconnue à travers des plans et des programmes inclusifs qui favorisent le respect de soi et le respect mutuel</w:t>
            </w:r>
          </w:p>
        </w:tc>
        <w:tc>
          <w:tcPr>
            <w:tcW w:w="2453" w:type="pct"/>
            <w:shd w:val="clear" w:color="auto" w:fill="auto"/>
            <w:vAlign w:val="center"/>
          </w:tcPr>
          <w:p w14:paraId="53384802" w14:textId="31BCDF6D" w:rsidR="00A47AF6" w:rsidRPr="00E42343" w:rsidRDefault="00A47AF6" w:rsidP="00A47AF6">
            <w:pPr>
              <w:pStyle w:val="ListParagraph"/>
              <w:numPr>
                <w:ilvl w:val="1"/>
                <w:numId w:val="29"/>
              </w:numPr>
              <w:spacing w:before="60" w:after="60"/>
              <w:ind w:left="567" w:hanging="567"/>
              <w:jc w:val="left"/>
              <w:rPr>
                <w:rFonts w:ascii="Arial" w:hAnsi="Arial"/>
                <w:vanish/>
                <w:sz w:val="20"/>
                <w:szCs w:val="20"/>
              </w:rPr>
            </w:pPr>
            <w:r w:rsidRPr="00E42343">
              <w:rPr>
                <w:rFonts w:ascii="Arial" w:hAnsi="Arial"/>
                <w:sz w:val="20"/>
                <w:szCs w:val="20"/>
              </w:rPr>
              <w:t>Les plans et les programmes de sauvegarde du PCI intègrent tous les secteurs et couches de la société, y compris, sans toutefois s</w:t>
            </w:r>
            <w:r w:rsidR="005B64FB">
              <w:rPr>
                <w:rFonts w:ascii="Arial" w:hAnsi="Arial"/>
                <w:sz w:val="20"/>
                <w:szCs w:val="20"/>
              </w:rPr>
              <w:t>’</w:t>
            </w:r>
            <w:r w:rsidRPr="00E42343">
              <w:rPr>
                <w:rFonts w:ascii="Arial" w:hAnsi="Arial"/>
                <w:sz w:val="20"/>
                <w:szCs w:val="20"/>
              </w:rPr>
              <w:t>y limiter :</w:t>
            </w:r>
          </w:p>
          <w:p w14:paraId="312F5D2E" w14:textId="77777777" w:rsidR="00A47AF6" w:rsidRPr="00E42343" w:rsidRDefault="00A47AF6" w:rsidP="00A47AF6">
            <w:pPr>
              <w:pStyle w:val="ListParagraph"/>
              <w:numPr>
                <w:ilvl w:val="0"/>
                <w:numId w:val="11"/>
              </w:numPr>
              <w:spacing w:before="60" w:after="60"/>
              <w:ind w:left="971" w:hanging="283"/>
              <w:jc w:val="left"/>
              <w:rPr>
                <w:rFonts w:ascii="Arial" w:hAnsi="Arial"/>
                <w:sz w:val="20"/>
                <w:szCs w:val="20"/>
              </w:rPr>
            </w:pPr>
            <w:proofErr w:type="gramStart"/>
            <w:r w:rsidRPr="00E42343">
              <w:rPr>
                <w:rFonts w:ascii="Arial" w:hAnsi="Arial"/>
                <w:sz w:val="20"/>
                <w:szCs w:val="20"/>
              </w:rPr>
              <w:t>les</w:t>
            </w:r>
            <w:proofErr w:type="gramEnd"/>
            <w:r w:rsidRPr="00E42343">
              <w:rPr>
                <w:rFonts w:ascii="Arial" w:hAnsi="Arial"/>
                <w:sz w:val="20"/>
                <w:szCs w:val="20"/>
              </w:rPr>
              <w:t xml:space="preserve"> </w:t>
            </w:r>
            <w:r>
              <w:rPr>
                <w:rFonts w:ascii="Arial" w:hAnsi="Arial"/>
                <w:sz w:val="20"/>
                <w:szCs w:val="20"/>
              </w:rPr>
              <w:t xml:space="preserve">peuples </w:t>
            </w:r>
            <w:r w:rsidRPr="00E42343">
              <w:rPr>
                <w:rFonts w:ascii="Arial" w:hAnsi="Arial"/>
                <w:sz w:val="20"/>
                <w:szCs w:val="20"/>
              </w:rPr>
              <w:t>autochtones ;</w:t>
            </w:r>
          </w:p>
          <w:p w14:paraId="01166922" w14:textId="77777777" w:rsidR="00A47AF6" w:rsidRPr="007B3E48" w:rsidRDefault="00A47AF6" w:rsidP="00A47AF6">
            <w:pPr>
              <w:pStyle w:val="ListParagraph"/>
              <w:numPr>
                <w:ilvl w:val="0"/>
                <w:numId w:val="11"/>
              </w:numPr>
              <w:spacing w:before="60" w:after="60"/>
              <w:ind w:left="971" w:hanging="283"/>
              <w:jc w:val="left"/>
              <w:rPr>
                <w:rFonts w:ascii="Arial" w:hAnsi="Arial"/>
                <w:sz w:val="20"/>
                <w:szCs w:val="20"/>
              </w:rPr>
            </w:pPr>
            <w:proofErr w:type="gramStart"/>
            <w:r>
              <w:rPr>
                <w:rFonts w:ascii="Arial" w:hAnsi="Arial"/>
                <w:sz w:val="20"/>
                <w:szCs w:val="20"/>
              </w:rPr>
              <w:t>les</w:t>
            </w:r>
            <w:proofErr w:type="gramEnd"/>
            <w:r>
              <w:rPr>
                <w:rFonts w:ascii="Arial" w:hAnsi="Arial"/>
                <w:sz w:val="20"/>
                <w:szCs w:val="20"/>
              </w:rPr>
              <w:t xml:space="preserve"> groupes avec des identités ethniques différentes</w:t>
            </w:r>
          </w:p>
          <w:p w14:paraId="53CBF266" w14:textId="77777777" w:rsidR="00A47AF6" w:rsidRPr="00E42343" w:rsidRDefault="00A47AF6" w:rsidP="00A47AF6">
            <w:pPr>
              <w:pStyle w:val="ListParagraph"/>
              <w:numPr>
                <w:ilvl w:val="0"/>
                <w:numId w:val="11"/>
              </w:numPr>
              <w:spacing w:before="60" w:after="60"/>
              <w:ind w:left="971" w:hanging="283"/>
              <w:jc w:val="left"/>
              <w:rPr>
                <w:rFonts w:ascii="Arial" w:hAnsi="Arial"/>
                <w:sz w:val="20"/>
                <w:szCs w:val="20"/>
              </w:rPr>
            </w:pPr>
            <w:proofErr w:type="gramStart"/>
            <w:r w:rsidRPr="00E42343">
              <w:rPr>
                <w:rFonts w:ascii="Arial" w:hAnsi="Arial"/>
                <w:sz w:val="20"/>
                <w:szCs w:val="20"/>
              </w:rPr>
              <w:t>les</w:t>
            </w:r>
            <w:proofErr w:type="gramEnd"/>
            <w:r w:rsidRPr="00E42343">
              <w:rPr>
                <w:rFonts w:ascii="Arial" w:hAnsi="Arial"/>
                <w:sz w:val="20"/>
                <w:szCs w:val="20"/>
              </w:rPr>
              <w:t xml:space="preserve"> migrants, immigrants et réfugiés ;</w:t>
            </w:r>
          </w:p>
          <w:p w14:paraId="521F23F9" w14:textId="77777777" w:rsidR="00A47AF6" w:rsidRPr="00E42343" w:rsidRDefault="00A47AF6" w:rsidP="00A47AF6">
            <w:pPr>
              <w:pStyle w:val="ListParagraph"/>
              <w:numPr>
                <w:ilvl w:val="0"/>
                <w:numId w:val="11"/>
              </w:numPr>
              <w:spacing w:before="60" w:after="60"/>
              <w:ind w:left="971" w:hanging="283"/>
              <w:jc w:val="left"/>
              <w:rPr>
                <w:rFonts w:ascii="Arial" w:hAnsi="Arial"/>
                <w:sz w:val="20"/>
                <w:szCs w:val="20"/>
              </w:rPr>
            </w:pPr>
            <w:proofErr w:type="gramStart"/>
            <w:r w:rsidRPr="00E42343">
              <w:rPr>
                <w:rFonts w:ascii="Arial" w:hAnsi="Arial"/>
                <w:sz w:val="20"/>
                <w:szCs w:val="20"/>
              </w:rPr>
              <w:t>les</w:t>
            </w:r>
            <w:proofErr w:type="gramEnd"/>
            <w:r w:rsidRPr="00E42343">
              <w:rPr>
                <w:rFonts w:ascii="Arial" w:hAnsi="Arial"/>
                <w:sz w:val="20"/>
                <w:szCs w:val="20"/>
              </w:rPr>
              <w:t xml:space="preserve"> personnes de différents âges ;</w:t>
            </w:r>
          </w:p>
          <w:p w14:paraId="0FB3E280" w14:textId="77777777" w:rsidR="00A47AF6" w:rsidRPr="00E42343" w:rsidRDefault="00A47AF6" w:rsidP="00A47AF6">
            <w:pPr>
              <w:pStyle w:val="ListParagraph"/>
              <w:numPr>
                <w:ilvl w:val="0"/>
                <w:numId w:val="11"/>
              </w:numPr>
              <w:spacing w:before="60" w:after="60"/>
              <w:ind w:left="971" w:hanging="283"/>
              <w:jc w:val="left"/>
              <w:rPr>
                <w:rFonts w:ascii="Arial" w:hAnsi="Arial"/>
                <w:sz w:val="20"/>
                <w:szCs w:val="20"/>
              </w:rPr>
            </w:pPr>
            <w:proofErr w:type="gramStart"/>
            <w:r w:rsidRPr="00E42343">
              <w:rPr>
                <w:rFonts w:ascii="Arial" w:hAnsi="Arial"/>
                <w:sz w:val="20"/>
                <w:szCs w:val="20"/>
              </w:rPr>
              <w:t>les</w:t>
            </w:r>
            <w:proofErr w:type="gramEnd"/>
            <w:r w:rsidRPr="00E42343">
              <w:rPr>
                <w:rFonts w:ascii="Arial" w:hAnsi="Arial"/>
                <w:sz w:val="20"/>
                <w:szCs w:val="20"/>
              </w:rPr>
              <w:t xml:space="preserve"> personnes de différents genres ;</w:t>
            </w:r>
          </w:p>
          <w:p w14:paraId="0304F037" w14:textId="77777777" w:rsidR="00A47AF6" w:rsidRPr="00E42343" w:rsidRDefault="00A47AF6" w:rsidP="00A47AF6">
            <w:pPr>
              <w:pStyle w:val="ListParagraph"/>
              <w:numPr>
                <w:ilvl w:val="0"/>
                <w:numId w:val="11"/>
              </w:numPr>
              <w:spacing w:before="60" w:after="60"/>
              <w:ind w:left="971" w:hanging="283"/>
              <w:jc w:val="left"/>
              <w:rPr>
                <w:rFonts w:ascii="Arial" w:hAnsi="Arial"/>
                <w:sz w:val="20"/>
                <w:szCs w:val="20"/>
              </w:rPr>
            </w:pPr>
            <w:proofErr w:type="gramStart"/>
            <w:r>
              <w:rPr>
                <w:rFonts w:ascii="Arial" w:hAnsi="Arial"/>
                <w:sz w:val="20"/>
                <w:szCs w:val="20"/>
              </w:rPr>
              <w:t>les</w:t>
            </w:r>
            <w:proofErr w:type="gramEnd"/>
            <w:r>
              <w:rPr>
                <w:rFonts w:ascii="Arial" w:hAnsi="Arial"/>
                <w:sz w:val="20"/>
                <w:szCs w:val="20"/>
              </w:rPr>
              <w:t xml:space="preserve"> personnes</w:t>
            </w:r>
            <w:r w:rsidDel="00FF2D83">
              <w:rPr>
                <w:rFonts w:ascii="Arial" w:hAnsi="Arial"/>
                <w:sz w:val="20"/>
                <w:szCs w:val="20"/>
              </w:rPr>
              <w:t xml:space="preserve"> </w:t>
            </w:r>
            <w:r>
              <w:rPr>
                <w:rFonts w:ascii="Arial" w:hAnsi="Arial"/>
                <w:sz w:val="20"/>
                <w:szCs w:val="20"/>
              </w:rPr>
              <w:t>en situation de handicap </w:t>
            </w:r>
            <w:r w:rsidRPr="00E42343">
              <w:rPr>
                <w:rFonts w:ascii="Arial" w:hAnsi="Arial"/>
                <w:sz w:val="20"/>
                <w:szCs w:val="20"/>
              </w:rPr>
              <w:t>;</w:t>
            </w:r>
          </w:p>
          <w:p w14:paraId="6F802BCB" w14:textId="77777777" w:rsidR="00A47AF6" w:rsidRPr="00E42343" w:rsidRDefault="00A47AF6" w:rsidP="00A47AF6">
            <w:pPr>
              <w:pStyle w:val="ListParagraph"/>
              <w:numPr>
                <w:ilvl w:val="0"/>
                <w:numId w:val="11"/>
              </w:numPr>
              <w:spacing w:before="60" w:after="60"/>
              <w:ind w:left="971" w:hanging="283"/>
              <w:jc w:val="left"/>
              <w:rPr>
                <w:rFonts w:ascii="Arial" w:hAnsi="Arial"/>
                <w:sz w:val="20"/>
                <w:szCs w:val="20"/>
              </w:rPr>
            </w:pPr>
            <w:r w:rsidRPr="00E42343">
              <w:rPr>
                <w:rFonts w:ascii="Arial" w:hAnsi="Arial"/>
                <w:sz w:val="20"/>
                <w:szCs w:val="20"/>
              </w:rPr>
              <w:t>les membres des groupes vulnérables.</w:t>
            </w:r>
          </w:p>
        </w:tc>
        <w:tc>
          <w:tcPr>
            <w:tcW w:w="77" w:type="pct"/>
            <w:tcBorders>
              <w:top w:val="nil"/>
              <w:bottom w:val="nil"/>
            </w:tcBorders>
            <w:shd w:val="clear" w:color="auto" w:fill="auto"/>
            <w:vAlign w:val="center"/>
          </w:tcPr>
          <w:p w14:paraId="231D0555"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2B625EBA"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DO 100</w:t>
            </w:r>
            <w:r>
              <w:rPr>
                <w:rFonts w:ascii="Arial" w:hAnsi="Arial" w:cs="Arial"/>
                <w:sz w:val="20"/>
                <w:szCs w:val="20"/>
                <w:lang w:val="en-GB"/>
              </w:rPr>
              <w:t xml:space="preserve">, </w:t>
            </w:r>
            <w:r w:rsidRPr="00E42343">
              <w:rPr>
                <w:rFonts w:ascii="Arial" w:hAnsi="Arial" w:cs="Arial"/>
                <w:sz w:val="20"/>
                <w:szCs w:val="20"/>
                <w:lang w:val="en-GB"/>
              </w:rPr>
              <w:t>DO 102</w:t>
            </w:r>
            <w:r>
              <w:rPr>
                <w:rFonts w:ascii="Arial" w:hAnsi="Arial" w:cs="Arial"/>
                <w:sz w:val="20"/>
                <w:szCs w:val="20"/>
                <w:lang w:val="en-GB"/>
              </w:rPr>
              <w:t xml:space="preserve">, </w:t>
            </w:r>
            <w:r w:rsidRPr="00E42343">
              <w:rPr>
                <w:rFonts w:ascii="Arial" w:hAnsi="Arial" w:cs="Arial"/>
                <w:sz w:val="20"/>
                <w:szCs w:val="20"/>
                <w:lang w:val="en-GB"/>
              </w:rPr>
              <w:t>DO 174</w:t>
            </w:r>
            <w:r>
              <w:rPr>
                <w:rFonts w:ascii="Arial" w:hAnsi="Arial" w:cs="Arial"/>
                <w:sz w:val="20"/>
                <w:szCs w:val="20"/>
                <w:lang w:val="en-GB"/>
              </w:rPr>
              <w:t xml:space="preserve">, </w:t>
            </w:r>
            <w:r w:rsidRPr="00E42343">
              <w:rPr>
                <w:rFonts w:ascii="Arial" w:hAnsi="Arial" w:cs="Arial"/>
                <w:sz w:val="20"/>
                <w:szCs w:val="20"/>
                <w:lang w:val="en-GB"/>
              </w:rPr>
              <w:t>DO 194</w:t>
            </w:r>
          </w:p>
          <w:p w14:paraId="77D8DF08"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PE 1, PE 2, PE 4, PE 9, PE 10</w:t>
            </w:r>
          </w:p>
        </w:tc>
      </w:tr>
      <w:tr w:rsidR="00A47AF6" w:rsidRPr="00357839" w14:paraId="2F6E5CD0" w14:textId="77777777" w:rsidTr="005B64FB">
        <w:trPr>
          <w:cantSplit/>
        </w:trPr>
        <w:tc>
          <w:tcPr>
            <w:tcW w:w="922" w:type="pct"/>
            <w:vMerge/>
            <w:shd w:val="clear" w:color="auto" w:fill="auto"/>
            <w:vAlign w:val="center"/>
          </w:tcPr>
          <w:p w14:paraId="210369F0" w14:textId="77777777" w:rsidR="00A47AF6" w:rsidRPr="00E42343" w:rsidRDefault="00A47AF6" w:rsidP="005C5ED5">
            <w:pPr>
              <w:spacing w:before="60" w:after="60"/>
              <w:rPr>
                <w:rFonts w:ascii="Arial" w:hAnsi="Arial" w:cs="Arial"/>
                <w:b/>
                <w:sz w:val="20"/>
                <w:szCs w:val="20"/>
                <w:lang w:val="en-GB"/>
              </w:rPr>
            </w:pPr>
          </w:p>
        </w:tc>
        <w:tc>
          <w:tcPr>
            <w:tcW w:w="1003" w:type="pct"/>
            <w:vMerge/>
            <w:shd w:val="clear" w:color="auto" w:fill="auto"/>
            <w:vAlign w:val="center"/>
          </w:tcPr>
          <w:p w14:paraId="1B03EF83"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01082778" w14:textId="28BC8311" w:rsidR="00A47AF6" w:rsidRPr="00E42343" w:rsidRDefault="00A47AF6" w:rsidP="00A47AF6">
            <w:pPr>
              <w:pStyle w:val="ListParagraph"/>
              <w:numPr>
                <w:ilvl w:val="1"/>
                <w:numId w:val="29"/>
              </w:numPr>
              <w:spacing w:before="60" w:after="60"/>
              <w:ind w:left="567" w:hanging="567"/>
              <w:jc w:val="left"/>
              <w:rPr>
                <w:rFonts w:ascii="Arial" w:hAnsi="Arial"/>
                <w:sz w:val="20"/>
                <w:szCs w:val="20"/>
              </w:rPr>
            </w:pPr>
            <w:r w:rsidRPr="00E42343">
              <w:rPr>
                <w:rFonts w:ascii="Arial" w:hAnsi="Arial"/>
                <w:sz w:val="20"/>
                <w:szCs w:val="20"/>
              </w:rPr>
              <w:t>Le respect de soi et le respect mutuel sont encouragés au sein des communautés, groupes et individus à travers des plans et des programmes de sauvegarde du PCI en général et pour des éléments spécifiques dudit patrimoine, qu</w:t>
            </w:r>
            <w:r w:rsidR="005B64FB">
              <w:rPr>
                <w:rFonts w:ascii="Arial" w:hAnsi="Arial"/>
                <w:sz w:val="20"/>
                <w:szCs w:val="20"/>
              </w:rPr>
              <w:t>’</w:t>
            </w:r>
            <w:r w:rsidRPr="00E42343">
              <w:rPr>
                <w:rFonts w:ascii="Arial" w:hAnsi="Arial"/>
                <w:sz w:val="20"/>
                <w:szCs w:val="20"/>
              </w:rPr>
              <w:t>ils soient inscrits ou non.</w:t>
            </w:r>
          </w:p>
        </w:tc>
        <w:tc>
          <w:tcPr>
            <w:tcW w:w="77" w:type="pct"/>
            <w:tcBorders>
              <w:top w:val="nil"/>
              <w:bottom w:val="nil"/>
            </w:tcBorders>
            <w:shd w:val="clear" w:color="auto" w:fill="auto"/>
            <w:vAlign w:val="center"/>
          </w:tcPr>
          <w:p w14:paraId="30DEE6E2"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724C4018"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 xml:space="preserve">Article 1, </w:t>
            </w:r>
            <w:r>
              <w:rPr>
                <w:rFonts w:ascii="Arial" w:hAnsi="Arial" w:cs="Arial"/>
                <w:sz w:val="20"/>
                <w:szCs w:val="20"/>
                <w:lang w:val="en-GB"/>
              </w:rPr>
              <w:t>A</w:t>
            </w:r>
            <w:r w:rsidRPr="00E42343">
              <w:rPr>
                <w:rFonts w:ascii="Arial" w:hAnsi="Arial" w:cs="Arial"/>
                <w:sz w:val="20"/>
                <w:szCs w:val="20"/>
                <w:lang w:val="en-GB"/>
              </w:rPr>
              <w:t>rticle 2</w:t>
            </w:r>
            <w:r>
              <w:rPr>
                <w:rFonts w:ascii="Arial" w:hAnsi="Arial" w:cs="Arial"/>
                <w:sz w:val="20"/>
                <w:szCs w:val="20"/>
                <w:lang w:val="en-GB"/>
              </w:rPr>
              <w:br/>
            </w:r>
            <w:r w:rsidRPr="00E42343">
              <w:rPr>
                <w:rFonts w:ascii="Arial" w:hAnsi="Arial" w:cs="Arial"/>
                <w:sz w:val="20"/>
                <w:szCs w:val="20"/>
                <w:lang w:val="en-GB"/>
              </w:rPr>
              <w:t>Article 14(a)</w:t>
            </w:r>
          </w:p>
          <w:p w14:paraId="7243D5CF"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DO 100, DO 107, DO 155</w:t>
            </w:r>
          </w:p>
        </w:tc>
      </w:tr>
      <w:tr w:rsidR="00A47AF6" w:rsidRPr="00E42343" w14:paraId="0657E772" w14:textId="77777777" w:rsidTr="005B64FB">
        <w:trPr>
          <w:cantSplit/>
        </w:trPr>
        <w:tc>
          <w:tcPr>
            <w:tcW w:w="922" w:type="pct"/>
            <w:vMerge w:val="restart"/>
            <w:shd w:val="clear" w:color="auto" w:fill="auto"/>
            <w:vAlign w:val="center"/>
          </w:tcPr>
          <w:p w14:paraId="37EB5FB8" w14:textId="77777777" w:rsidR="00A47AF6" w:rsidRPr="00E42343" w:rsidRDefault="00A47AF6" w:rsidP="005C5ED5">
            <w:pPr>
              <w:spacing w:before="60" w:after="60"/>
              <w:rPr>
                <w:rFonts w:ascii="Arial" w:hAnsi="Arial" w:cs="Arial"/>
                <w:b/>
                <w:sz w:val="20"/>
                <w:szCs w:val="20"/>
              </w:rPr>
            </w:pPr>
            <w:r w:rsidRPr="00E42343">
              <w:rPr>
                <w:rFonts w:ascii="Arial" w:hAnsi="Arial" w:cs="Arial"/>
                <w:b/>
                <w:sz w:val="20"/>
                <w:szCs w:val="20"/>
              </w:rPr>
              <w:t>Sensibilisation</w:t>
            </w:r>
          </w:p>
        </w:tc>
        <w:tc>
          <w:tcPr>
            <w:tcW w:w="1003" w:type="pct"/>
            <w:vMerge w:val="restart"/>
            <w:shd w:val="clear" w:color="auto" w:fill="auto"/>
            <w:vAlign w:val="center"/>
          </w:tcPr>
          <w:p w14:paraId="5BC3EC9C" w14:textId="1E04D9D1"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Mesure dans laquelle les communautés, les groupes et les individus participent largement à la sensibilisation sur l</w:t>
            </w:r>
            <w:r w:rsidR="005B64FB">
              <w:rPr>
                <w:rFonts w:ascii="Arial" w:hAnsi="Arial"/>
                <w:sz w:val="20"/>
                <w:szCs w:val="20"/>
              </w:rPr>
              <w:t>’</w:t>
            </w:r>
            <w:r w:rsidRPr="00E42343">
              <w:rPr>
                <w:rFonts w:ascii="Arial" w:hAnsi="Arial"/>
                <w:sz w:val="20"/>
                <w:szCs w:val="20"/>
              </w:rPr>
              <w:t>importance du PCI et sa sauvegarde</w:t>
            </w:r>
          </w:p>
        </w:tc>
        <w:tc>
          <w:tcPr>
            <w:tcW w:w="2453" w:type="pct"/>
            <w:shd w:val="clear" w:color="auto" w:fill="auto"/>
            <w:vAlign w:val="center"/>
          </w:tcPr>
          <w:p w14:paraId="0659038D" w14:textId="77777777" w:rsidR="00A47AF6" w:rsidRPr="00E42343" w:rsidRDefault="00A47AF6" w:rsidP="00A47AF6">
            <w:pPr>
              <w:pStyle w:val="ListParagraph"/>
              <w:numPr>
                <w:ilvl w:val="1"/>
                <w:numId w:val="30"/>
              </w:numPr>
              <w:spacing w:before="60" w:after="60"/>
              <w:ind w:left="567" w:hanging="567"/>
              <w:jc w:val="left"/>
              <w:rPr>
                <w:rFonts w:ascii="Arial" w:hAnsi="Arial"/>
                <w:vanish/>
                <w:sz w:val="20"/>
                <w:szCs w:val="20"/>
              </w:rPr>
            </w:pPr>
            <w:r w:rsidRPr="00E42343">
              <w:rPr>
                <w:rFonts w:ascii="Arial" w:hAnsi="Arial"/>
                <w:sz w:val="20"/>
                <w:szCs w:val="20"/>
              </w:rPr>
              <w:t>Les actions de sensibilisation reflètent la participation inclusive et la plus large possible des communautés, des groupes et des individus concernés.</w:t>
            </w:r>
          </w:p>
        </w:tc>
        <w:tc>
          <w:tcPr>
            <w:tcW w:w="77" w:type="pct"/>
            <w:tcBorders>
              <w:top w:val="nil"/>
              <w:bottom w:val="nil"/>
            </w:tcBorders>
            <w:shd w:val="clear" w:color="auto" w:fill="auto"/>
            <w:vAlign w:val="center"/>
          </w:tcPr>
          <w:p w14:paraId="1FE9FAC3"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6E45C9B4"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101</w:t>
            </w:r>
          </w:p>
        </w:tc>
      </w:tr>
      <w:tr w:rsidR="00A47AF6" w:rsidRPr="00E42343" w14:paraId="35979B95" w14:textId="77777777" w:rsidTr="005B64FB">
        <w:trPr>
          <w:cantSplit/>
        </w:trPr>
        <w:tc>
          <w:tcPr>
            <w:tcW w:w="922" w:type="pct"/>
            <w:vMerge/>
            <w:shd w:val="clear" w:color="auto" w:fill="auto"/>
            <w:vAlign w:val="center"/>
          </w:tcPr>
          <w:p w14:paraId="7556A700"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185199BF"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0D83F9D9" w14:textId="77777777" w:rsidR="00A47AF6" w:rsidRPr="00E42343" w:rsidRDefault="00A47AF6" w:rsidP="00A47AF6">
            <w:pPr>
              <w:pStyle w:val="ListParagraph"/>
              <w:numPr>
                <w:ilvl w:val="1"/>
                <w:numId w:val="30"/>
              </w:numPr>
              <w:spacing w:before="60" w:after="60"/>
              <w:ind w:left="567" w:hanging="567"/>
              <w:jc w:val="left"/>
              <w:rPr>
                <w:rFonts w:ascii="Arial" w:hAnsi="Arial"/>
                <w:sz w:val="20"/>
                <w:szCs w:val="20"/>
              </w:rPr>
            </w:pPr>
            <w:r w:rsidRPr="00E42343">
              <w:rPr>
                <w:rFonts w:ascii="Arial" w:hAnsi="Arial"/>
                <w:sz w:val="20"/>
                <w:szCs w:val="20"/>
              </w:rPr>
              <w:t>Le consentement libre, préalable, durable et éclairé des communautés, des groupes et des individus concernés est obtenu pour mener des activités de sensibilisation concernant les éléments spécifiques de leur PCI.</w:t>
            </w:r>
          </w:p>
        </w:tc>
        <w:tc>
          <w:tcPr>
            <w:tcW w:w="77" w:type="pct"/>
            <w:tcBorders>
              <w:top w:val="nil"/>
              <w:bottom w:val="nil"/>
            </w:tcBorders>
            <w:shd w:val="clear" w:color="auto" w:fill="auto"/>
            <w:vAlign w:val="center"/>
          </w:tcPr>
          <w:p w14:paraId="1B14BBEC"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057A0828"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101</w:t>
            </w:r>
          </w:p>
        </w:tc>
      </w:tr>
      <w:tr w:rsidR="00A47AF6" w:rsidRPr="00E42343" w14:paraId="032F9D1C" w14:textId="77777777" w:rsidTr="005B64FB">
        <w:trPr>
          <w:cantSplit/>
        </w:trPr>
        <w:tc>
          <w:tcPr>
            <w:tcW w:w="922" w:type="pct"/>
            <w:vMerge/>
            <w:shd w:val="clear" w:color="auto" w:fill="auto"/>
            <w:vAlign w:val="center"/>
          </w:tcPr>
          <w:p w14:paraId="14386DB0"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53D4A226"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1F5D61E6" w14:textId="77777777" w:rsidR="00A47AF6" w:rsidRPr="00E42343" w:rsidRDefault="00A47AF6" w:rsidP="00A47AF6">
            <w:pPr>
              <w:pStyle w:val="ListParagraph"/>
              <w:numPr>
                <w:ilvl w:val="1"/>
                <w:numId w:val="30"/>
              </w:numPr>
              <w:spacing w:before="60" w:after="60"/>
              <w:ind w:left="567" w:hanging="567"/>
              <w:jc w:val="left"/>
              <w:rPr>
                <w:rFonts w:ascii="Arial" w:hAnsi="Arial"/>
                <w:sz w:val="20"/>
                <w:szCs w:val="20"/>
              </w:rPr>
            </w:pPr>
            <w:r w:rsidRPr="00E42343">
              <w:rPr>
                <w:rFonts w:ascii="Arial" w:hAnsi="Arial"/>
                <w:sz w:val="20"/>
                <w:szCs w:val="20"/>
              </w:rPr>
              <w:t>Les droits des communautés, des groupes et des individus ainsi que leurs intérêts moraux et matériels sont dûment protégés lors des activités de sensibilisation sur leur PCI.</w:t>
            </w:r>
          </w:p>
        </w:tc>
        <w:tc>
          <w:tcPr>
            <w:tcW w:w="77" w:type="pct"/>
            <w:tcBorders>
              <w:top w:val="nil"/>
              <w:bottom w:val="nil"/>
            </w:tcBorders>
            <w:shd w:val="clear" w:color="auto" w:fill="auto"/>
            <w:vAlign w:val="center"/>
          </w:tcPr>
          <w:p w14:paraId="5C818314"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6F8E7DE4"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DO 101(b), DO 101(d)</w:t>
            </w:r>
            <w:r>
              <w:rPr>
                <w:rFonts w:ascii="Arial" w:hAnsi="Arial" w:cs="Arial"/>
                <w:sz w:val="20"/>
                <w:szCs w:val="20"/>
                <w:lang w:val="en-GB"/>
              </w:rPr>
              <w:t xml:space="preserve">, </w:t>
            </w:r>
            <w:r w:rsidRPr="00E42343">
              <w:rPr>
                <w:rFonts w:ascii="Arial" w:hAnsi="Arial" w:cs="Arial"/>
                <w:sz w:val="20"/>
                <w:szCs w:val="20"/>
                <w:lang w:val="en-GB"/>
              </w:rPr>
              <w:t>DO 104</w:t>
            </w:r>
            <w:r>
              <w:rPr>
                <w:rFonts w:ascii="Arial" w:hAnsi="Arial" w:cs="Arial"/>
                <w:sz w:val="20"/>
                <w:szCs w:val="20"/>
                <w:lang w:val="en-GB"/>
              </w:rPr>
              <w:t xml:space="preserve">, </w:t>
            </w:r>
            <w:r w:rsidRPr="00E42343">
              <w:rPr>
                <w:rFonts w:ascii="Arial" w:hAnsi="Arial" w:cs="Arial"/>
                <w:sz w:val="20"/>
                <w:szCs w:val="20"/>
                <w:lang w:val="en-GB"/>
              </w:rPr>
              <w:t>DO 171</w:t>
            </w:r>
          </w:p>
          <w:p w14:paraId="488075AF"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PE 7</w:t>
            </w:r>
          </w:p>
        </w:tc>
      </w:tr>
      <w:tr w:rsidR="00A47AF6" w:rsidRPr="00357839" w14:paraId="70A0B176" w14:textId="77777777" w:rsidTr="005B64FB">
        <w:trPr>
          <w:cantSplit/>
        </w:trPr>
        <w:tc>
          <w:tcPr>
            <w:tcW w:w="922" w:type="pct"/>
            <w:vMerge/>
            <w:shd w:val="clear" w:color="auto" w:fill="auto"/>
            <w:vAlign w:val="center"/>
          </w:tcPr>
          <w:p w14:paraId="54AAE92D"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3BC0516C"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5C006031" w14:textId="13F783C2" w:rsidR="00A47AF6" w:rsidRPr="00E42343" w:rsidRDefault="00A47AF6" w:rsidP="00A47AF6">
            <w:pPr>
              <w:pStyle w:val="ListParagraph"/>
              <w:numPr>
                <w:ilvl w:val="1"/>
                <w:numId w:val="30"/>
              </w:numPr>
              <w:spacing w:before="60" w:after="60"/>
              <w:ind w:left="567" w:hanging="567"/>
              <w:jc w:val="left"/>
              <w:rPr>
                <w:rFonts w:ascii="Arial" w:hAnsi="Arial"/>
                <w:sz w:val="20"/>
                <w:szCs w:val="20"/>
              </w:rPr>
            </w:pPr>
            <w:r w:rsidRPr="00E42343">
              <w:rPr>
                <w:rFonts w:ascii="Arial" w:hAnsi="Arial"/>
                <w:sz w:val="20"/>
                <w:szCs w:val="20"/>
              </w:rPr>
              <w:t>Les jeunes participent activement à des activités de sensibilisation, y compris la collecte et la diffusion d</w:t>
            </w:r>
            <w:r w:rsidR="005B64FB">
              <w:rPr>
                <w:rFonts w:ascii="Arial" w:hAnsi="Arial"/>
                <w:sz w:val="20"/>
                <w:szCs w:val="20"/>
              </w:rPr>
              <w:t>’</w:t>
            </w:r>
            <w:r w:rsidRPr="00E42343">
              <w:rPr>
                <w:rFonts w:ascii="Arial" w:hAnsi="Arial"/>
                <w:sz w:val="20"/>
                <w:szCs w:val="20"/>
              </w:rPr>
              <w:t>informations sur le PCI de leurs communautés ou groupes.</w:t>
            </w:r>
          </w:p>
        </w:tc>
        <w:tc>
          <w:tcPr>
            <w:tcW w:w="77" w:type="pct"/>
            <w:tcBorders>
              <w:top w:val="nil"/>
              <w:bottom w:val="nil"/>
            </w:tcBorders>
            <w:shd w:val="clear" w:color="auto" w:fill="auto"/>
            <w:vAlign w:val="center"/>
          </w:tcPr>
          <w:p w14:paraId="15772E57"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83980B9"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Article 14(a)(</w:t>
            </w:r>
            <w:proofErr w:type="spellStart"/>
            <w:r w:rsidRPr="00E42343">
              <w:rPr>
                <w:rFonts w:ascii="Arial" w:hAnsi="Arial" w:cs="Arial"/>
                <w:sz w:val="20"/>
                <w:szCs w:val="20"/>
                <w:lang w:val="en-GB"/>
              </w:rPr>
              <w:t>i</w:t>
            </w:r>
            <w:proofErr w:type="spellEnd"/>
            <w:r w:rsidRPr="00E42343">
              <w:rPr>
                <w:rFonts w:ascii="Arial" w:hAnsi="Arial" w:cs="Arial"/>
                <w:sz w:val="20"/>
                <w:szCs w:val="20"/>
                <w:lang w:val="en-GB"/>
              </w:rPr>
              <w:t>)</w:t>
            </w:r>
          </w:p>
          <w:p w14:paraId="710BE6C3"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DO 107(f)</w:t>
            </w:r>
          </w:p>
        </w:tc>
      </w:tr>
      <w:tr w:rsidR="00A47AF6" w:rsidRPr="00E42343" w14:paraId="51A835FB" w14:textId="77777777" w:rsidTr="005B64FB">
        <w:trPr>
          <w:cantSplit/>
        </w:trPr>
        <w:tc>
          <w:tcPr>
            <w:tcW w:w="922" w:type="pct"/>
            <w:vMerge/>
            <w:shd w:val="clear" w:color="auto" w:fill="auto"/>
            <w:vAlign w:val="center"/>
          </w:tcPr>
          <w:p w14:paraId="5FC4E7FD" w14:textId="77777777" w:rsidR="00A47AF6" w:rsidRPr="00345EB5" w:rsidRDefault="00A47AF6" w:rsidP="005C5ED5">
            <w:pPr>
              <w:spacing w:before="60" w:after="60"/>
              <w:rPr>
                <w:rFonts w:ascii="Arial" w:hAnsi="Arial" w:cs="Arial"/>
                <w:b/>
                <w:sz w:val="20"/>
                <w:szCs w:val="20"/>
                <w:lang w:val="en-US"/>
              </w:rPr>
            </w:pPr>
          </w:p>
        </w:tc>
        <w:tc>
          <w:tcPr>
            <w:tcW w:w="1003" w:type="pct"/>
            <w:vMerge/>
            <w:shd w:val="clear" w:color="auto" w:fill="auto"/>
            <w:vAlign w:val="center"/>
          </w:tcPr>
          <w:p w14:paraId="2004B2F3" w14:textId="77777777" w:rsidR="00A47AF6" w:rsidRPr="00E42343" w:rsidRDefault="00A47AF6" w:rsidP="005C5ED5">
            <w:pPr>
              <w:pStyle w:val="ListParagraph"/>
              <w:spacing w:before="60" w:after="60"/>
              <w:ind w:left="370"/>
              <w:rPr>
                <w:rFonts w:ascii="Arial" w:hAnsi="Arial"/>
                <w:sz w:val="20"/>
                <w:szCs w:val="20"/>
                <w:lang w:val="en-GB"/>
              </w:rPr>
            </w:pPr>
          </w:p>
        </w:tc>
        <w:tc>
          <w:tcPr>
            <w:tcW w:w="2453" w:type="pct"/>
            <w:shd w:val="clear" w:color="auto" w:fill="auto"/>
            <w:vAlign w:val="center"/>
          </w:tcPr>
          <w:p w14:paraId="6F51C62D" w14:textId="4A13721E" w:rsidR="00A47AF6" w:rsidRPr="00E42343" w:rsidRDefault="00A47AF6" w:rsidP="00A47AF6">
            <w:pPr>
              <w:pStyle w:val="ListParagraph"/>
              <w:numPr>
                <w:ilvl w:val="1"/>
                <w:numId w:val="30"/>
              </w:numPr>
              <w:spacing w:before="60" w:after="60"/>
              <w:ind w:left="567" w:hanging="567"/>
              <w:jc w:val="left"/>
              <w:rPr>
                <w:rFonts w:ascii="Arial" w:hAnsi="Arial"/>
                <w:sz w:val="20"/>
                <w:szCs w:val="20"/>
              </w:rPr>
            </w:pPr>
            <w:r w:rsidRPr="00E42343">
              <w:rPr>
                <w:rFonts w:ascii="Arial" w:hAnsi="Arial"/>
                <w:sz w:val="20"/>
                <w:szCs w:val="20"/>
              </w:rPr>
              <w:t>Les communautés, groupes et individus utilisent les technologies de l</w:t>
            </w:r>
            <w:r w:rsidR="005B64FB">
              <w:rPr>
                <w:rFonts w:ascii="Arial" w:hAnsi="Arial"/>
                <w:sz w:val="20"/>
                <w:szCs w:val="20"/>
              </w:rPr>
              <w:t>’</w:t>
            </w:r>
            <w:r w:rsidRPr="00E42343">
              <w:rPr>
                <w:rFonts w:ascii="Arial" w:hAnsi="Arial"/>
                <w:sz w:val="20"/>
                <w:szCs w:val="20"/>
              </w:rPr>
              <w:t xml:space="preserve">information et </w:t>
            </w:r>
            <w:r>
              <w:rPr>
                <w:rFonts w:ascii="Arial" w:hAnsi="Arial"/>
                <w:sz w:val="20"/>
                <w:szCs w:val="20"/>
              </w:rPr>
              <w:t xml:space="preserve">la </w:t>
            </w:r>
            <w:r w:rsidRPr="00E42343">
              <w:rPr>
                <w:rFonts w:ascii="Arial" w:hAnsi="Arial"/>
                <w:sz w:val="20"/>
                <w:szCs w:val="20"/>
              </w:rPr>
              <w:t xml:space="preserve">communication et </w:t>
            </w:r>
            <w:r>
              <w:rPr>
                <w:rFonts w:ascii="Arial" w:hAnsi="Arial"/>
                <w:sz w:val="20"/>
                <w:szCs w:val="20"/>
              </w:rPr>
              <w:t xml:space="preserve">toutes formes de médias, en particulier </w:t>
            </w:r>
            <w:r w:rsidRPr="00E42343">
              <w:rPr>
                <w:rFonts w:ascii="Arial" w:hAnsi="Arial"/>
                <w:sz w:val="20"/>
                <w:szCs w:val="20"/>
              </w:rPr>
              <w:t>les nouveaux médias</w:t>
            </w:r>
            <w:r>
              <w:rPr>
                <w:rFonts w:ascii="Arial" w:hAnsi="Arial"/>
                <w:sz w:val="20"/>
                <w:szCs w:val="20"/>
              </w:rPr>
              <w:t>,</w:t>
            </w:r>
            <w:r w:rsidRPr="00E42343">
              <w:rPr>
                <w:rFonts w:ascii="Arial" w:hAnsi="Arial"/>
                <w:sz w:val="20"/>
                <w:szCs w:val="20"/>
              </w:rPr>
              <w:t xml:space="preserve"> pour sensibiliser à l</w:t>
            </w:r>
            <w:r w:rsidR="005B64FB">
              <w:rPr>
                <w:rFonts w:ascii="Arial" w:hAnsi="Arial"/>
                <w:sz w:val="20"/>
                <w:szCs w:val="20"/>
              </w:rPr>
              <w:t>’</w:t>
            </w:r>
            <w:r w:rsidRPr="00E42343">
              <w:rPr>
                <w:rFonts w:ascii="Arial" w:hAnsi="Arial"/>
                <w:sz w:val="20"/>
                <w:szCs w:val="20"/>
              </w:rPr>
              <w:t>importance du PCI et à sa sauvegarde.</w:t>
            </w:r>
          </w:p>
        </w:tc>
        <w:tc>
          <w:tcPr>
            <w:tcW w:w="77" w:type="pct"/>
            <w:tcBorders>
              <w:top w:val="nil"/>
              <w:bottom w:val="nil"/>
            </w:tcBorders>
            <w:shd w:val="clear" w:color="auto" w:fill="auto"/>
            <w:vAlign w:val="center"/>
          </w:tcPr>
          <w:p w14:paraId="2F2CAB81"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FBC30C7" w14:textId="77777777" w:rsidR="00A47AF6" w:rsidRPr="00345EB5" w:rsidRDefault="00A47AF6" w:rsidP="005C5ED5">
            <w:pPr>
              <w:spacing w:before="60" w:after="60"/>
              <w:rPr>
                <w:rFonts w:ascii="Arial" w:hAnsi="Arial" w:cs="Arial"/>
                <w:sz w:val="20"/>
                <w:szCs w:val="20"/>
              </w:rPr>
            </w:pPr>
          </w:p>
        </w:tc>
      </w:tr>
      <w:tr w:rsidR="00A47AF6" w:rsidRPr="00E42343" w14:paraId="50BA5CDA" w14:textId="77777777" w:rsidTr="005B64FB">
        <w:trPr>
          <w:cantSplit/>
        </w:trPr>
        <w:tc>
          <w:tcPr>
            <w:tcW w:w="922" w:type="pct"/>
            <w:vMerge/>
            <w:shd w:val="clear" w:color="auto" w:fill="auto"/>
            <w:vAlign w:val="center"/>
          </w:tcPr>
          <w:p w14:paraId="3D2BC968" w14:textId="77777777" w:rsidR="00A47AF6" w:rsidRPr="00345EB5" w:rsidRDefault="00A47AF6" w:rsidP="005C5ED5">
            <w:pPr>
              <w:spacing w:before="60" w:after="60"/>
              <w:rPr>
                <w:rFonts w:ascii="Arial" w:hAnsi="Arial" w:cs="Arial"/>
                <w:b/>
                <w:sz w:val="20"/>
                <w:szCs w:val="20"/>
              </w:rPr>
            </w:pPr>
          </w:p>
        </w:tc>
        <w:tc>
          <w:tcPr>
            <w:tcW w:w="1003" w:type="pct"/>
            <w:vMerge w:val="restart"/>
            <w:shd w:val="clear" w:color="auto" w:fill="auto"/>
            <w:vAlign w:val="center"/>
          </w:tcPr>
          <w:p w14:paraId="53DA71D9" w14:textId="16451AB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Mesure dans laquelle les médias sont impliqués dans la sensibilisation à l</w:t>
            </w:r>
            <w:r w:rsidR="005B64FB">
              <w:rPr>
                <w:rFonts w:ascii="Arial" w:hAnsi="Arial"/>
                <w:sz w:val="20"/>
                <w:szCs w:val="20"/>
              </w:rPr>
              <w:t>’</w:t>
            </w:r>
            <w:r w:rsidRPr="00E42343">
              <w:rPr>
                <w:rFonts w:ascii="Arial" w:hAnsi="Arial"/>
                <w:sz w:val="20"/>
                <w:szCs w:val="20"/>
              </w:rPr>
              <w:t xml:space="preserve">importance du PCI et à sa sauvegarde et à la promotion de la </w:t>
            </w:r>
            <w:r w:rsidRPr="00E42343">
              <w:rPr>
                <w:rFonts w:ascii="Arial" w:hAnsi="Arial"/>
                <w:sz w:val="20"/>
                <w:szCs w:val="20"/>
              </w:rPr>
              <w:lastRenderedPageBreak/>
              <w:t>compréhension et du respect mutuel</w:t>
            </w:r>
          </w:p>
        </w:tc>
        <w:tc>
          <w:tcPr>
            <w:tcW w:w="2453" w:type="pct"/>
            <w:shd w:val="clear" w:color="auto" w:fill="auto"/>
            <w:vAlign w:val="center"/>
          </w:tcPr>
          <w:p w14:paraId="7E4E6E37" w14:textId="53B576F8" w:rsidR="00A47AF6" w:rsidRPr="00E42343" w:rsidRDefault="00A47AF6" w:rsidP="00A47AF6">
            <w:pPr>
              <w:pStyle w:val="ListParagraph"/>
              <w:numPr>
                <w:ilvl w:val="1"/>
                <w:numId w:val="31"/>
              </w:numPr>
              <w:spacing w:before="60" w:after="60"/>
              <w:ind w:left="567" w:hanging="567"/>
              <w:jc w:val="left"/>
              <w:rPr>
                <w:rFonts w:ascii="Arial" w:hAnsi="Arial"/>
                <w:vanish/>
                <w:sz w:val="20"/>
                <w:szCs w:val="20"/>
              </w:rPr>
            </w:pPr>
            <w:r w:rsidRPr="00E42343">
              <w:rPr>
                <w:rFonts w:ascii="Arial" w:hAnsi="Arial"/>
                <w:sz w:val="20"/>
                <w:szCs w:val="20"/>
              </w:rPr>
              <w:lastRenderedPageBreak/>
              <w:t>La couverture médiatique sensibilise à l</w:t>
            </w:r>
            <w:r w:rsidR="005B64FB">
              <w:rPr>
                <w:rFonts w:ascii="Arial" w:hAnsi="Arial"/>
                <w:sz w:val="20"/>
                <w:szCs w:val="20"/>
              </w:rPr>
              <w:t>’</w:t>
            </w:r>
            <w:r w:rsidRPr="00E42343">
              <w:rPr>
                <w:rFonts w:ascii="Arial" w:hAnsi="Arial"/>
                <w:sz w:val="20"/>
                <w:szCs w:val="20"/>
              </w:rPr>
              <w:t>importance du PCI et à sa sauvegarde et promeut le respect mutuel entre communautés, groupes et individus.</w:t>
            </w:r>
          </w:p>
        </w:tc>
        <w:tc>
          <w:tcPr>
            <w:tcW w:w="77" w:type="pct"/>
            <w:tcBorders>
              <w:top w:val="nil"/>
              <w:bottom w:val="nil"/>
            </w:tcBorders>
            <w:shd w:val="clear" w:color="auto" w:fill="auto"/>
            <w:vAlign w:val="center"/>
          </w:tcPr>
          <w:p w14:paraId="21E732C3"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3D932334"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111, DO 112, DO 113</w:t>
            </w:r>
          </w:p>
        </w:tc>
      </w:tr>
      <w:tr w:rsidR="00A47AF6" w:rsidRPr="00E42343" w14:paraId="5AEC2FD3" w14:textId="77777777" w:rsidTr="005B64FB">
        <w:trPr>
          <w:cantSplit/>
        </w:trPr>
        <w:tc>
          <w:tcPr>
            <w:tcW w:w="922" w:type="pct"/>
            <w:vMerge/>
            <w:shd w:val="clear" w:color="auto" w:fill="auto"/>
            <w:vAlign w:val="center"/>
          </w:tcPr>
          <w:p w14:paraId="188904AB"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5B84D60E"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1214D14C" w14:textId="77777777" w:rsidR="00A47AF6" w:rsidRPr="00E42343" w:rsidRDefault="00A47AF6" w:rsidP="00A47AF6">
            <w:pPr>
              <w:pStyle w:val="ListParagraph"/>
              <w:numPr>
                <w:ilvl w:val="1"/>
                <w:numId w:val="31"/>
              </w:numPr>
              <w:spacing w:before="60" w:after="60"/>
              <w:ind w:left="567" w:hanging="567"/>
              <w:jc w:val="left"/>
              <w:rPr>
                <w:rFonts w:ascii="Arial" w:hAnsi="Arial"/>
                <w:sz w:val="20"/>
                <w:szCs w:val="20"/>
              </w:rPr>
            </w:pPr>
            <w:r w:rsidRPr="00E42343">
              <w:rPr>
                <w:rFonts w:ascii="Arial" w:hAnsi="Arial"/>
                <w:sz w:val="20"/>
                <w:szCs w:val="20"/>
              </w:rPr>
              <w:t>Des activités ou des programmes de coopération spécifiques concernant le PCI sont initiés et mis en œuvre entre les diverses parties prenantes du PCI et les médias, y compris des activités de renforcement de capacités.</w:t>
            </w:r>
          </w:p>
        </w:tc>
        <w:tc>
          <w:tcPr>
            <w:tcW w:w="77" w:type="pct"/>
            <w:tcBorders>
              <w:top w:val="nil"/>
              <w:bottom w:val="nil"/>
            </w:tcBorders>
            <w:shd w:val="clear" w:color="auto" w:fill="auto"/>
            <w:vAlign w:val="center"/>
          </w:tcPr>
          <w:p w14:paraId="43AE0DE7"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075820BA" w14:textId="77777777" w:rsidR="00A47AF6" w:rsidRPr="00E42343" w:rsidRDefault="00A47AF6" w:rsidP="005C5ED5">
            <w:pPr>
              <w:spacing w:before="60" w:after="60"/>
              <w:rPr>
                <w:rFonts w:ascii="Arial" w:hAnsi="Arial" w:cs="Arial"/>
                <w:sz w:val="20"/>
                <w:szCs w:val="20"/>
              </w:rPr>
            </w:pPr>
          </w:p>
        </w:tc>
      </w:tr>
      <w:tr w:rsidR="00A47AF6" w:rsidRPr="00E42343" w14:paraId="5F1D7DC6" w14:textId="77777777" w:rsidTr="005B64FB">
        <w:trPr>
          <w:cantSplit/>
        </w:trPr>
        <w:tc>
          <w:tcPr>
            <w:tcW w:w="922" w:type="pct"/>
            <w:vMerge/>
            <w:shd w:val="clear" w:color="auto" w:fill="auto"/>
            <w:vAlign w:val="center"/>
          </w:tcPr>
          <w:p w14:paraId="31F38A98"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6718B3FF"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p>
        </w:tc>
        <w:tc>
          <w:tcPr>
            <w:tcW w:w="2453" w:type="pct"/>
            <w:shd w:val="clear" w:color="auto" w:fill="auto"/>
            <w:vAlign w:val="center"/>
          </w:tcPr>
          <w:p w14:paraId="39BE221E" w14:textId="77777777" w:rsidR="00A47AF6" w:rsidRPr="00E42343" w:rsidRDefault="00A47AF6" w:rsidP="00A47AF6">
            <w:pPr>
              <w:pStyle w:val="ListParagraph"/>
              <w:numPr>
                <w:ilvl w:val="1"/>
                <w:numId w:val="31"/>
              </w:numPr>
              <w:spacing w:before="60" w:after="60"/>
              <w:ind w:left="567" w:hanging="567"/>
              <w:jc w:val="left"/>
              <w:rPr>
                <w:rFonts w:ascii="Arial" w:hAnsi="Arial"/>
                <w:sz w:val="20"/>
                <w:szCs w:val="20"/>
              </w:rPr>
            </w:pPr>
            <w:r w:rsidRPr="00E42343">
              <w:rPr>
                <w:rFonts w:ascii="Arial" w:hAnsi="Arial"/>
                <w:sz w:val="20"/>
                <w:szCs w:val="20"/>
              </w:rPr>
              <w:t>La programmation des médias sur le PCI est inclusive, se fait dans les langues des communautés et groupes concernés et</w:t>
            </w:r>
            <w:r>
              <w:rPr>
                <w:rFonts w:ascii="Arial" w:hAnsi="Arial"/>
                <w:sz w:val="20"/>
                <w:szCs w:val="20"/>
              </w:rPr>
              <w:t>/ou</w:t>
            </w:r>
            <w:r w:rsidRPr="00E42343">
              <w:rPr>
                <w:rFonts w:ascii="Arial" w:hAnsi="Arial"/>
                <w:sz w:val="20"/>
                <w:szCs w:val="20"/>
              </w:rPr>
              <w:t xml:space="preserve"> vise les différents groupes cibles.</w:t>
            </w:r>
          </w:p>
        </w:tc>
        <w:tc>
          <w:tcPr>
            <w:tcW w:w="77" w:type="pct"/>
            <w:tcBorders>
              <w:top w:val="nil"/>
              <w:bottom w:val="nil"/>
            </w:tcBorders>
            <w:shd w:val="clear" w:color="auto" w:fill="auto"/>
            <w:vAlign w:val="center"/>
          </w:tcPr>
          <w:p w14:paraId="4E2FA2A1"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47ECA24"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112, DO 113</w:t>
            </w:r>
          </w:p>
        </w:tc>
      </w:tr>
      <w:tr w:rsidR="00A47AF6" w:rsidRPr="00E42343" w14:paraId="6CFEFEEB" w14:textId="77777777" w:rsidTr="005B64FB">
        <w:trPr>
          <w:cantSplit/>
        </w:trPr>
        <w:tc>
          <w:tcPr>
            <w:tcW w:w="922" w:type="pct"/>
            <w:vMerge/>
            <w:shd w:val="clear" w:color="auto" w:fill="auto"/>
            <w:vAlign w:val="center"/>
          </w:tcPr>
          <w:p w14:paraId="096F05B3"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033A65AB" w14:textId="77777777" w:rsidR="00A47AF6" w:rsidRPr="00E42343" w:rsidRDefault="00A47AF6" w:rsidP="005C5ED5">
            <w:pPr>
              <w:pStyle w:val="ListParagraph"/>
              <w:spacing w:before="60" w:after="60"/>
              <w:ind w:left="0"/>
              <w:rPr>
                <w:rFonts w:ascii="Arial" w:hAnsi="Arial"/>
                <w:sz w:val="20"/>
                <w:szCs w:val="20"/>
              </w:rPr>
            </w:pPr>
          </w:p>
        </w:tc>
        <w:tc>
          <w:tcPr>
            <w:tcW w:w="2453" w:type="pct"/>
            <w:shd w:val="clear" w:color="auto" w:fill="auto"/>
            <w:vAlign w:val="center"/>
          </w:tcPr>
          <w:p w14:paraId="725B0917" w14:textId="77777777" w:rsidR="00A47AF6" w:rsidRPr="00E42343" w:rsidRDefault="00A47AF6" w:rsidP="00A47AF6">
            <w:pPr>
              <w:pStyle w:val="ListParagraph"/>
              <w:numPr>
                <w:ilvl w:val="1"/>
                <w:numId w:val="31"/>
              </w:numPr>
              <w:spacing w:before="60" w:after="60"/>
              <w:ind w:left="567" w:hanging="567"/>
              <w:jc w:val="left"/>
              <w:rPr>
                <w:rFonts w:ascii="Arial" w:hAnsi="Arial"/>
                <w:sz w:val="20"/>
                <w:szCs w:val="20"/>
              </w:rPr>
            </w:pPr>
            <w:r w:rsidRPr="00E42343">
              <w:rPr>
                <w:rFonts w:ascii="Arial" w:hAnsi="Arial"/>
                <w:sz w:val="20"/>
                <w:szCs w:val="20"/>
              </w:rPr>
              <w:t>La couverture médiatique du patrimoine culturel immatériel et de sa sauvegarde est conforme aux concepts et à la terminologie de la Convention</w:t>
            </w:r>
          </w:p>
        </w:tc>
        <w:tc>
          <w:tcPr>
            <w:tcW w:w="77" w:type="pct"/>
            <w:tcBorders>
              <w:top w:val="nil"/>
              <w:bottom w:val="nil"/>
            </w:tcBorders>
            <w:shd w:val="clear" w:color="auto" w:fill="auto"/>
            <w:vAlign w:val="center"/>
          </w:tcPr>
          <w:p w14:paraId="2978AB80"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5580686" w14:textId="77777777" w:rsidR="00A47AF6" w:rsidRPr="00E42343" w:rsidRDefault="00A47AF6" w:rsidP="005C5ED5">
            <w:pPr>
              <w:spacing w:before="60" w:after="60"/>
              <w:rPr>
                <w:rFonts w:ascii="Arial" w:hAnsi="Arial" w:cs="Arial"/>
                <w:sz w:val="20"/>
                <w:szCs w:val="20"/>
              </w:rPr>
            </w:pPr>
          </w:p>
        </w:tc>
      </w:tr>
      <w:tr w:rsidR="00A47AF6" w:rsidRPr="00E42343" w14:paraId="5F2DEF3E" w14:textId="77777777" w:rsidTr="005B64FB">
        <w:trPr>
          <w:cantSplit/>
        </w:trPr>
        <w:tc>
          <w:tcPr>
            <w:tcW w:w="922" w:type="pct"/>
            <w:vMerge/>
            <w:shd w:val="clear" w:color="auto" w:fill="auto"/>
            <w:vAlign w:val="center"/>
          </w:tcPr>
          <w:p w14:paraId="0D867F13" w14:textId="77777777" w:rsidR="00A47AF6" w:rsidRPr="00E42343" w:rsidRDefault="00A47AF6" w:rsidP="005C5ED5">
            <w:pPr>
              <w:spacing w:before="60" w:after="60"/>
              <w:rPr>
                <w:rFonts w:ascii="Arial" w:hAnsi="Arial" w:cs="Arial"/>
                <w:b/>
                <w:sz w:val="20"/>
                <w:szCs w:val="20"/>
              </w:rPr>
            </w:pPr>
          </w:p>
        </w:tc>
        <w:tc>
          <w:tcPr>
            <w:tcW w:w="1003" w:type="pct"/>
            <w:vMerge w:val="restart"/>
            <w:shd w:val="clear" w:color="auto" w:fill="auto"/>
            <w:vAlign w:val="center"/>
          </w:tcPr>
          <w:p w14:paraId="7BC5BF8F" w14:textId="6666237F"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Mesure dans laquelle les actions d</w:t>
            </w:r>
            <w:r w:rsidR="005B64FB">
              <w:rPr>
                <w:rFonts w:ascii="Arial" w:hAnsi="Arial"/>
                <w:sz w:val="20"/>
                <w:szCs w:val="20"/>
              </w:rPr>
              <w:t>’</w:t>
            </w:r>
            <w:r w:rsidRPr="00E42343">
              <w:rPr>
                <w:rFonts w:ascii="Arial" w:hAnsi="Arial"/>
                <w:sz w:val="20"/>
                <w:szCs w:val="20"/>
              </w:rPr>
              <w:t>information du public sensibilisent à l</w:t>
            </w:r>
            <w:r w:rsidR="005B64FB">
              <w:rPr>
                <w:rFonts w:ascii="Arial" w:hAnsi="Arial"/>
                <w:sz w:val="20"/>
                <w:szCs w:val="20"/>
              </w:rPr>
              <w:t>’</w:t>
            </w:r>
            <w:r w:rsidRPr="00E42343">
              <w:rPr>
                <w:rFonts w:ascii="Arial" w:hAnsi="Arial"/>
                <w:sz w:val="20"/>
                <w:szCs w:val="20"/>
              </w:rPr>
              <w:t>importance du PCI et à sa sauvegarde et promeuvent la compréhension et le respect mutuel</w:t>
            </w:r>
          </w:p>
        </w:tc>
        <w:tc>
          <w:tcPr>
            <w:tcW w:w="2453" w:type="pct"/>
            <w:shd w:val="clear" w:color="auto" w:fill="auto"/>
            <w:vAlign w:val="center"/>
          </w:tcPr>
          <w:p w14:paraId="6C52D1F9" w14:textId="77777777" w:rsidR="00A47AF6" w:rsidRPr="00E42343" w:rsidRDefault="00A47AF6" w:rsidP="00A47AF6">
            <w:pPr>
              <w:pStyle w:val="ListParagraph"/>
              <w:numPr>
                <w:ilvl w:val="1"/>
                <w:numId w:val="32"/>
              </w:numPr>
              <w:spacing w:before="60" w:after="60"/>
              <w:ind w:left="567" w:hanging="567"/>
              <w:jc w:val="left"/>
              <w:rPr>
                <w:rFonts w:ascii="Arial" w:hAnsi="Arial"/>
                <w:vanish/>
                <w:sz w:val="20"/>
                <w:szCs w:val="20"/>
              </w:rPr>
            </w:pPr>
            <w:r w:rsidRPr="00E42343">
              <w:rPr>
                <w:rFonts w:ascii="Arial" w:hAnsi="Arial"/>
                <w:sz w:val="20"/>
                <w:szCs w:val="20"/>
              </w:rPr>
              <w:t xml:space="preserve">Les praticiens </w:t>
            </w:r>
            <w:r>
              <w:rPr>
                <w:rFonts w:ascii="Arial" w:hAnsi="Arial"/>
                <w:sz w:val="20"/>
                <w:szCs w:val="20"/>
              </w:rPr>
              <w:t xml:space="preserve">et les </w:t>
            </w:r>
            <w:r w:rsidRPr="00E42343">
              <w:rPr>
                <w:rFonts w:ascii="Arial" w:hAnsi="Arial"/>
                <w:sz w:val="20"/>
                <w:szCs w:val="20"/>
              </w:rPr>
              <w:t>détenteurs du PCI sont reconnus publiquement, sur une base inclusive, à travers des politiques et des programmes.</w:t>
            </w:r>
          </w:p>
        </w:tc>
        <w:tc>
          <w:tcPr>
            <w:tcW w:w="77" w:type="pct"/>
            <w:tcBorders>
              <w:top w:val="nil"/>
              <w:bottom w:val="nil"/>
            </w:tcBorders>
            <w:shd w:val="clear" w:color="auto" w:fill="auto"/>
            <w:vAlign w:val="center"/>
          </w:tcPr>
          <w:p w14:paraId="404E3591"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369DC1D"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105(d)</w:t>
            </w:r>
          </w:p>
        </w:tc>
      </w:tr>
      <w:tr w:rsidR="00A47AF6" w:rsidRPr="00E42343" w14:paraId="02B5497A" w14:textId="77777777" w:rsidTr="005B64FB">
        <w:trPr>
          <w:cantSplit/>
        </w:trPr>
        <w:tc>
          <w:tcPr>
            <w:tcW w:w="922" w:type="pct"/>
            <w:vMerge/>
            <w:shd w:val="clear" w:color="auto" w:fill="auto"/>
            <w:vAlign w:val="center"/>
          </w:tcPr>
          <w:p w14:paraId="00400BE6"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34151906"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p>
        </w:tc>
        <w:tc>
          <w:tcPr>
            <w:tcW w:w="2453" w:type="pct"/>
            <w:shd w:val="clear" w:color="auto" w:fill="auto"/>
            <w:vAlign w:val="center"/>
          </w:tcPr>
          <w:p w14:paraId="286DC3F0" w14:textId="7C329A5C" w:rsidR="00A47AF6" w:rsidRPr="00E42343" w:rsidRDefault="00A47AF6" w:rsidP="00A47AF6">
            <w:pPr>
              <w:pStyle w:val="ListParagraph"/>
              <w:numPr>
                <w:ilvl w:val="1"/>
                <w:numId w:val="32"/>
              </w:numPr>
              <w:spacing w:before="60" w:after="60"/>
              <w:ind w:left="567" w:hanging="567"/>
              <w:jc w:val="left"/>
              <w:rPr>
                <w:rFonts w:ascii="Arial" w:hAnsi="Arial"/>
                <w:sz w:val="20"/>
                <w:szCs w:val="20"/>
              </w:rPr>
            </w:pPr>
            <w:r w:rsidRPr="00E42343">
              <w:rPr>
                <w:rFonts w:ascii="Arial" w:hAnsi="Arial"/>
                <w:sz w:val="20"/>
                <w:szCs w:val="20"/>
              </w:rPr>
              <w:t>Des événements publics sur le PCI, son importance et sa sauvegarde, et sur la Convention, sont organisés à l</w:t>
            </w:r>
            <w:r w:rsidR="005B64FB">
              <w:rPr>
                <w:rFonts w:ascii="Arial" w:hAnsi="Arial"/>
                <w:sz w:val="20"/>
                <w:szCs w:val="20"/>
              </w:rPr>
              <w:t>’</w:t>
            </w:r>
            <w:r w:rsidRPr="00E42343">
              <w:rPr>
                <w:rFonts w:ascii="Arial" w:hAnsi="Arial"/>
                <w:sz w:val="20"/>
                <w:szCs w:val="20"/>
              </w:rPr>
              <w:t>intention des communautés, des groupes et des individus, du grand public, des chercheurs, des médias et d</w:t>
            </w:r>
            <w:r w:rsidR="005B64FB">
              <w:rPr>
                <w:rFonts w:ascii="Arial" w:hAnsi="Arial"/>
                <w:sz w:val="20"/>
                <w:szCs w:val="20"/>
              </w:rPr>
              <w:t>’</w:t>
            </w:r>
            <w:r w:rsidRPr="00E42343">
              <w:rPr>
                <w:rFonts w:ascii="Arial" w:hAnsi="Arial"/>
                <w:sz w:val="20"/>
                <w:szCs w:val="20"/>
              </w:rPr>
              <w:t>autres parties</w:t>
            </w:r>
            <w:r>
              <w:rPr>
                <w:rFonts w:ascii="Arial" w:hAnsi="Arial"/>
                <w:sz w:val="20"/>
                <w:szCs w:val="20"/>
              </w:rPr>
              <w:t xml:space="preserve"> prenantes</w:t>
            </w:r>
            <w:r w:rsidRPr="00E42343">
              <w:rPr>
                <w:rFonts w:ascii="Arial" w:hAnsi="Arial"/>
                <w:sz w:val="20"/>
                <w:szCs w:val="20"/>
              </w:rPr>
              <w:t>.</w:t>
            </w:r>
          </w:p>
        </w:tc>
        <w:tc>
          <w:tcPr>
            <w:tcW w:w="77" w:type="pct"/>
            <w:tcBorders>
              <w:top w:val="nil"/>
              <w:bottom w:val="nil"/>
            </w:tcBorders>
            <w:shd w:val="clear" w:color="auto" w:fill="auto"/>
            <w:vAlign w:val="center"/>
          </w:tcPr>
          <w:p w14:paraId="16029E5D"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7D8216E5"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105(b)</w:t>
            </w:r>
          </w:p>
        </w:tc>
      </w:tr>
      <w:tr w:rsidR="00A47AF6" w:rsidRPr="00E42343" w14:paraId="6632753F" w14:textId="77777777" w:rsidTr="005B64FB">
        <w:trPr>
          <w:cantSplit/>
        </w:trPr>
        <w:tc>
          <w:tcPr>
            <w:tcW w:w="922" w:type="pct"/>
            <w:vMerge/>
            <w:shd w:val="clear" w:color="auto" w:fill="auto"/>
            <w:vAlign w:val="center"/>
          </w:tcPr>
          <w:p w14:paraId="7FD09194"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7F6DC6D0"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317107A2" w14:textId="77777777" w:rsidR="00A47AF6" w:rsidRPr="00E42343" w:rsidRDefault="00A47AF6" w:rsidP="00A47AF6">
            <w:pPr>
              <w:pStyle w:val="ListParagraph"/>
              <w:numPr>
                <w:ilvl w:val="1"/>
                <w:numId w:val="32"/>
              </w:numPr>
              <w:spacing w:before="60" w:after="60"/>
              <w:ind w:left="567" w:hanging="567"/>
              <w:jc w:val="left"/>
              <w:rPr>
                <w:rFonts w:ascii="Arial" w:hAnsi="Arial"/>
                <w:sz w:val="20"/>
                <w:szCs w:val="20"/>
              </w:rPr>
            </w:pPr>
            <w:r w:rsidRPr="00E42343">
              <w:rPr>
                <w:rFonts w:ascii="Arial" w:hAnsi="Arial"/>
                <w:sz w:val="20"/>
                <w:szCs w:val="20"/>
              </w:rPr>
              <w:t>Les programmes de promotion et de diffusion de bonnes pratiques de sauvegarde sont encouragés</w:t>
            </w:r>
            <w:r>
              <w:rPr>
                <w:rFonts w:ascii="Arial" w:hAnsi="Arial"/>
                <w:sz w:val="20"/>
                <w:szCs w:val="20"/>
              </w:rPr>
              <w:t xml:space="preserve"> et </w:t>
            </w:r>
            <w:r w:rsidRPr="00E42343">
              <w:rPr>
                <w:rFonts w:ascii="Arial" w:hAnsi="Arial"/>
                <w:sz w:val="20"/>
                <w:szCs w:val="20"/>
              </w:rPr>
              <w:t>soutenus.</w:t>
            </w:r>
          </w:p>
        </w:tc>
        <w:tc>
          <w:tcPr>
            <w:tcW w:w="77" w:type="pct"/>
            <w:tcBorders>
              <w:top w:val="nil"/>
              <w:bottom w:val="nil"/>
            </w:tcBorders>
            <w:shd w:val="clear" w:color="auto" w:fill="auto"/>
            <w:vAlign w:val="center"/>
          </w:tcPr>
          <w:p w14:paraId="583EA53F"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76564217"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106</w:t>
            </w:r>
          </w:p>
        </w:tc>
      </w:tr>
      <w:tr w:rsidR="00A47AF6" w:rsidRPr="00E42343" w14:paraId="070C270A" w14:textId="77777777" w:rsidTr="00CF22C3">
        <w:trPr>
          <w:cantSplit/>
        </w:trPr>
        <w:tc>
          <w:tcPr>
            <w:tcW w:w="922" w:type="pct"/>
            <w:vMerge/>
            <w:shd w:val="clear" w:color="auto" w:fill="auto"/>
            <w:vAlign w:val="center"/>
          </w:tcPr>
          <w:p w14:paraId="38C8ECB2"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0F2D3758"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54B0D3CE" w14:textId="3F6474E3" w:rsidR="00A47AF6" w:rsidRPr="00E42343" w:rsidRDefault="00A47AF6" w:rsidP="00A47AF6">
            <w:pPr>
              <w:pStyle w:val="ListParagraph"/>
              <w:numPr>
                <w:ilvl w:val="1"/>
                <w:numId w:val="32"/>
              </w:numPr>
              <w:spacing w:before="60" w:after="60"/>
              <w:ind w:left="567" w:hanging="567"/>
              <w:jc w:val="left"/>
              <w:rPr>
                <w:rFonts w:ascii="Arial" w:hAnsi="Arial"/>
                <w:sz w:val="20"/>
                <w:szCs w:val="20"/>
              </w:rPr>
            </w:pPr>
            <w:r w:rsidRPr="00E42343">
              <w:rPr>
                <w:rFonts w:ascii="Arial" w:hAnsi="Arial"/>
                <w:sz w:val="20"/>
                <w:szCs w:val="20"/>
              </w:rPr>
              <w:t>L</w:t>
            </w:r>
            <w:r w:rsidR="005B64FB">
              <w:rPr>
                <w:rFonts w:ascii="Arial" w:hAnsi="Arial"/>
                <w:sz w:val="20"/>
                <w:szCs w:val="20"/>
              </w:rPr>
              <w:t>’</w:t>
            </w:r>
            <w:r w:rsidRPr="00E42343">
              <w:rPr>
                <w:rFonts w:ascii="Arial" w:hAnsi="Arial"/>
                <w:sz w:val="20"/>
                <w:szCs w:val="20"/>
              </w:rPr>
              <w:t>information du public sur le PCI promeut le respect et l</w:t>
            </w:r>
            <w:r w:rsidR="005B64FB">
              <w:rPr>
                <w:rFonts w:ascii="Arial" w:hAnsi="Arial"/>
                <w:sz w:val="20"/>
                <w:szCs w:val="20"/>
              </w:rPr>
              <w:t>’</w:t>
            </w:r>
            <w:r w:rsidRPr="00E42343">
              <w:rPr>
                <w:rFonts w:ascii="Arial" w:hAnsi="Arial"/>
                <w:sz w:val="20"/>
                <w:szCs w:val="20"/>
              </w:rPr>
              <w:t>appréciation mutuels au sein et entre les communautés et les groupes.</w:t>
            </w:r>
          </w:p>
        </w:tc>
        <w:tc>
          <w:tcPr>
            <w:tcW w:w="77" w:type="pct"/>
            <w:tcBorders>
              <w:top w:val="nil"/>
              <w:bottom w:val="nil"/>
            </w:tcBorders>
            <w:shd w:val="clear" w:color="auto" w:fill="auto"/>
            <w:vAlign w:val="center"/>
          </w:tcPr>
          <w:p w14:paraId="1EBA5F74"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6EECA1E8" w14:textId="77777777" w:rsidR="00A47AF6" w:rsidRPr="00E42343" w:rsidRDefault="00A47AF6" w:rsidP="005C5ED5">
            <w:pPr>
              <w:spacing w:before="60" w:after="60"/>
              <w:rPr>
                <w:rFonts w:ascii="Arial" w:hAnsi="Arial" w:cs="Arial"/>
                <w:sz w:val="20"/>
                <w:szCs w:val="20"/>
              </w:rPr>
            </w:pPr>
          </w:p>
        </w:tc>
      </w:tr>
      <w:tr w:rsidR="00A47AF6" w:rsidRPr="00E42343" w14:paraId="066E5D0E" w14:textId="77777777" w:rsidTr="00CF22C3">
        <w:trPr>
          <w:cantSplit/>
          <w:trHeight w:val="683"/>
        </w:trPr>
        <w:tc>
          <w:tcPr>
            <w:tcW w:w="922" w:type="pct"/>
            <w:vMerge/>
            <w:shd w:val="clear" w:color="auto" w:fill="auto"/>
            <w:vAlign w:val="center"/>
          </w:tcPr>
          <w:p w14:paraId="78425184" w14:textId="77777777" w:rsidR="00A47AF6" w:rsidRPr="00E42343" w:rsidRDefault="00A47AF6" w:rsidP="005C5ED5">
            <w:pPr>
              <w:spacing w:before="60" w:after="60"/>
              <w:rPr>
                <w:rFonts w:ascii="Arial" w:hAnsi="Arial" w:cs="Arial"/>
                <w:b/>
                <w:sz w:val="20"/>
                <w:szCs w:val="20"/>
              </w:rPr>
            </w:pPr>
          </w:p>
        </w:tc>
        <w:tc>
          <w:tcPr>
            <w:tcW w:w="1003" w:type="pct"/>
            <w:vMerge w:val="restart"/>
            <w:shd w:val="clear" w:color="auto" w:fill="auto"/>
            <w:vAlign w:val="center"/>
          </w:tcPr>
          <w:p w14:paraId="233E3F93"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 xml:space="preserve">Mesure dans laquelle les programmes de sensibilisation sur le PCI respectent </w:t>
            </w:r>
            <w:r>
              <w:rPr>
                <w:rFonts w:ascii="Arial" w:hAnsi="Arial"/>
                <w:sz w:val="20"/>
                <w:szCs w:val="20"/>
              </w:rPr>
              <w:t>les</w:t>
            </w:r>
            <w:r w:rsidRPr="00E42343">
              <w:rPr>
                <w:rFonts w:ascii="Arial" w:hAnsi="Arial"/>
                <w:sz w:val="20"/>
                <w:szCs w:val="20"/>
              </w:rPr>
              <w:t xml:space="preserve"> principes éthiques</w:t>
            </w:r>
            <w:r>
              <w:rPr>
                <w:rFonts w:ascii="Arial" w:hAnsi="Arial"/>
                <w:sz w:val="20"/>
                <w:szCs w:val="20"/>
              </w:rPr>
              <w:t xml:space="preserve"> pertinents</w:t>
            </w:r>
          </w:p>
        </w:tc>
        <w:tc>
          <w:tcPr>
            <w:tcW w:w="2453" w:type="pct"/>
            <w:shd w:val="clear" w:color="auto" w:fill="auto"/>
            <w:vAlign w:val="center"/>
          </w:tcPr>
          <w:p w14:paraId="26199F61" w14:textId="77777777" w:rsidR="00A47AF6" w:rsidRPr="00E42343" w:rsidRDefault="00A47AF6" w:rsidP="00A47AF6">
            <w:pPr>
              <w:pStyle w:val="ListParagraph"/>
              <w:numPr>
                <w:ilvl w:val="1"/>
                <w:numId w:val="33"/>
              </w:numPr>
              <w:spacing w:before="60" w:after="60"/>
              <w:ind w:left="567" w:hanging="567"/>
              <w:jc w:val="left"/>
              <w:rPr>
                <w:rFonts w:ascii="Arial" w:hAnsi="Arial"/>
                <w:vanish/>
                <w:sz w:val="20"/>
                <w:szCs w:val="20"/>
              </w:rPr>
            </w:pPr>
            <w:r w:rsidRPr="00E42343">
              <w:rPr>
                <w:rFonts w:ascii="Arial" w:hAnsi="Arial"/>
                <w:sz w:val="20"/>
                <w:szCs w:val="20"/>
              </w:rPr>
              <w:t>Les Principes éthiques pour la sauvegarde du PCI sont respectés dans les activités de sensibilisation.</w:t>
            </w:r>
          </w:p>
        </w:tc>
        <w:tc>
          <w:tcPr>
            <w:tcW w:w="77" w:type="pct"/>
            <w:tcBorders>
              <w:top w:val="nil"/>
              <w:bottom w:val="nil"/>
            </w:tcBorders>
            <w:shd w:val="clear" w:color="auto" w:fill="auto"/>
            <w:vAlign w:val="center"/>
          </w:tcPr>
          <w:p w14:paraId="40040FD3"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76DFE558"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PE</w:t>
            </w:r>
          </w:p>
        </w:tc>
      </w:tr>
      <w:tr w:rsidR="00A47AF6" w:rsidRPr="00E42343" w14:paraId="15F4FD0D" w14:textId="77777777" w:rsidTr="00CF22C3">
        <w:trPr>
          <w:cantSplit/>
          <w:trHeight w:val="692"/>
        </w:trPr>
        <w:tc>
          <w:tcPr>
            <w:tcW w:w="922" w:type="pct"/>
            <w:vMerge/>
            <w:tcBorders>
              <w:bottom w:val="single" w:sz="4" w:space="0" w:color="auto"/>
            </w:tcBorders>
            <w:shd w:val="clear" w:color="auto" w:fill="auto"/>
            <w:vAlign w:val="center"/>
          </w:tcPr>
          <w:p w14:paraId="52F48DC5" w14:textId="77777777" w:rsidR="00A47AF6" w:rsidRPr="00E42343" w:rsidRDefault="00A47AF6" w:rsidP="005C5ED5">
            <w:pPr>
              <w:spacing w:before="60" w:after="60"/>
              <w:rPr>
                <w:rFonts w:ascii="Arial" w:hAnsi="Arial" w:cs="Arial"/>
                <w:b/>
                <w:sz w:val="20"/>
                <w:szCs w:val="20"/>
              </w:rPr>
            </w:pPr>
          </w:p>
        </w:tc>
        <w:tc>
          <w:tcPr>
            <w:tcW w:w="1003" w:type="pct"/>
            <w:vMerge/>
            <w:tcBorders>
              <w:bottom w:val="single" w:sz="4" w:space="0" w:color="auto"/>
            </w:tcBorders>
            <w:shd w:val="clear" w:color="auto" w:fill="auto"/>
            <w:vAlign w:val="center"/>
          </w:tcPr>
          <w:p w14:paraId="0AEF9470"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tcBorders>
              <w:bottom w:val="single" w:sz="4" w:space="0" w:color="auto"/>
            </w:tcBorders>
            <w:shd w:val="clear" w:color="auto" w:fill="auto"/>
            <w:vAlign w:val="center"/>
          </w:tcPr>
          <w:p w14:paraId="241E464F" w14:textId="77777777" w:rsidR="00A47AF6" w:rsidRPr="00E42343" w:rsidRDefault="00A47AF6" w:rsidP="00A47AF6">
            <w:pPr>
              <w:pStyle w:val="ListParagraph"/>
              <w:numPr>
                <w:ilvl w:val="1"/>
                <w:numId w:val="33"/>
              </w:numPr>
              <w:spacing w:before="60" w:after="60"/>
              <w:ind w:left="567" w:hanging="567"/>
              <w:jc w:val="left"/>
              <w:rPr>
                <w:rFonts w:ascii="Arial" w:hAnsi="Arial"/>
                <w:sz w:val="20"/>
                <w:szCs w:val="20"/>
              </w:rPr>
            </w:pPr>
            <w:r w:rsidRPr="00E42343">
              <w:rPr>
                <w:rFonts w:ascii="Arial" w:hAnsi="Arial"/>
                <w:sz w:val="20"/>
                <w:szCs w:val="20"/>
              </w:rPr>
              <w:t>Les principes éthiques, en particulier ceux consignés dans des codes ou des normes de déontologie professionnelle pertinents, sont respectés dans le cadre des activités de sensibilisation.</w:t>
            </w:r>
          </w:p>
        </w:tc>
        <w:tc>
          <w:tcPr>
            <w:tcW w:w="77" w:type="pct"/>
            <w:tcBorders>
              <w:top w:val="nil"/>
              <w:bottom w:val="nil"/>
            </w:tcBorders>
            <w:shd w:val="clear" w:color="auto" w:fill="auto"/>
            <w:vAlign w:val="center"/>
          </w:tcPr>
          <w:p w14:paraId="387C1253" w14:textId="77777777" w:rsidR="00A47AF6" w:rsidRPr="00E42343" w:rsidRDefault="00A47AF6" w:rsidP="005C5ED5">
            <w:pPr>
              <w:spacing w:before="60" w:after="60"/>
              <w:rPr>
                <w:rFonts w:ascii="Arial" w:hAnsi="Arial" w:cs="Arial"/>
                <w:sz w:val="20"/>
                <w:szCs w:val="20"/>
              </w:rPr>
            </w:pPr>
          </w:p>
        </w:tc>
        <w:tc>
          <w:tcPr>
            <w:tcW w:w="545" w:type="pct"/>
            <w:tcBorders>
              <w:bottom w:val="single" w:sz="4" w:space="0" w:color="auto"/>
            </w:tcBorders>
            <w:shd w:val="clear" w:color="auto" w:fill="auto"/>
            <w:vAlign w:val="center"/>
          </w:tcPr>
          <w:p w14:paraId="0AD7DAE3"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103</w:t>
            </w:r>
          </w:p>
        </w:tc>
      </w:tr>
      <w:tr w:rsidR="00A47AF6" w:rsidRPr="00FD44C6" w14:paraId="4D9CABD2" w14:textId="77777777" w:rsidTr="00CF22C3">
        <w:trPr>
          <w:cantSplit/>
        </w:trPr>
        <w:tc>
          <w:tcPr>
            <w:tcW w:w="922" w:type="pct"/>
            <w:vMerge w:val="restart"/>
            <w:shd w:val="clear" w:color="auto" w:fill="auto"/>
            <w:vAlign w:val="center"/>
          </w:tcPr>
          <w:p w14:paraId="729C933E" w14:textId="6D0ECB10" w:rsidR="00A47AF6" w:rsidRPr="00E42343" w:rsidRDefault="00A47AF6" w:rsidP="005C5ED5">
            <w:pPr>
              <w:spacing w:before="60" w:after="60"/>
              <w:rPr>
                <w:rFonts w:ascii="Arial" w:hAnsi="Arial" w:cs="Arial"/>
                <w:b/>
                <w:sz w:val="20"/>
                <w:szCs w:val="20"/>
              </w:rPr>
            </w:pPr>
            <w:r w:rsidRPr="00E42343">
              <w:rPr>
                <w:rFonts w:ascii="Arial" w:hAnsi="Arial" w:cs="Arial"/>
                <w:b/>
                <w:sz w:val="20"/>
                <w:szCs w:val="20"/>
              </w:rPr>
              <w:t xml:space="preserve">Engagement des communautés, groupes et individus ainsi que </w:t>
            </w:r>
            <w:r>
              <w:rPr>
                <w:rFonts w:ascii="Arial" w:hAnsi="Arial" w:cs="Arial"/>
                <w:b/>
                <w:sz w:val="20"/>
                <w:szCs w:val="20"/>
              </w:rPr>
              <w:t>d</w:t>
            </w:r>
            <w:r w:rsidR="005B64FB">
              <w:rPr>
                <w:rFonts w:ascii="Arial" w:hAnsi="Arial" w:cs="Arial"/>
                <w:b/>
                <w:sz w:val="20"/>
                <w:szCs w:val="20"/>
              </w:rPr>
              <w:t>’</w:t>
            </w:r>
            <w:r>
              <w:rPr>
                <w:rFonts w:ascii="Arial" w:hAnsi="Arial" w:cs="Arial"/>
                <w:b/>
                <w:sz w:val="20"/>
                <w:szCs w:val="20"/>
              </w:rPr>
              <w:t>autres parties prenantes</w:t>
            </w:r>
          </w:p>
        </w:tc>
        <w:tc>
          <w:tcPr>
            <w:tcW w:w="1003" w:type="pct"/>
            <w:vMerge w:val="restart"/>
            <w:shd w:val="clear" w:color="auto" w:fill="auto"/>
            <w:vAlign w:val="center"/>
          </w:tcPr>
          <w:p w14:paraId="7BC9A236" w14:textId="39CA41B0"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Mesure dans laquelle l</w:t>
            </w:r>
            <w:r w:rsidR="005B64FB">
              <w:rPr>
                <w:rFonts w:ascii="Arial" w:hAnsi="Arial"/>
                <w:sz w:val="20"/>
                <w:szCs w:val="20"/>
              </w:rPr>
              <w:t>’</w:t>
            </w:r>
            <w:r w:rsidRPr="00E42343">
              <w:rPr>
                <w:rFonts w:ascii="Arial" w:hAnsi="Arial"/>
                <w:sz w:val="20"/>
                <w:szCs w:val="20"/>
              </w:rPr>
              <w:t>engagement pour la sauvegarde du PCI est renforcé au sein des parties prenantes</w:t>
            </w:r>
          </w:p>
        </w:tc>
        <w:tc>
          <w:tcPr>
            <w:tcW w:w="2453" w:type="pct"/>
            <w:shd w:val="clear" w:color="auto" w:fill="auto"/>
            <w:vAlign w:val="center"/>
          </w:tcPr>
          <w:p w14:paraId="0160F904" w14:textId="796B7BD4" w:rsidR="00A47AF6" w:rsidRPr="00E42343" w:rsidRDefault="00A47AF6" w:rsidP="00A47AF6">
            <w:pPr>
              <w:pStyle w:val="ListParagraph"/>
              <w:numPr>
                <w:ilvl w:val="1"/>
                <w:numId w:val="34"/>
              </w:numPr>
              <w:spacing w:before="60" w:after="60"/>
              <w:ind w:left="567" w:hanging="567"/>
              <w:jc w:val="left"/>
              <w:rPr>
                <w:rFonts w:ascii="Arial" w:hAnsi="Arial"/>
                <w:vanish/>
                <w:sz w:val="20"/>
                <w:szCs w:val="20"/>
              </w:rPr>
            </w:pPr>
            <w:r w:rsidRPr="00E42343">
              <w:rPr>
                <w:rFonts w:ascii="Arial" w:hAnsi="Arial"/>
                <w:sz w:val="20"/>
                <w:szCs w:val="20"/>
              </w:rPr>
              <w:t>Les communautés, les groupes et les individus participent, sur une base inclusive et dans toute la mesure du possible, à la sauvegarde du PCI en général et des éléments spécifiques dudit patrimoine, qu</w:t>
            </w:r>
            <w:r w:rsidR="005B64FB">
              <w:rPr>
                <w:rFonts w:ascii="Arial" w:hAnsi="Arial"/>
                <w:sz w:val="20"/>
                <w:szCs w:val="20"/>
              </w:rPr>
              <w:t>’</w:t>
            </w:r>
            <w:r w:rsidRPr="00E42343">
              <w:rPr>
                <w:rFonts w:ascii="Arial" w:hAnsi="Arial"/>
                <w:sz w:val="20"/>
                <w:szCs w:val="20"/>
              </w:rPr>
              <w:t>ils soient inscrits ou non.</w:t>
            </w:r>
          </w:p>
        </w:tc>
        <w:tc>
          <w:tcPr>
            <w:tcW w:w="77" w:type="pct"/>
            <w:tcBorders>
              <w:top w:val="nil"/>
              <w:bottom w:val="nil"/>
            </w:tcBorders>
            <w:shd w:val="clear" w:color="auto" w:fill="auto"/>
            <w:vAlign w:val="center"/>
          </w:tcPr>
          <w:p w14:paraId="003DCAA0"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D930A21"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Article 15</w:t>
            </w:r>
          </w:p>
          <w:p w14:paraId="6CF88D8E"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DO 1, DO 2, DO 7</w:t>
            </w:r>
            <w:r>
              <w:rPr>
                <w:rFonts w:ascii="Arial" w:hAnsi="Arial" w:cs="Arial"/>
                <w:sz w:val="20"/>
                <w:szCs w:val="20"/>
                <w:lang w:val="en-GB"/>
              </w:rPr>
              <w:t xml:space="preserve">, </w:t>
            </w:r>
            <w:r w:rsidRPr="00E42343">
              <w:rPr>
                <w:rFonts w:ascii="Arial" w:hAnsi="Arial" w:cs="Arial"/>
                <w:sz w:val="20"/>
                <w:szCs w:val="20"/>
                <w:lang w:val="en-GB"/>
              </w:rPr>
              <w:t>DO 79</w:t>
            </w:r>
            <w:r>
              <w:rPr>
                <w:rFonts w:ascii="Arial" w:hAnsi="Arial" w:cs="Arial"/>
                <w:sz w:val="20"/>
                <w:szCs w:val="20"/>
                <w:lang w:val="en-GB"/>
              </w:rPr>
              <w:t>,</w:t>
            </w:r>
            <w:r>
              <w:rPr>
                <w:rFonts w:ascii="Arial" w:hAnsi="Arial" w:cs="Arial"/>
                <w:sz w:val="20"/>
                <w:szCs w:val="20"/>
                <w:lang w:val="en-GB"/>
              </w:rPr>
              <w:br/>
            </w:r>
            <w:r w:rsidRPr="00E42343">
              <w:rPr>
                <w:rFonts w:ascii="Arial" w:hAnsi="Arial" w:cs="Arial"/>
                <w:sz w:val="20"/>
                <w:szCs w:val="20"/>
                <w:lang w:val="en-GB"/>
              </w:rPr>
              <w:t>DO 101(b)</w:t>
            </w:r>
            <w:r>
              <w:rPr>
                <w:rFonts w:ascii="Arial" w:hAnsi="Arial" w:cs="Arial"/>
                <w:sz w:val="20"/>
                <w:szCs w:val="20"/>
                <w:lang w:val="en-GB"/>
              </w:rPr>
              <w:t xml:space="preserve">, </w:t>
            </w:r>
            <w:r>
              <w:rPr>
                <w:rFonts w:ascii="Arial" w:hAnsi="Arial" w:cs="Arial"/>
                <w:sz w:val="20"/>
                <w:szCs w:val="20"/>
                <w:lang w:val="en-GB"/>
              </w:rPr>
              <w:br/>
            </w:r>
            <w:r w:rsidRPr="00E42343">
              <w:rPr>
                <w:rFonts w:ascii="Arial" w:hAnsi="Arial" w:cs="Arial"/>
                <w:sz w:val="20"/>
                <w:szCs w:val="20"/>
                <w:lang w:val="en-GB"/>
              </w:rPr>
              <w:t>DO 171(a)</w:t>
            </w:r>
          </w:p>
          <w:p w14:paraId="165B74CD"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PE 1, PE 2, PE 9</w:t>
            </w:r>
          </w:p>
        </w:tc>
      </w:tr>
      <w:tr w:rsidR="00A47AF6" w:rsidRPr="00357839" w14:paraId="3C7BA04E" w14:textId="77777777" w:rsidTr="005B64FB">
        <w:trPr>
          <w:cantSplit/>
        </w:trPr>
        <w:tc>
          <w:tcPr>
            <w:tcW w:w="922" w:type="pct"/>
            <w:vMerge/>
            <w:shd w:val="clear" w:color="auto" w:fill="auto"/>
            <w:vAlign w:val="center"/>
          </w:tcPr>
          <w:p w14:paraId="0E787ED8" w14:textId="77777777" w:rsidR="00A47AF6" w:rsidRPr="00E42343" w:rsidRDefault="00A47AF6" w:rsidP="005C5ED5">
            <w:pPr>
              <w:spacing w:before="60" w:after="60"/>
              <w:rPr>
                <w:rFonts w:ascii="Arial" w:hAnsi="Arial" w:cs="Arial"/>
                <w:b/>
                <w:sz w:val="20"/>
                <w:szCs w:val="20"/>
                <w:lang w:val="en-GB"/>
              </w:rPr>
            </w:pPr>
          </w:p>
        </w:tc>
        <w:tc>
          <w:tcPr>
            <w:tcW w:w="1003" w:type="pct"/>
            <w:vMerge/>
            <w:shd w:val="clear" w:color="auto" w:fill="auto"/>
            <w:vAlign w:val="center"/>
          </w:tcPr>
          <w:p w14:paraId="3FA6D8FE"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7EDF6EC6" w14:textId="384F13D7" w:rsidR="00A47AF6" w:rsidRPr="00E42343" w:rsidRDefault="00A47AF6" w:rsidP="00A47AF6">
            <w:pPr>
              <w:pStyle w:val="ListParagraph"/>
              <w:numPr>
                <w:ilvl w:val="1"/>
                <w:numId w:val="34"/>
              </w:numPr>
              <w:spacing w:before="60" w:after="60"/>
              <w:ind w:left="567" w:hanging="567"/>
              <w:jc w:val="left"/>
              <w:rPr>
                <w:rFonts w:ascii="Arial" w:hAnsi="Arial"/>
                <w:sz w:val="20"/>
                <w:szCs w:val="20"/>
              </w:rPr>
            </w:pPr>
            <w:r w:rsidRPr="00E42343">
              <w:rPr>
                <w:rFonts w:ascii="Arial" w:hAnsi="Arial"/>
                <w:sz w:val="20"/>
                <w:szCs w:val="20"/>
              </w:rPr>
              <w:t>Des ONG et d</w:t>
            </w:r>
            <w:r w:rsidR="005B64FB">
              <w:rPr>
                <w:rFonts w:ascii="Arial" w:hAnsi="Arial"/>
                <w:sz w:val="20"/>
                <w:szCs w:val="20"/>
              </w:rPr>
              <w:t>’</w:t>
            </w:r>
            <w:r w:rsidRPr="00E42343">
              <w:rPr>
                <w:rFonts w:ascii="Arial" w:hAnsi="Arial"/>
                <w:sz w:val="20"/>
                <w:szCs w:val="20"/>
              </w:rPr>
              <w:t>autres acteurs de la société civile participent à la sauvegarde du PCI en général, et des éléments spécifiques dudit patrimoine, qu</w:t>
            </w:r>
            <w:r w:rsidR="005B64FB">
              <w:rPr>
                <w:rFonts w:ascii="Arial" w:hAnsi="Arial"/>
                <w:sz w:val="20"/>
                <w:szCs w:val="20"/>
              </w:rPr>
              <w:t>’</w:t>
            </w:r>
            <w:r w:rsidRPr="00E42343">
              <w:rPr>
                <w:rFonts w:ascii="Arial" w:hAnsi="Arial"/>
                <w:sz w:val="20"/>
                <w:szCs w:val="20"/>
              </w:rPr>
              <w:t>ils soient inscrits ou non.</w:t>
            </w:r>
          </w:p>
        </w:tc>
        <w:tc>
          <w:tcPr>
            <w:tcW w:w="77" w:type="pct"/>
            <w:tcBorders>
              <w:top w:val="nil"/>
              <w:bottom w:val="nil"/>
            </w:tcBorders>
            <w:shd w:val="clear" w:color="auto" w:fill="auto"/>
            <w:vAlign w:val="center"/>
          </w:tcPr>
          <w:p w14:paraId="5CA98E59"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6FC6E63D" w14:textId="77777777" w:rsidR="00A47AF6" w:rsidRPr="00E42343" w:rsidRDefault="00A47AF6" w:rsidP="005C5ED5">
            <w:pPr>
              <w:spacing w:before="60" w:after="60"/>
              <w:rPr>
                <w:rFonts w:ascii="Arial" w:hAnsi="Arial" w:cs="Arial"/>
                <w:sz w:val="20"/>
                <w:szCs w:val="20"/>
                <w:lang w:val="en-GB"/>
              </w:rPr>
            </w:pPr>
            <w:r w:rsidRPr="00E42343">
              <w:rPr>
                <w:rFonts w:ascii="Arial" w:hAnsi="Arial" w:cs="Arial"/>
                <w:sz w:val="20"/>
                <w:szCs w:val="20"/>
                <w:lang w:val="en-GB"/>
              </w:rPr>
              <w:t>DO 90</w:t>
            </w:r>
            <w:r>
              <w:rPr>
                <w:rFonts w:ascii="Arial" w:hAnsi="Arial" w:cs="Arial"/>
                <w:sz w:val="20"/>
                <w:szCs w:val="20"/>
                <w:lang w:val="en-GB"/>
              </w:rPr>
              <w:t xml:space="preserve">, </w:t>
            </w:r>
            <w:r>
              <w:rPr>
                <w:rFonts w:ascii="Arial" w:hAnsi="Arial" w:cs="Arial"/>
                <w:sz w:val="20"/>
                <w:szCs w:val="20"/>
                <w:lang w:val="en-GB"/>
              </w:rPr>
              <w:br/>
            </w:r>
            <w:r w:rsidRPr="00E42343">
              <w:rPr>
                <w:rFonts w:ascii="Arial" w:hAnsi="Arial" w:cs="Arial"/>
                <w:sz w:val="20"/>
                <w:szCs w:val="20"/>
                <w:lang w:val="en-GB"/>
              </w:rPr>
              <w:t>DO 108</w:t>
            </w:r>
            <w:r>
              <w:rPr>
                <w:rFonts w:ascii="Arial" w:hAnsi="Arial" w:cs="Arial"/>
                <w:sz w:val="20"/>
                <w:szCs w:val="20"/>
                <w:lang w:val="en-GB"/>
              </w:rPr>
              <w:t xml:space="preserve">, </w:t>
            </w:r>
            <w:r>
              <w:rPr>
                <w:rFonts w:ascii="Arial" w:hAnsi="Arial" w:cs="Arial"/>
                <w:sz w:val="20"/>
                <w:szCs w:val="20"/>
                <w:lang w:val="en-GB"/>
              </w:rPr>
              <w:br/>
            </w:r>
            <w:r w:rsidRPr="00E42343">
              <w:rPr>
                <w:rFonts w:ascii="Arial" w:hAnsi="Arial" w:cs="Arial"/>
                <w:sz w:val="20"/>
                <w:szCs w:val="20"/>
                <w:lang w:val="en-GB"/>
              </w:rPr>
              <w:t>DO 157(e), DO 158(b), DO 162(d), DO 163(b)</w:t>
            </w:r>
          </w:p>
        </w:tc>
      </w:tr>
      <w:tr w:rsidR="00A47AF6" w:rsidRPr="00E42343" w14:paraId="14004453" w14:textId="77777777" w:rsidTr="005B64FB">
        <w:trPr>
          <w:cantSplit/>
        </w:trPr>
        <w:tc>
          <w:tcPr>
            <w:tcW w:w="922" w:type="pct"/>
            <w:vMerge/>
            <w:shd w:val="clear" w:color="auto" w:fill="auto"/>
            <w:vAlign w:val="center"/>
          </w:tcPr>
          <w:p w14:paraId="6DC1AAC6" w14:textId="77777777" w:rsidR="00A47AF6" w:rsidRPr="00E42343" w:rsidRDefault="00A47AF6" w:rsidP="005C5ED5">
            <w:pPr>
              <w:spacing w:before="60" w:after="60"/>
              <w:rPr>
                <w:rFonts w:ascii="Arial" w:hAnsi="Arial" w:cs="Arial"/>
                <w:b/>
                <w:sz w:val="20"/>
                <w:szCs w:val="20"/>
                <w:lang w:val="en-GB"/>
              </w:rPr>
            </w:pPr>
          </w:p>
        </w:tc>
        <w:tc>
          <w:tcPr>
            <w:tcW w:w="1003" w:type="pct"/>
            <w:vMerge/>
            <w:shd w:val="clear" w:color="auto" w:fill="auto"/>
            <w:vAlign w:val="center"/>
          </w:tcPr>
          <w:p w14:paraId="39C150FC"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484CB27B" w14:textId="6BE8F37A" w:rsidR="00A47AF6" w:rsidRPr="00E42343" w:rsidRDefault="00A47AF6" w:rsidP="00A47AF6">
            <w:pPr>
              <w:pStyle w:val="ListParagraph"/>
              <w:numPr>
                <w:ilvl w:val="1"/>
                <w:numId w:val="34"/>
              </w:numPr>
              <w:spacing w:before="60" w:after="60"/>
              <w:ind w:left="567" w:hanging="567"/>
              <w:jc w:val="left"/>
              <w:rPr>
                <w:rFonts w:ascii="Arial" w:hAnsi="Arial"/>
                <w:sz w:val="20"/>
                <w:szCs w:val="20"/>
              </w:rPr>
            </w:pPr>
            <w:r w:rsidRPr="00E42343">
              <w:rPr>
                <w:rFonts w:ascii="Arial" w:hAnsi="Arial"/>
                <w:sz w:val="20"/>
                <w:szCs w:val="20"/>
              </w:rPr>
              <w:t>Des entités du secteur privé participent à la sauvegarde du PCI et des éléments spécifiques dudit patrimoine, qu</w:t>
            </w:r>
            <w:r w:rsidR="005B64FB">
              <w:rPr>
                <w:rFonts w:ascii="Arial" w:hAnsi="Arial"/>
                <w:sz w:val="20"/>
                <w:szCs w:val="20"/>
              </w:rPr>
              <w:t>’</w:t>
            </w:r>
            <w:r w:rsidRPr="00E42343">
              <w:rPr>
                <w:rFonts w:ascii="Arial" w:hAnsi="Arial"/>
                <w:sz w:val="20"/>
                <w:szCs w:val="20"/>
              </w:rPr>
              <w:t>ils soient inscrits ou non, en respectant les Principes éthiques pour la sauvegarde du PCI.</w:t>
            </w:r>
          </w:p>
        </w:tc>
        <w:tc>
          <w:tcPr>
            <w:tcW w:w="77" w:type="pct"/>
            <w:tcBorders>
              <w:top w:val="nil"/>
              <w:bottom w:val="nil"/>
            </w:tcBorders>
            <w:shd w:val="clear" w:color="auto" w:fill="auto"/>
            <w:vAlign w:val="center"/>
          </w:tcPr>
          <w:p w14:paraId="4167F7D8"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4C9BE72B"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187</w:t>
            </w:r>
          </w:p>
        </w:tc>
      </w:tr>
      <w:tr w:rsidR="00A47AF6" w:rsidRPr="00E42343" w14:paraId="1165166C" w14:textId="77777777" w:rsidTr="005B64FB">
        <w:trPr>
          <w:cantSplit/>
        </w:trPr>
        <w:tc>
          <w:tcPr>
            <w:tcW w:w="922" w:type="pct"/>
            <w:vMerge/>
            <w:shd w:val="clear" w:color="auto" w:fill="auto"/>
            <w:vAlign w:val="center"/>
          </w:tcPr>
          <w:p w14:paraId="6949E69D" w14:textId="77777777" w:rsidR="00A47AF6" w:rsidRPr="00E42343" w:rsidRDefault="00A47AF6" w:rsidP="005C5ED5">
            <w:pPr>
              <w:spacing w:before="60" w:after="60"/>
              <w:rPr>
                <w:rFonts w:ascii="Arial" w:hAnsi="Arial" w:cs="Arial"/>
                <w:b/>
                <w:sz w:val="20"/>
                <w:szCs w:val="20"/>
              </w:rPr>
            </w:pPr>
          </w:p>
        </w:tc>
        <w:tc>
          <w:tcPr>
            <w:tcW w:w="1003" w:type="pct"/>
            <w:vMerge w:val="restart"/>
            <w:shd w:val="clear" w:color="auto" w:fill="auto"/>
            <w:vAlign w:val="center"/>
          </w:tcPr>
          <w:p w14:paraId="5320F34B"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Mesure dans laquelle la société civile contribue au suivi de la sauvegarde du PCI</w:t>
            </w:r>
          </w:p>
        </w:tc>
        <w:tc>
          <w:tcPr>
            <w:tcW w:w="2453" w:type="pct"/>
            <w:shd w:val="clear" w:color="auto" w:fill="auto"/>
            <w:vAlign w:val="center"/>
          </w:tcPr>
          <w:p w14:paraId="3222716B" w14:textId="77777777" w:rsidR="00A47AF6" w:rsidRPr="00E42343" w:rsidRDefault="00A47AF6" w:rsidP="00A47AF6">
            <w:pPr>
              <w:pStyle w:val="ListParagraph"/>
              <w:numPr>
                <w:ilvl w:val="1"/>
                <w:numId w:val="35"/>
              </w:numPr>
              <w:spacing w:before="60" w:after="60"/>
              <w:ind w:left="567" w:hanging="567"/>
              <w:jc w:val="left"/>
              <w:rPr>
                <w:rFonts w:ascii="Arial" w:hAnsi="Arial"/>
                <w:vanish/>
                <w:sz w:val="20"/>
                <w:szCs w:val="20"/>
              </w:rPr>
            </w:pPr>
            <w:r w:rsidRPr="00E42343">
              <w:rPr>
                <w:rFonts w:ascii="Arial" w:hAnsi="Arial"/>
                <w:sz w:val="20"/>
                <w:szCs w:val="20"/>
              </w:rPr>
              <w:t>Il existe un environnement propice pour les communautés, les groupes et les individus concernés pour assurer le suivi et entreprendre des études scientifiques</w:t>
            </w:r>
            <w:r>
              <w:rPr>
                <w:rFonts w:ascii="Arial" w:hAnsi="Arial"/>
                <w:sz w:val="20"/>
                <w:szCs w:val="20"/>
              </w:rPr>
              <w:t>,</w:t>
            </w:r>
            <w:r w:rsidRPr="00E42343">
              <w:rPr>
                <w:rFonts w:ascii="Arial" w:hAnsi="Arial"/>
                <w:sz w:val="20"/>
                <w:szCs w:val="20"/>
              </w:rPr>
              <w:t xml:space="preserve"> </w:t>
            </w:r>
            <w:r>
              <w:rPr>
                <w:rFonts w:ascii="Arial" w:hAnsi="Arial"/>
                <w:sz w:val="20"/>
                <w:szCs w:val="20"/>
              </w:rPr>
              <w:t xml:space="preserve">techniques et artistiques </w:t>
            </w:r>
            <w:r w:rsidRPr="00E42343">
              <w:rPr>
                <w:rFonts w:ascii="Arial" w:hAnsi="Arial"/>
                <w:sz w:val="20"/>
                <w:szCs w:val="20"/>
              </w:rPr>
              <w:t>sur des programmes et des mesures de sauvegarde du PCI.</w:t>
            </w:r>
          </w:p>
        </w:tc>
        <w:tc>
          <w:tcPr>
            <w:tcW w:w="77" w:type="pct"/>
            <w:tcBorders>
              <w:top w:val="nil"/>
              <w:bottom w:val="nil"/>
            </w:tcBorders>
            <w:shd w:val="clear" w:color="auto" w:fill="auto"/>
            <w:vAlign w:val="center"/>
          </w:tcPr>
          <w:p w14:paraId="6E65E24C"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5A761F0" w14:textId="77777777" w:rsidR="00A47AF6" w:rsidRPr="00E42343" w:rsidRDefault="00A47AF6" w:rsidP="005C5ED5">
            <w:pPr>
              <w:spacing w:before="60" w:after="60"/>
              <w:rPr>
                <w:rFonts w:ascii="Arial" w:hAnsi="Arial" w:cs="Arial"/>
                <w:sz w:val="20"/>
                <w:szCs w:val="20"/>
              </w:rPr>
            </w:pPr>
          </w:p>
        </w:tc>
      </w:tr>
      <w:tr w:rsidR="00A47AF6" w:rsidRPr="00E42343" w14:paraId="2263C232" w14:textId="77777777" w:rsidTr="005B64FB">
        <w:trPr>
          <w:cantSplit/>
        </w:trPr>
        <w:tc>
          <w:tcPr>
            <w:tcW w:w="922" w:type="pct"/>
            <w:vMerge/>
            <w:shd w:val="clear" w:color="auto" w:fill="auto"/>
            <w:vAlign w:val="center"/>
          </w:tcPr>
          <w:p w14:paraId="6E19E5BA"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728F0F1F"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p>
        </w:tc>
        <w:tc>
          <w:tcPr>
            <w:tcW w:w="2453" w:type="pct"/>
            <w:shd w:val="clear" w:color="auto" w:fill="auto"/>
            <w:vAlign w:val="center"/>
          </w:tcPr>
          <w:p w14:paraId="75441085" w14:textId="19655CEB" w:rsidR="00A47AF6" w:rsidRPr="00E42343" w:rsidRDefault="00A47AF6" w:rsidP="00A47AF6">
            <w:pPr>
              <w:pStyle w:val="ListParagraph"/>
              <w:numPr>
                <w:ilvl w:val="1"/>
                <w:numId w:val="35"/>
              </w:numPr>
              <w:spacing w:before="60" w:after="60"/>
              <w:ind w:left="567" w:hanging="567"/>
              <w:jc w:val="left"/>
              <w:rPr>
                <w:rFonts w:ascii="Arial" w:hAnsi="Arial"/>
                <w:sz w:val="20"/>
                <w:szCs w:val="20"/>
              </w:rPr>
            </w:pPr>
            <w:r w:rsidRPr="00E42343">
              <w:rPr>
                <w:rFonts w:ascii="Arial" w:hAnsi="Arial"/>
                <w:sz w:val="20"/>
                <w:szCs w:val="20"/>
              </w:rPr>
              <w:t>Il existe un environnement propice pour les ONG, et d</w:t>
            </w:r>
            <w:r w:rsidR="005B64FB">
              <w:rPr>
                <w:rFonts w:ascii="Arial" w:hAnsi="Arial"/>
                <w:sz w:val="20"/>
                <w:szCs w:val="20"/>
              </w:rPr>
              <w:t>’</w:t>
            </w:r>
            <w:r w:rsidRPr="00E42343">
              <w:rPr>
                <w:rFonts w:ascii="Arial" w:hAnsi="Arial"/>
                <w:sz w:val="20"/>
                <w:szCs w:val="20"/>
              </w:rPr>
              <w:t>autres organisations de la société civile pour assurer le suivi et entreprendre des études scientifiques</w:t>
            </w:r>
            <w:r>
              <w:rPr>
                <w:rFonts w:ascii="Arial" w:hAnsi="Arial"/>
                <w:sz w:val="20"/>
                <w:szCs w:val="20"/>
              </w:rPr>
              <w:t>,</w:t>
            </w:r>
            <w:r w:rsidRPr="00E42343">
              <w:rPr>
                <w:rFonts w:ascii="Arial" w:hAnsi="Arial"/>
                <w:sz w:val="20"/>
                <w:szCs w:val="20"/>
              </w:rPr>
              <w:t xml:space="preserve"> </w:t>
            </w:r>
            <w:r>
              <w:rPr>
                <w:rFonts w:ascii="Arial" w:hAnsi="Arial"/>
                <w:sz w:val="20"/>
                <w:szCs w:val="20"/>
              </w:rPr>
              <w:t xml:space="preserve">techniques et artistiques </w:t>
            </w:r>
            <w:r w:rsidRPr="00E42343">
              <w:rPr>
                <w:rFonts w:ascii="Arial" w:hAnsi="Arial"/>
                <w:sz w:val="20"/>
                <w:szCs w:val="20"/>
              </w:rPr>
              <w:t xml:space="preserve">sur des programmes et des mesures de sauvegarde du PCI. </w:t>
            </w:r>
          </w:p>
        </w:tc>
        <w:tc>
          <w:tcPr>
            <w:tcW w:w="77" w:type="pct"/>
            <w:tcBorders>
              <w:top w:val="nil"/>
              <w:bottom w:val="nil"/>
            </w:tcBorders>
            <w:shd w:val="clear" w:color="auto" w:fill="auto"/>
            <w:vAlign w:val="center"/>
          </w:tcPr>
          <w:p w14:paraId="4F3AACAF"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8FFA4D8" w14:textId="77777777" w:rsidR="00A47AF6" w:rsidRPr="00E42343" w:rsidRDefault="00A47AF6" w:rsidP="005C5ED5">
            <w:pPr>
              <w:spacing w:before="60" w:after="60"/>
              <w:rPr>
                <w:rFonts w:ascii="Arial" w:hAnsi="Arial" w:cs="Arial"/>
                <w:sz w:val="20"/>
                <w:szCs w:val="20"/>
              </w:rPr>
            </w:pPr>
            <w:r>
              <w:rPr>
                <w:rFonts w:ascii="Arial" w:hAnsi="Arial" w:cs="Arial"/>
                <w:sz w:val="20"/>
                <w:szCs w:val="20"/>
                <w:lang w:val="en-GB"/>
              </w:rPr>
              <w:t>DO </w:t>
            </w:r>
            <w:r w:rsidRPr="00A8072E">
              <w:rPr>
                <w:rFonts w:ascii="Arial" w:hAnsi="Arial" w:cs="Arial"/>
                <w:sz w:val="20"/>
                <w:szCs w:val="20"/>
                <w:lang w:val="en-GB"/>
              </w:rPr>
              <w:t>83</w:t>
            </w:r>
            <w:r>
              <w:rPr>
                <w:rFonts w:ascii="Arial" w:hAnsi="Arial" w:cs="Arial"/>
                <w:sz w:val="20"/>
                <w:szCs w:val="20"/>
                <w:lang w:val="en-GB"/>
              </w:rPr>
              <w:t>,</w:t>
            </w:r>
            <w:r>
              <w:rPr>
                <w:rFonts w:ascii="Arial" w:hAnsi="Arial" w:cs="Arial"/>
                <w:sz w:val="20"/>
                <w:szCs w:val="20"/>
                <w:lang w:val="en-GB"/>
              </w:rPr>
              <w:br/>
              <w:t>DO </w:t>
            </w:r>
            <w:r w:rsidRPr="00A8072E">
              <w:rPr>
                <w:rFonts w:ascii="Arial" w:hAnsi="Arial" w:cs="Arial"/>
                <w:sz w:val="20"/>
                <w:szCs w:val="20"/>
                <w:lang w:val="en-GB"/>
              </w:rPr>
              <w:t>151</w:t>
            </w:r>
            <w:r>
              <w:rPr>
                <w:rFonts w:ascii="Arial" w:hAnsi="Arial" w:cs="Arial"/>
                <w:sz w:val="20"/>
                <w:szCs w:val="20"/>
                <w:lang w:val="en-GB"/>
              </w:rPr>
              <w:t>,</w:t>
            </w:r>
            <w:r>
              <w:rPr>
                <w:rFonts w:ascii="Arial" w:hAnsi="Arial" w:cs="Arial"/>
                <w:sz w:val="20"/>
                <w:szCs w:val="20"/>
                <w:lang w:val="en-GB"/>
              </w:rPr>
              <w:br/>
              <w:t>DO </w:t>
            </w:r>
            <w:r w:rsidRPr="00A8072E">
              <w:rPr>
                <w:rFonts w:ascii="Arial" w:hAnsi="Arial" w:cs="Arial"/>
                <w:sz w:val="20"/>
                <w:szCs w:val="20"/>
                <w:lang w:val="en-GB"/>
              </w:rPr>
              <w:t>153(b)(ii)</w:t>
            </w:r>
          </w:p>
        </w:tc>
      </w:tr>
      <w:tr w:rsidR="00A47AF6" w:rsidRPr="00E42343" w14:paraId="4EABD72F" w14:textId="77777777" w:rsidTr="005B64FB">
        <w:trPr>
          <w:cantSplit/>
        </w:trPr>
        <w:tc>
          <w:tcPr>
            <w:tcW w:w="922" w:type="pct"/>
            <w:vMerge/>
            <w:shd w:val="clear" w:color="auto" w:fill="auto"/>
            <w:vAlign w:val="center"/>
          </w:tcPr>
          <w:p w14:paraId="681DB5D4"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56D572A9"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p>
        </w:tc>
        <w:tc>
          <w:tcPr>
            <w:tcW w:w="2453" w:type="pct"/>
            <w:shd w:val="clear" w:color="auto" w:fill="auto"/>
            <w:vAlign w:val="center"/>
          </w:tcPr>
          <w:p w14:paraId="559CA5C5" w14:textId="04DD9176" w:rsidR="00A47AF6" w:rsidRPr="00E42343" w:rsidRDefault="00A47AF6" w:rsidP="00A47AF6">
            <w:pPr>
              <w:pStyle w:val="ListParagraph"/>
              <w:numPr>
                <w:ilvl w:val="1"/>
                <w:numId w:val="35"/>
              </w:numPr>
              <w:spacing w:before="60" w:after="60"/>
              <w:ind w:left="567" w:hanging="567"/>
              <w:jc w:val="left"/>
              <w:rPr>
                <w:rFonts w:ascii="Arial" w:hAnsi="Arial"/>
                <w:sz w:val="20"/>
                <w:szCs w:val="20"/>
              </w:rPr>
            </w:pPr>
            <w:r w:rsidRPr="00E42343">
              <w:rPr>
                <w:rFonts w:ascii="Arial" w:hAnsi="Arial"/>
                <w:sz w:val="20"/>
                <w:szCs w:val="20"/>
              </w:rPr>
              <w:t xml:space="preserve">Il existe un environnement propice pour les chercheurs, les experts, les </w:t>
            </w:r>
            <w:r>
              <w:rPr>
                <w:rFonts w:ascii="Arial" w:hAnsi="Arial"/>
                <w:sz w:val="20"/>
                <w:szCs w:val="20"/>
              </w:rPr>
              <w:t xml:space="preserve">instituts de recherche </w:t>
            </w:r>
            <w:r w:rsidRPr="00E42343">
              <w:rPr>
                <w:rFonts w:ascii="Arial" w:hAnsi="Arial"/>
                <w:sz w:val="20"/>
                <w:szCs w:val="20"/>
              </w:rPr>
              <w:t>et les centres d</w:t>
            </w:r>
            <w:r w:rsidR="005B64FB">
              <w:rPr>
                <w:rFonts w:ascii="Arial" w:hAnsi="Arial"/>
                <w:sz w:val="20"/>
                <w:szCs w:val="20"/>
              </w:rPr>
              <w:t>’</w:t>
            </w:r>
            <w:r w:rsidRPr="00E42343">
              <w:rPr>
                <w:rFonts w:ascii="Arial" w:hAnsi="Arial"/>
                <w:sz w:val="20"/>
                <w:szCs w:val="20"/>
              </w:rPr>
              <w:t>expertise pour assurer le suivi et entreprendre des études</w:t>
            </w:r>
            <w:r>
              <w:rPr>
                <w:rFonts w:ascii="Arial" w:hAnsi="Arial"/>
                <w:sz w:val="20"/>
                <w:szCs w:val="20"/>
              </w:rPr>
              <w:t xml:space="preserve"> </w:t>
            </w:r>
            <w:r w:rsidRPr="00E42343">
              <w:rPr>
                <w:rFonts w:ascii="Arial" w:hAnsi="Arial"/>
                <w:sz w:val="20"/>
                <w:szCs w:val="20"/>
              </w:rPr>
              <w:t>scientifiques</w:t>
            </w:r>
            <w:r>
              <w:rPr>
                <w:rFonts w:ascii="Arial" w:hAnsi="Arial"/>
                <w:sz w:val="20"/>
                <w:szCs w:val="20"/>
              </w:rPr>
              <w:t>,</w:t>
            </w:r>
            <w:r w:rsidRPr="00E42343">
              <w:rPr>
                <w:rFonts w:ascii="Arial" w:hAnsi="Arial"/>
                <w:sz w:val="20"/>
                <w:szCs w:val="20"/>
              </w:rPr>
              <w:t xml:space="preserve"> </w:t>
            </w:r>
            <w:r>
              <w:rPr>
                <w:rFonts w:ascii="Arial" w:hAnsi="Arial"/>
                <w:sz w:val="20"/>
                <w:szCs w:val="20"/>
              </w:rPr>
              <w:t>techniques</w:t>
            </w:r>
            <w:r w:rsidRPr="00E42343">
              <w:rPr>
                <w:rFonts w:ascii="Arial" w:hAnsi="Arial"/>
                <w:sz w:val="20"/>
                <w:szCs w:val="20"/>
              </w:rPr>
              <w:t xml:space="preserve"> </w:t>
            </w:r>
            <w:r>
              <w:rPr>
                <w:rFonts w:ascii="Arial" w:hAnsi="Arial"/>
                <w:sz w:val="20"/>
                <w:szCs w:val="20"/>
              </w:rPr>
              <w:t xml:space="preserve">et artistiques </w:t>
            </w:r>
            <w:r w:rsidRPr="00E42343">
              <w:rPr>
                <w:rFonts w:ascii="Arial" w:hAnsi="Arial"/>
                <w:sz w:val="20"/>
                <w:szCs w:val="20"/>
              </w:rPr>
              <w:t>sur des programmes et des mesures de sauvegarde du PCI.</w:t>
            </w:r>
          </w:p>
        </w:tc>
        <w:tc>
          <w:tcPr>
            <w:tcW w:w="77" w:type="pct"/>
            <w:tcBorders>
              <w:top w:val="nil"/>
              <w:bottom w:val="nil"/>
            </w:tcBorders>
            <w:shd w:val="clear" w:color="auto" w:fill="auto"/>
            <w:vAlign w:val="center"/>
          </w:tcPr>
          <w:p w14:paraId="75905160"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3C8ED5C6" w14:textId="77777777" w:rsidR="00A47AF6" w:rsidRPr="00E42343" w:rsidRDefault="00A47AF6" w:rsidP="005C5ED5">
            <w:pPr>
              <w:spacing w:before="60" w:after="60"/>
              <w:rPr>
                <w:rFonts w:ascii="Arial" w:hAnsi="Arial" w:cs="Arial"/>
                <w:sz w:val="20"/>
                <w:szCs w:val="20"/>
              </w:rPr>
            </w:pPr>
          </w:p>
        </w:tc>
      </w:tr>
      <w:tr w:rsidR="00A47AF6" w:rsidRPr="00E42343" w14:paraId="3B4AD09A" w14:textId="77777777" w:rsidTr="005B64FB">
        <w:trPr>
          <w:cantSplit/>
        </w:trPr>
        <w:tc>
          <w:tcPr>
            <w:tcW w:w="922" w:type="pct"/>
            <w:vMerge w:val="restart"/>
            <w:shd w:val="clear" w:color="auto" w:fill="auto"/>
            <w:vAlign w:val="center"/>
          </w:tcPr>
          <w:p w14:paraId="316B0024" w14:textId="77777777" w:rsidR="00A47AF6" w:rsidRPr="00E42343" w:rsidRDefault="00A47AF6" w:rsidP="005C5ED5">
            <w:pPr>
              <w:spacing w:before="60" w:after="60"/>
              <w:rPr>
                <w:rFonts w:ascii="Arial" w:hAnsi="Arial" w:cs="Arial"/>
                <w:b/>
                <w:sz w:val="20"/>
                <w:szCs w:val="20"/>
              </w:rPr>
            </w:pPr>
            <w:r w:rsidRPr="00E42343">
              <w:rPr>
                <w:rFonts w:ascii="Arial" w:hAnsi="Arial" w:cs="Arial"/>
                <w:b/>
                <w:sz w:val="20"/>
                <w:szCs w:val="20"/>
              </w:rPr>
              <w:t>Engagement international</w:t>
            </w:r>
          </w:p>
        </w:tc>
        <w:tc>
          <w:tcPr>
            <w:tcW w:w="1003" w:type="pct"/>
            <w:vMerge w:val="restart"/>
            <w:shd w:val="clear" w:color="auto" w:fill="auto"/>
            <w:vAlign w:val="center"/>
          </w:tcPr>
          <w:p w14:paraId="70F1254A"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Nombre et répartition géographique des ONG, organismes publics et privés et des personnes privées impliquées par le Comité à titre consultatif</w:t>
            </w:r>
            <w:r w:rsidRPr="00E42343">
              <w:rPr>
                <w:rStyle w:val="FootnoteReference"/>
                <w:rFonts w:ascii="Arial" w:hAnsi="Arial"/>
                <w:sz w:val="20"/>
                <w:szCs w:val="20"/>
                <w:lang w:val="en-GB"/>
              </w:rPr>
              <w:footnoteReference w:id="13"/>
            </w:r>
          </w:p>
        </w:tc>
        <w:tc>
          <w:tcPr>
            <w:tcW w:w="2453" w:type="pct"/>
            <w:shd w:val="clear" w:color="auto" w:fill="auto"/>
            <w:vAlign w:val="center"/>
          </w:tcPr>
          <w:p w14:paraId="6E307B45" w14:textId="0BFE5CCB" w:rsidR="00A47AF6" w:rsidRPr="00E42343" w:rsidRDefault="00A47AF6" w:rsidP="00A47AF6">
            <w:pPr>
              <w:pStyle w:val="ListParagraph"/>
              <w:numPr>
                <w:ilvl w:val="1"/>
                <w:numId w:val="36"/>
              </w:numPr>
              <w:spacing w:before="60" w:after="60"/>
              <w:ind w:left="567" w:hanging="567"/>
              <w:jc w:val="left"/>
              <w:rPr>
                <w:rFonts w:ascii="Arial" w:hAnsi="Arial"/>
                <w:sz w:val="20"/>
                <w:szCs w:val="20"/>
              </w:rPr>
            </w:pPr>
            <w:r w:rsidRPr="00E42343">
              <w:rPr>
                <w:rFonts w:ascii="Arial" w:hAnsi="Arial"/>
                <w:sz w:val="20"/>
                <w:szCs w:val="20"/>
              </w:rPr>
              <w:t>Nombre d</w:t>
            </w:r>
            <w:r w:rsidR="005B64FB">
              <w:rPr>
                <w:rFonts w:ascii="Arial" w:hAnsi="Arial"/>
                <w:sz w:val="20"/>
                <w:szCs w:val="20"/>
              </w:rPr>
              <w:t>’</w:t>
            </w:r>
            <w:r w:rsidRPr="00E42343">
              <w:rPr>
                <w:rFonts w:ascii="Arial" w:hAnsi="Arial"/>
                <w:sz w:val="20"/>
                <w:szCs w:val="20"/>
              </w:rPr>
              <w:t>ONG accréditées pour fournir des services consultatifs, leur répartition géographique et la représentation des différents domaines.</w:t>
            </w:r>
          </w:p>
        </w:tc>
        <w:tc>
          <w:tcPr>
            <w:tcW w:w="77" w:type="pct"/>
            <w:tcBorders>
              <w:top w:val="nil"/>
              <w:bottom w:val="nil"/>
            </w:tcBorders>
            <w:shd w:val="clear" w:color="auto" w:fill="auto"/>
            <w:vAlign w:val="center"/>
          </w:tcPr>
          <w:p w14:paraId="54F5FBC7"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7BC8E8EA"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Article 9</w:t>
            </w:r>
          </w:p>
          <w:p w14:paraId="659C613A"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93</w:t>
            </w:r>
          </w:p>
        </w:tc>
      </w:tr>
      <w:tr w:rsidR="00A47AF6" w:rsidRPr="00E42343" w14:paraId="0601EFEC" w14:textId="77777777" w:rsidTr="005B64FB">
        <w:trPr>
          <w:cantSplit/>
        </w:trPr>
        <w:tc>
          <w:tcPr>
            <w:tcW w:w="922" w:type="pct"/>
            <w:vMerge/>
            <w:shd w:val="clear" w:color="auto" w:fill="auto"/>
            <w:vAlign w:val="center"/>
          </w:tcPr>
          <w:p w14:paraId="40317851"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44E18322" w14:textId="77777777" w:rsidR="00A47AF6" w:rsidRPr="00E42343" w:rsidRDefault="00A47AF6" w:rsidP="005C5ED5">
            <w:pPr>
              <w:spacing w:before="60" w:after="60"/>
              <w:rPr>
                <w:rFonts w:ascii="Arial" w:hAnsi="Arial" w:cs="Arial"/>
                <w:sz w:val="20"/>
                <w:szCs w:val="20"/>
              </w:rPr>
            </w:pPr>
          </w:p>
        </w:tc>
        <w:tc>
          <w:tcPr>
            <w:tcW w:w="2453" w:type="pct"/>
            <w:shd w:val="clear" w:color="auto" w:fill="auto"/>
            <w:vAlign w:val="center"/>
          </w:tcPr>
          <w:p w14:paraId="1A7082AD" w14:textId="37948B8C" w:rsidR="00A47AF6" w:rsidRPr="00E42343" w:rsidRDefault="00A47AF6" w:rsidP="00A47AF6">
            <w:pPr>
              <w:pStyle w:val="ListParagraph"/>
              <w:numPr>
                <w:ilvl w:val="1"/>
                <w:numId w:val="36"/>
              </w:numPr>
              <w:spacing w:before="60" w:after="60"/>
              <w:ind w:left="567" w:hanging="567"/>
              <w:jc w:val="left"/>
              <w:rPr>
                <w:rFonts w:ascii="Arial" w:hAnsi="Arial"/>
                <w:sz w:val="20"/>
                <w:szCs w:val="20"/>
              </w:rPr>
            </w:pPr>
            <w:r w:rsidRPr="00E42343">
              <w:rPr>
                <w:rFonts w:ascii="Arial" w:hAnsi="Arial"/>
                <w:sz w:val="20"/>
                <w:szCs w:val="20"/>
              </w:rPr>
              <w:t>Pourcentage d</w:t>
            </w:r>
            <w:r w:rsidR="005B64FB">
              <w:rPr>
                <w:rFonts w:ascii="Arial" w:hAnsi="Arial"/>
                <w:sz w:val="20"/>
                <w:szCs w:val="20"/>
              </w:rPr>
              <w:t>’</w:t>
            </w:r>
            <w:r w:rsidRPr="00E42343">
              <w:rPr>
                <w:rFonts w:ascii="Arial" w:hAnsi="Arial"/>
                <w:sz w:val="20"/>
                <w:szCs w:val="20"/>
              </w:rPr>
              <w:t>ONG accréditées participant aux sessions et groupes de travail des organes directeurs de la Convention et leur répartition géographique.</w:t>
            </w:r>
          </w:p>
        </w:tc>
        <w:tc>
          <w:tcPr>
            <w:tcW w:w="77" w:type="pct"/>
            <w:tcBorders>
              <w:top w:val="nil"/>
              <w:bottom w:val="nil"/>
            </w:tcBorders>
            <w:shd w:val="clear" w:color="auto" w:fill="auto"/>
            <w:vAlign w:val="center"/>
          </w:tcPr>
          <w:p w14:paraId="6951D9B9"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041A74DD" w14:textId="77777777" w:rsidR="00A47AF6" w:rsidRPr="00E42343" w:rsidRDefault="00A47AF6" w:rsidP="005C5ED5">
            <w:pPr>
              <w:spacing w:before="60" w:after="60"/>
              <w:rPr>
                <w:rFonts w:ascii="Arial" w:hAnsi="Arial" w:cs="Arial"/>
                <w:sz w:val="20"/>
                <w:szCs w:val="20"/>
              </w:rPr>
            </w:pPr>
          </w:p>
        </w:tc>
      </w:tr>
      <w:tr w:rsidR="00A47AF6" w:rsidRPr="00E42343" w14:paraId="6BAEEC3D" w14:textId="77777777" w:rsidTr="005B64FB">
        <w:trPr>
          <w:cantSplit/>
        </w:trPr>
        <w:tc>
          <w:tcPr>
            <w:tcW w:w="922" w:type="pct"/>
            <w:vMerge/>
            <w:shd w:val="clear" w:color="auto" w:fill="auto"/>
            <w:vAlign w:val="center"/>
          </w:tcPr>
          <w:p w14:paraId="135DD59A"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11D83683" w14:textId="77777777" w:rsidR="00A47AF6" w:rsidRPr="00E42343" w:rsidRDefault="00A47AF6" w:rsidP="005C5ED5">
            <w:pPr>
              <w:spacing w:before="60" w:after="60"/>
              <w:rPr>
                <w:rFonts w:ascii="Arial" w:hAnsi="Arial" w:cs="Arial"/>
                <w:sz w:val="20"/>
                <w:szCs w:val="20"/>
              </w:rPr>
            </w:pPr>
          </w:p>
        </w:tc>
        <w:tc>
          <w:tcPr>
            <w:tcW w:w="2453" w:type="pct"/>
            <w:shd w:val="clear" w:color="auto" w:fill="auto"/>
            <w:vAlign w:val="center"/>
          </w:tcPr>
          <w:p w14:paraId="2EAFF098" w14:textId="299C099F" w:rsidR="00A47AF6" w:rsidRPr="00E42343" w:rsidDel="00A83E05" w:rsidRDefault="00A47AF6" w:rsidP="00A47AF6">
            <w:pPr>
              <w:pStyle w:val="ListParagraph"/>
              <w:numPr>
                <w:ilvl w:val="1"/>
                <w:numId w:val="36"/>
              </w:numPr>
              <w:spacing w:before="60" w:after="60"/>
              <w:ind w:left="567" w:hanging="567"/>
              <w:jc w:val="left"/>
              <w:rPr>
                <w:rFonts w:ascii="Arial" w:hAnsi="Arial"/>
                <w:sz w:val="20"/>
                <w:szCs w:val="20"/>
              </w:rPr>
            </w:pPr>
            <w:r w:rsidRPr="00E42343">
              <w:rPr>
                <w:rFonts w:ascii="Arial" w:hAnsi="Arial"/>
                <w:sz w:val="20"/>
                <w:szCs w:val="20"/>
              </w:rPr>
              <w:t>Nombre d</w:t>
            </w:r>
            <w:r w:rsidR="005B64FB">
              <w:rPr>
                <w:rFonts w:ascii="Arial" w:hAnsi="Arial"/>
                <w:sz w:val="20"/>
                <w:szCs w:val="20"/>
              </w:rPr>
              <w:t>’</w:t>
            </w:r>
            <w:r w:rsidRPr="00E42343">
              <w:rPr>
                <w:rFonts w:ascii="Arial" w:hAnsi="Arial"/>
                <w:sz w:val="20"/>
                <w:szCs w:val="20"/>
              </w:rPr>
              <w:t>occasions et activités dans lesquelles des ONG accréditées sont impliquées par le Comité à titre consultatif en dehors des mécanismes d</w:t>
            </w:r>
            <w:r w:rsidR="005B64FB">
              <w:rPr>
                <w:rFonts w:ascii="Arial" w:hAnsi="Arial"/>
                <w:sz w:val="20"/>
                <w:szCs w:val="20"/>
              </w:rPr>
              <w:t>’</w:t>
            </w:r>
            <w:r w:rsidRPr="00E42343">
              <w:rPr>
                <w:rFonts w:ascii="Arial" w:hAnsi="Arial"/>
                <w:sz w:val="20"/>
                <w:szCs w:val="20"/>
              </w:rPr>
              <w:t>évaluation.</w:t>
            </w:r>
          </w:p>
        </w:tc>
        <w:tc>
          <w:tcPr>
            <w:tcW w:w="77" w:type="pct"/>
            <w:tcBorders>
              <w:top w:val="nil"/>
              <w:bottom w:val="nil"/>
            </w:tcBorders>
            <w:shd w:val="clear" w:color="auto" w:fill="auto"/>
            <w:vAlign w:val="center"/>
          </w:tcPr>
          <w:p w14:paraId="2EADC91E"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C094BD4"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Article 8</w:t>
            </w:r>
          </w:p>
        </w:tc>
      </w:tr>
      <w:tr w:rsidR="00A47AF6" w:rsidRPr="00E42343" w14:paraId="096B8C92" w14:textId="77777777" w:rsidTr="005B64FB">
        <w:trPr>
          <w:cantSplit/>
        </w:trPr>
        <w:tc>
          <w:tcPr>
            <w:tcW w:w="922" w:type="pct"/>
            <w:vMerge/>
            <w:shd w:val="clear" w:color="auto" w:fill="auto"/>
            <w:vAlign w:val="center"/>
          </w:tcPr>
          <w:p w14:paraId="30A9D367" w14:textId="77777777" w:rsidR="00A47AF6" w:rsidRPr="00E42343" w:rsidRDefault="00A47AF6" w:rsidP="005C5ED5">
            <w:pPr>
              <w:spacing w:before="60" w:after="60"/>
              <w:rPr>
                <w:rFonts w:ascii="Arial" w:hAnsi="Arial" w:cs="Arial"/>
                <w:b/>
                <w:sz w:val="20"/>
                <w:szCs w:val="20"/>
              </w:rPr>
            </w:pPr>
          </w:p>
        </w:tc>
        <w:tc>
          <w:tcPr>
            <w:tcW w:w="1003" w:type="pct"/>
            <w:vMerge w:val="restart"/>
            <w:shd w:val="clear" w:color="auto" w:fill="auto"/>
            <w:vAlign w:val="center"/>
          </w:tcPr>
          <w:p w14:paraId="7E1FD7FA" w14:textId="7B199479"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 xml:space="preserve">Pourcentage des États parties activement engagés dans la </w:t>
            </w:r>
            <w:r w:rsidRPr="00E42343">
              <w:rPr>
                <w:rFonts w:ascii="Arial" w:hAnsi="Arial"/>
                <w:sz w:val="20"/>
                <w:szCs w:val="20"/>
              </w:rPr>
              <w:lastRenderedPageBreak/>
              <w:t>coopération au service de la sauvegarde avec d</w:t>
            </w:r>
            <w:r w:rsidR="005B64FB">
              <w:rPr>
                <w:rFonts w:ascii="Arial" w:hAnsi="Arial"/>
                <w:sz w:val="20"/>
                <w:szCs w:val="20"/>
              </w:rPr>
              <w:t>’</w:t>
            </w:r>
            <w:r w:rsidRPr="00E42343">
              <w:rPr>
                <w:rFonts w:ascii="Arial" w:hAnsi="Arial"/>
                <w:sz w:val="20"/>
                <w:szCs w:val="20"/>
              </w:rPr>
              <w:t>autres États parties</w:t>
            </w:r>
          </w:p>
        </w:tc>
        <w:tc>
          <w:tcPr>
            <w:tcW w:w="2453" w:type="pct"/>
            <w:shd w:val="clear" w:color="auto" w:fill="auto"/>
            <w:vAlign w:val="center"/>
          </w:tcPr>
          <w:p w14:paraId="26AD8F8D" w14:textId="77777777" w:rsidR="00A47AF6" w:rsidRPr="00E42343" w:rsidRDefault="00A47AF6" w:rsidP="00A47AF6">
            <w:pPr>
              <w:pStyle w:val="ListParagraph"/>
              <w:numPr>
                <w:ilvl w:val="1"/>
                <w:numId w:val="37"/>
              </w:numPr>
              <w:spacing w:before="60" w:after="60"/>
              <w:ind w:left="567" w:hanging="567"/>
              <w:jc w:val="left"/>
              <w:rPr>
                <w:rFonts w:ascii="Arial" w:hAnsi="Arial"/>
                <w:vanish/>
                <w:sz w:val="20"/>
                <w:szCs w:val="20"/>
              </w:rPr>
            </w:pPr>
            <w:r w:rsidRPr="00E42343">
              <w:rPr>
                <w:rFonts w:ascii="Arial" w:hAnsi="Arial"/>
                <w:sz w:val="20"/>
                <w:szCs w:val="20"/>
              </w:rPr>
              <w:lastRenderedPageBreak/>
              <w:t>Une coopération bilatérale, multilatérale, régionale ou internationale est entreprise pour mettre en œuvre des mesures de sauvegarde du PCI en général.</w:t>
            </w:r>
          </w:p>
        </w:tc>
        <w:tc>
          <w:tcPr>
            <w:tcW w:w="77" w:type="pct"/>
            <w:tcBorders>
              <w:top w:val="nil"/>
              <w:bottom w:val="nil"/>
            </w:tcBorders>
            <w:shd w:val="clear" w:color="auto" w:fill="auto"/>
            <w:vAlign w:val="center"/>
          </w:tcPr>
          <w:p w14:paraId="6B68E644"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3256BAEF"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Article 19</w:t>
            </w:r>
          </w:p>
          <w:p w14:paraId="444E42F5"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86</w:t>
            </w:r>
          </w:p>
        </w:tc>
      </w:tr>
      <w:tr w:rsidR="00A47AF6" w:rsidRPr="00E42343" w14:paraId="49385AE4" w14:textId="77777777" w:rsidTr="005B64FB">
        <w:trPr>
          <w:cantSplit/>
        </w:trPr>
        <w:tc>
          <w:tcPr>
            <w:tcW w:w="922" w:type="pct"/>
            <w:vMerge/>
            <w:shd w:val="clear" w:color="auto" w:fill="auto"/>
            <w:vAlign w:val="center"/>
          </w:tcPr>
          <w:p w14:paraId="7DFC6F2A"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58418BF4" w14:textId="77777777" w:rsidR="00A47AF6" w:rsidRPr="00E42343" w:rsidRDefault="00A47AF6" w:rsidP="005C5ED5">
            <w:pPr>
              <w:pStyle w:val="ListParagraph"/>
              <w:spacing w:before="60" w:after="60"/>
              <w:ind w:left="370"/>
              <w:rPr>
                <w:rFonts w:ascii="Arial" w:hAnsi="Arial"/>
                <w:sz w:val="20"/>
                <w:szCs w:val="20"/>
              </w:rPr>
            </w:pPr>
          </w:p>
        </w:tc>
        <w:tc>
          <w:tcPr>
            <w:tcW w:w="2453" w:type="pct"/>
            <w:shd w:val="clear" w:color="auto" w:fill="auto"/>
            <w:vAlign w:val="center"/>
          </w:tcPr>
          <w:p w14:paraId="65A2E67B" w14:textId="77777777" w:rsidR="00A47AF6" w:rsidRPr="00E42343" w:rsidRDefault="00A47AF6" w:rsidP="00A47AF6">
            <w:pPr>
              <w:pStyle w:val="ListParagraph"/>
              <w:numPr>
                <w:ilvl w:val="1"/>
                <w:numId w:val="37"/>
              </w:numPr>
              <w:spacing w:before="60" w:after="60"/>
              <w:ind w:left="567" w:hanging="567"/>
              <w:jc w:val="left"/>
              <w:rPr>
                <w:rFonts w:ascii="Arial" w:hAnsi="Arial"/>
                <w:sz w:val="20"/>
                <w:szCs w:val="20"/>
              </w:rPr>
            </w:pPr>
            <w:r w:rsidRPr="00E42343">
              <w:rPr>
                <w:rFonts w:ascii="Arial" w:hAnsi="Arial"/>
                <w:sz w:val="20"/>
                <w:szCs w:val="20"/>
              </w:rPr>
              <w:t>Une coopération bilatérale, multilatérale, régionale ou internationale est entreprise pour mettre en œuvre des mesures de sauvegarde pour des éléments spécifiques du PCI, notamment ceux en danger, ceux présents sur les territoires de plusieurs pays et les éléments transfrontaliers.</w:t>
            </w:r>
          </w:p>
        </w:tc>
        <w:tc>
          <w:tcPr>
            <w:tcW w:w="77" w:type="pct"/>
            <w:tcBorders>
              <w:top w:val="nil"/>
              <w:bottom w:val="nil"/>
            </w:tcBorders>
            <w:shd w:val="clear" w:color="auto" w:fill="auto"/>
            <w:vAlign w:val="center"/>
          </w:tcPr>
          <w:p w14:paraId="3570EA88"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47E221D2" w14:textId="77777777" w:rsidR="00A47AF6" w:rsidRPr="00E42343" w:rsidRDefault="00A47AF6" w:rsidP="005C5ED5">
            <w:pPr>
              <w:spacing w:before="60" w:after="60"/>
              <w:rPr>
                <w:rFonts w:ascii="Arial" w:hAnsi="Arial" w:cs="Arial"/>
                <w:sz w:val="20"/>
                <w:szCs w:val="20"/>
              </w:rPr>
            </w:pPr>
          </w:p>
        </w:tc>
      </w:tr>
      <w:tr w:rsidR="00A47AF6" w:rsidRPr="00E42343" w14:paraId="1E16E70B" w14:textId="77777777" w:rsidTr="005B64FB">
        <w:trPr>
          <w:cantSplit/>
        </w:trPr>
        <w:tc>
          <w:tcPr>
            <w:tcW w:w="922" w:type="pct"/>
            <w:vMerge/>
            <w:shd w:val="clear" w:color="auto" w:fill="auto"/>
            <w:vAlign w:val="center"/>
          </w:tcPr>
          <w:p w14:paraId="1203C25C"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3543FB9E" w14:textId="77777777" w:rsidR="00A47AF6" w:rsidRPr="00E42343" w:rsidRDefault="00A47AF6" w:rsidP="005C5ED5">
            <w:pPr>
              <w:spacing w:before="60" w:after="60"/>
              <w:rPr>
                <w:rFonts w:ascii="Arial" w:hAnsi="Arial" w:cs="Arial"/>
                <w:sz w:val="20"/>
                <w:szCs w:val="20"/>
              </w:rPr>
            </w:pPr>
          </w:p>
        </w:tc>
        <w:tc>
          <w:tcPr>
            <w:tcW w:w="2453" w:type="pct"/>
            <w:shd w:val="clear" w:color="auto" w:fill="auto"/>
            <w:vAlign w:val="center"/>
          </w:tcPr>
          <w:p w14:paraId="0C18BF15" w14:textId="077FFED3" w:rsidR="00A47AF6" w:rsidRPr="00E42343" w:rsidRDefault="00A47AF6" w:rsidP="00A47AF6">
            <w:pPr>
              <w:pStyle w:val="ListParagraph"/>
              <w:numPr>
                <w:ilvl w:val="1"/>
                <w:numId w:val="37"/>
              </w:numPr>
              <w:spacing w:before="60" w:after="60"/>
              <w:ind w:left="567" w:hanging="567"/>
              <w:jc w:val="left"/>
              <w:rPr>
                <w:rFonts w:ascii="Arial" w:hAnsi="Arial"/>
                <w:sz w:val="20"/>
                <w:szCs w:val="20"/>
              </w:rPr>
            </w:pPr>
            <w:r w:rsidRPr="00E42343">
              <w:rPr>
                <w:rFonts w:ascii="Arial" w:hAnsi="Arial"/>
                <w:sz w:val="20"/>
                <w:szCs w:val="20"/>
              </w:rPr>
              <w:t>Des informations et des expériences sur le PCI et sa sauvegarde, y compris sur des bonnes pratiques de sauvegarde, sont échangées avec d</w:t>
            </w:r>
            <w:r w:rsidR="005B64FB">
              <w:rPr>
                <w:rFonts w:ascii="Arial" w:hAnsi="Arial"/>
                <w:sz w:val="20"/>
                <w:szCs w:val="20"/>
              </w:rPr>
              <w:t>’</w:t>
            </w:r>
            <w:r w:rsidRPr="00E42343">
              <w:rPr>
                <w:rFonts w:ascii="Arial" w:hAnsi="Arial"/>
                <w:sz w:val="20"/>
                <w:szCs w:val="20"/>
              </w:rPr>
              <w:t>autres États parties.</w:t>
            </w:r>
          </w:p>
        </w:tc>
        <w:tc>
          <w:tcPr>
            <w:tcW w:w="77" w:type="pct"/>
            <w:tcBorders>
              <w:top w:val="nil"/>
              <w:bottom w:val="nil"/>
            </w:tcBorders>
            <w:shd w:val="clear" w:color="auto" w:fill="auto"/>
            <w:vAlign w:val="center"/>
          </w:tcPr>
          <w:p w14:paraId="2C674493"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0BE7ADF"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Article 19</w:t>
            </w:r>
          </w:p>
          <w:p w14:paraId="767C6AB7"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156</w:t>
            </w:r>
            <w:r>
              <w:rPr>
                <w:rFonts w:ascii="Arial" w:hAnsi="Arial" w:cs="Arial"/>
                <w:sz w:val="20"/>
                <w:szCs w:val="20"/>
              </w:rPr>
              <w:t>,</w:t>
            </w:r>
            <w:r>
              <w:rPr>
                <w:rFonts w:ascii="Arial" w:hAnsi="Arial" w:cs="Arial"/>
                <w:sz w:val="20"/>
                <w:szCs w:val="20"/>
              </w:rPr>
              <w:br/>
            </w:r>
            <w:r w:rsidRPr="00E42343">
              <w:rPr>
                <w:rFonts w:ascii="Arial" w:hAnsi="Arial" w:cs="Arial"/>
                <w:sz w:val="20"/>
                <w:szCs w:val="20"/>
              </w:rPr>
              <w:t>DO 193</w:t>
            </w:r>
          </w:p>
        </w:tc>
      </w:tr>
      <w:tr w:rsidR="00A47AF6" w:rsidRPr="00E42343" w14:paraId="5A1BECF6" w14:textId="77777777" w:rsidTr="005B64FB">
        <w:trPr>
          <w:cantSplit/>
        </w:trPr>
        <w:tc>
          <w:tcPr>
            <w:tcW w:w="922" w:type="pct"/>
            <w:vMerge/>
            <w:shd w:val="clear" w:color="auto" w:fill="auto"/>
            <w:vAlign w:val="center"/>
          </w:tcPr>
          <w:p w14:paraId="6FAA4E82"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7392D64C" w14:textId="77777777" w:rsidR="00A47AF6" w:rsidRPr="00E42343" w:rsidRDefault="00A47AF6" w:rsidP="005C5ED5">
            <w:pPr>
              <w:spacing w:before="60" w:after="60"/>
              <w:rPr>
                <w:rFonts w:ascii="Arial" w:hAnsi="Arial" w:cs="Arial"/>
                <w:sz w:val="20"/>
                <w:szCs w:val="20"/>
              </w:rPr>
            </w:pPr>
          </w:p>
        </w:tc>
        <w:tc>
          <w:tcPr>
            <w:tcW w:w="2453" w:type="pct"/>
            <w:shd w:val="clear" w:color="auto" w:fill="auto"/>
            <w:vAlign w:val="center"/>
          </w:tcPr>
          <w:p w14:paraId="6334123A" w14:textId="712E293D" w:rsidR="00A47AF6" w:rsidRPr="00E42343" w:rsidRDefault="00A47AF6" w:rsidP="00A47AF6">
            <w:pPr>
              <w:pStyle w:val="ListParagraph"/>
              <w:numPr>
                <w:ilvl w:val="1"/>
                <w:numId w:val="37"/>
              </w:numPr>
              <w:spacing w:before="60" w:after="60"/>
              <w:ind w:left="567" w:hanging="567"/>
              <w:jc w:val="left"/>
              <w:rPr>
                <w:rFonts w:ascii="Arial" w:hAnsi="Arial"/>
                <w:sz w:val="20"/>
                <w:szCs w:val="20"/>
              </w:rPr>
            </w:pPr>
            <w:r w:rsidRPr="00E42343">
              <w:rPr>
                <w:rFonts w:ascii="Arial" w:hAnsi="Arial"/>
                <w:sz w:val="20"/>
                <w:szCs w:val="20"/>
              </w:rPr>
              <w:t>La documentation sur un élément du PCI présent sur le territoire d</w:t>
            </w:r>
            <w:r w:rsidR="005B64FB">
              <w:rPr>
                <w:rFonts w:ascii="Arial" w:hAnsi="Arial"/>
                <w:sz w:val="20"/>
                <w:szCs w:val="20"/>
              </w:rPr>
              <w:t>’</w:t>
            </w:r>
            <w:r w:rsidRPr="00E42343">
              <w:rPr>
                <w:rFonts w:ascii="Arial" w:hAnsi="Arial"/>
                <w:sz w:val="20"/>
                <w:szCs w:val="20"/>
              </w:rPr>
              <w:t>un autre État partie est partagée avec celui-ci.</w:t>
            </w:r>
          </w:p>
        </w:tc>
        <w:tc>
          <w:tcPr>
            <w:tcW w:w="77" w:type="pct"/>
            <w:tcBorders>
              <w:top w:val="nil"/>
              <w:bottom w:val="nil"/>
            </w:tcBorders>
            <w:shd w:val="clear" w:color="auto" w:fill="auto"/>
            <w:vAlign w:val="center"/>
          </w:tcPr>
          <w:p w14:paraId="5FAC1535"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67B67FCC"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Article 19</w:t>
            </w:r>
          </w:p>
          <w:p w14:paraId="5F51A460"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87</w:t>
            </w:r>
          </w:p>
        </w:tc>
      </w:tr>
      <w:tr w:rsidR="00A47AF6" w:rsidRPr="00E42343" w14:paraId="1D59B4C1" w14:textId="77777777" w:rsidTr="005B64FB">
        <w:trPr>
          <w:cantSplit/>
        </w:trPr>
        <w:tc>
          <w:tcPr>
            <w:tcW w:w="922" w:type="pct"/>
            <w:vMerge/>
            <w:shd w:val="clear" w:color="auto" w:fill="auto"/>
            <w:vAlign w:val="center"/>
          </w:tcPr>
          <w:p w14:paraId="7C5E7D65" w14:textId="77777777" w:rsidR="00A47AF6" w:rsidRPr="00E42343" w:rsidRDefault="00A47AF6" w:rsidP="005C5ED5">
            <w:pPr>
              <w:spacing w:before="60" w:after="60"/>
              <w:rPr>
                <w:rFonts w:ascii="Arial" w:hAnsi="Arial" w:cs="Arial"/>
                <w:b/>
                <w:sz w:val="20"/>
                <w:szCs w:val="20"/>
              </w:rPr>
            </w:pPr>
          </w:p>
        </w:tc>
        <w:tc>
          <w:tcPr>
            <w:tcW w:w="1003" w:type="pct"/>
            <w:vMerge w:val="restart"/>
            <w:shd w:val="clear" w:color="auto" w:fill="auto"/>
            <w:vAlign w:val="center"/>
          </w:tcPr>
          <w:p w14:paraId="4FFD7856" w14:textId="3FCB16F4"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Pourcentage d</w:t>
            </w:r>
            <w:r w:rsidR="005B64FB">
              <w:rPr>
                <w:rFonts w:ascii="Arial" w:hAnsi="Arial"/>
                <w:sz w:val="20"/>
                <w:szCs w:val="20"/>
              </w:rPr>
              <w:t>’</w:t>
            </w:r>
            <w:r w:rsidRPr="00E42343">
              <w:rPr>
                <w:rFonts w:ascii="Arial" w:hAnsi="Arial"/>
                <w:sz w:val="20"/>
                <w:szCs w:val="20"/>
              </w:rPr>
              <w:t>États parties engagés activement dans des réseaux internationaux et de coopération institutionnelle</w:t>
            </w:r>
          </w:p>
        </w:tc>
        <w:tc>
          <w:tcPr>
            <w:tcW w:w="2453" w:type="pct"/>
            <w:shd w:val="clear" w:color="auto" w:fill="auto"/>
            <w:vAlign w:val="center"/>
          </w:tcPr>
          <w:p w14:paraId="49FE63C4" w14:textId="6C6FA712" w:rsidR="00A47AF6" w:rsidRPr="00E42343" w:rsidRDefault="00A47AF6" w:rsidP="00A47AF6">
            <w:pPr>
              <w:pStyle w:val="ListParagraph"/>
              <w:numPr>
                <w:ilvl w:val="1"/>
                <w:numId w:val="38"/>
              </w:numPr>
              <w:spacing w:before="60" w:after="60"/>
              <w:ind w:left="567" w:hanging="567"/>
              <w:jc w:val="left"/>
              <w:rPr>
                <w:rFonts w:ascii="Arial" w:hAnsi="Arial"/>
                <w:vanish/>
                <w:sz w:val="20"/>
                <w:szCs w:val="20"/>
              </w:rPr>
            </w:pPr>
            <w:r w:rsidRPr="00E42343">
              <w:rPr>
                <w:rFonts w:ascii="Arial" w:hAnsi="Arial"/>
                <w:sz w:val="20"/>
                <w:szCs w:val="20"/>
              </w:rPr>
              <w:t>L</w:t>
            </w:r>
            <w:r w:rsidR="005B64FB">
              <w:rPr>
                <w:rFonts w:ascii="Arial" w:hAnsi="Arial"/>
                <w:sz w:val="20"/>
                <w:szCs w:val="20"/>
              </w:rPr>
              <w:t>’</w:t>
            </w:r>
            <w:r w:rsidRPr="00E42343">
              <w:rPr>
                <w:rFonts w:ascii="Arial" w:hAnsi="Arial"/>
                <w:sz w:val="20"/>
                <w:szCs w:val="20"/>
              </w:rPr>
              <w:t>État partie s</w:t>
            </w:r>
            <w:r w:rsidR="005B64FB">
              <w:rPr>
                <w:rFonts w:ascii="Arial" w:hAnsi="Arial"/>
                <w:sz w:val="20"/>
                <w:szCs w:val="20"/>
              </w:rPr>
              <w:t>’</w:t>
            </w:r>
            <w:r w:rsidRPr="00E42343">
              <w:rPr>
                <w:rFonts w:ascii="Arial" w:hAnsi="Arial"/>
                <w:sz w:val="20"/>
                <w:szCs w:val="20"/>
              </w:rPr>
              <w:t>engagent, en tant qu</w:t>
            </w:r>
            <w:r w:rsidR="005B64FB">
              <w:rPr>
                <w:rFonts w:ascii="Arial" w:hAnsi="Arial"/>
                <w:sz w:val="20"/>
                <w:szCs w:val="20"/>
              </w:rPr>
              <w:t>’</w:t>
            </w:r>
            <w:r w:rsidRPr="00E42343">
              <w:rPr>
                <w:rFonts w:ascii="Arial" w:hAnsi="Arial"/>
                <w:sz w:val="20"/>
                <w:szCs w:val="20"/>
              </w:rPr>
              <w:t>hôte ou bénéficiaire, dans les activités de centres de catégorie 2 pour le PCI.</w:t>
            </w:r>
          </w:p>
        </w:tc>
        <w:tc>
          <w:tcPr>
            <w:tcW w:w="77" w:type="pct"/>
            <w:tcBorders>
              <w:top w:val="nil"/>
              <w:bottom w:val="nil"/>
            </w:tcBorders>
            <w:shd w:val="clear" w:color="auto" w:fill="auto"/>
            <w:vAlign w:val="center"/>
          </w:tcPr>
          <w:p w14:paraId="3F463EF4"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04E9EDF0"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88</w:t>
            </w:r>
          </w:p>
        </w:tc>
      </w:tr>
      <w:tr w:rsidR="00A47AF6" w:rsidRPr="00E42343" w14:paraId="6AC1E51C" w14:textId="77777777" w:rsidTr="005B64FB">
        <w:trPr>
          <w:cantSplit/>
        </w:trPr>
        <w:tc>
          <w:tcPr>
            <w:tcW w:w="922" w:type="pct"/>
            <w:vMerge/>
            <w:shd w:val="clear" w:color="auto" w:fill="F2DBDB"/>
            <w:vAlign w:val="center"/>
          </w:tcPr>
          <w:p w14:paraId="15781C2B"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3BDD5F1C" w14:textId="77777777" w:rsidR="00A47AF6" w:rsidRPr="00E42343" w:rsidRDefault="00A47AF6" w:rsidP="005C5ED5">
            <w:pPr>
              <w:spacing w:before="60" w:after="60"/>
              <w:rPr>
                <w:rFonts w:ascii="Arial" w:hAnsi="Arial" w:cs="Arial"/>
                <w:sz w:val="20"/>
                <w:szCs w:val="20"/>
              </w:rPr>
            </w:pPr>
          </w:p>
        </w:tc>
        <w:tc>
          <w:tcPr>
            <w:tcW w:w="2453" w:type="pct"/>
            <w:shd w:val="clear" w:color="auto" w:fill="auto"/>
            <w:vAlign w:val="center"/>
          </w:tcPr>
          <w:p w14:paraId="36968592" w14:textId="6E919B87" w:rsidR="00A47AF6" w:rsidRPr="00E42343" w:rsidRDefault="00A47AF6" w:rsidP="00A47AF6">
            <w:pPr>
              <w:pStyle w:val="ListParagraph"/>
              <w:numPr>
                <w:ilvl w:val="1"/>
                <w:numId w:val="38"/>
              </w:numPr>
              <w:spacing w:before="60" w:after="60"/>
              <w:ind w:left="567" w:hanging="567"/>
              <w:jc w:val="left"/>
              <w:rPr>
                <w:rFonts w:ascii="Arial" w:hAnsi="Arial"/>
                <w:sz w:val="20"/>
                <w:szCs w:val="20"/>
              </w:rPr>
            </w:pPr>
            <w:r w:rsidRPr="00E42343">
              <w:rPr>
                <w:rFonts w:ascii="Arial" w:hAnsi="Arial"/>
                <w:sz w:val="20"/>
                <w:szCs w:val="20"/>
              </w:rPr>
              <w:t>Les réseaux internationaux sont favorisés</w:t>
            </w:r>
            <w:r w:rsidRPr="00E42343" w:rsidDel="00536E9E">
              <w:rPr>
                <w:rFonts w:ascii="Arial" w:hAnsi="Arial"/>
                <w:sz w:val="20"/>
                <w:szCs w:val="20"/>
              </w:rPr>
              <w:t xml:space="preserve"> </w:t>
            </w:r>
            <w:r w:rsidRPr="00E42343">
              <w:rPr>
                <w:rFonts w:ascii="Arial" w:hAnsi="Arial"/>
                <w:sz w:val="20"/>
                <w:szCs w:val="20"/>
              </w:rPr>
              <w:t>parmi les communautés, groupes et individus, les ONG,</w:t>
            </w:r>
            <w:r w:rsidRPr="00E42343" w:rsidDel="00FF5062">
              <w:rPr>
                <w:rFonts w:ascii="Arial" w:hAnsi="Arial"/>
                <w:sz w:val="20"/>
                <w:szCs w:val="20"/>
              </w:rPr>
              <w:t xml:space="preserve"> </w:t>
            </w:r>
            <w:r w:rsidRPr="00E42343">
              <w:rPr>
                <w:rFonts w:ascii="Arial" w:hAnsi="Arial"/>
                <w:sz w:val="20"/>
                <w:szCs w:val="20"/>
              </w:rPr>
              <w:t>les experts, les centres d</w:t>
            </w:r>
            <w:r w:rsidR="005B64FB">
              <w:rPr>
                <w:rFonts w:ascii="Arial" w:hAnsi="Arial"/>
                <w:sz w:val="20"/>
                <w:szCs w:val="20"/>
              </w:rPr>
              <w:t>’</w:t>
            </w:r>
            <w:r w:rsidRPr="00E42343">
              <w:rPr>
                <w:rFonts w:ascii="Arial" w:hAnsi="Arial"/>
                <w:sz w:val="20"/>
                <w:szCs w:val="20"/>
              </w:rPr>
              <w:t>expertise et les instituts de recherche actifs dans le domaine du PCI.</w:t>
            </w:r>
          </w:p>
        </w:tc>
        <w:tc>
          <w:tcPr>
            <w:tcW w:w="77" w:type="pct"/>
            <w:tcBorders>
              <w:top w:val="nil"/>
              <w:bottom w:val="nil"/>
            </w:tcBorders>
            <w:shd w:val="clear" w:color="auto" w:fill="auto"/>
            <w:vAlign w:val="center"/>
          </w:tcPr>
          <w:p w14:paraId="478F080E"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5534EF01"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86</w:t>
            </w:r>
          </w:p>
        </w:tc>
      </w:tr>
      <w:tr w:rsidR="00A47AF6" w:rsidRPr="00E42343" w14:paraId="26C40CFB" w14:textId="77777777" w:rsidTr="005B64FB">
        <w:trPr>
          <w:cantSplit/>
        </w:trPr>
        <w:tc>
          <w:tcPr>
            <w:tcW w:w="922" w:type="pct"/>
            <w:vMerge/>
            <w:shd w:val="clear" w:color="auto" w:fill="auto"/>
            <w:vAlign w:val="center"/>
          </w:tcPr>
          <w:p w14:paraId="2B7F44A8"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4C79A092" w14:textId="77777777" w:rsidR="00A47AF6" w:rsidRPr="00E42343" w:rsidRDefault="00A47AF6" w:rsidP="005C5ED5">
            <w:pPr>
              <w:spacing w:before="60" w:after="60"/>
              <w:rPr>
                <w:rFonts w:ascii="Arial" w:hAnsi="Arial" w:cs="Arial"/>
                <w:sz w:val="20"/>
                <w:szCs w:val="20"/>
              </w:rPr>
            </w:pPr>
          </w:p>
        </w:tc>
        <w:tc>
          <w:tcPr>
            <w:tcW w:w="2453" w:type="pct"/>
            <w:shd w:val="clear" w:color="auto" w:fill="auto"/>
            <w:vAlign w:val="center"/>
          </w:tcPr>
          <w:p w14:paraId="7111DC13" w14:textId="2A1942AB" w:rsidR="00A47AF6" w:rsidRPr="00E42343" w:rsidRDefault="00A47AF6" w:rsidP="00A47AF6">
            <w:pPr>
              <w:pStyle w:val="ListParagraph"/>
              <w:numPr>
                <w:ilvl w:val="1"/>
                <w:numId w:val="38"/>
              </w:numPr>
              <w:spacing w:before="60" w:after="60"/>
              <w:ind w:left="567" w:hanging="567"/>
              <w:jc w:val="left"/>
              <w:rPr>
                <w:rFonts w:ascii="Arial" w:hAnsi="Arial"/>
                <w:sz w:val="20"/>
                <w:szCs w:val="20"/>
              </w:rPr>
            </w:pPr>
            <w:r w:rsidRPr="00E42343">
              <w:rPr>
                <w:rFonts w:ascii="Arial" w:hAnsi="Arial"/>
                <w:sz w:val="20"/>
                <w:szCs w:val="20"/>
              </w:rPr>
              <w:t>L</w:t>
            </w:r>
            <w:r w:rsidR="005B64FB">
              <w:rPr>
                <w:rFonts w:ascii="Arial" w:hAnsi="Arial"/>
                <w:sz w:val="20"/>
                <w:szCs w:val="20"/>
              </w:rPr>
              <w:t>’</w:t>
            </w:r>
            <w:r w:rsidRPr="00E42343">
              <w:rPr>
                <w:rFonts w:ascii="Arial" w:hAnsi="Arial"/>
                <w:sz w:val="20"/>
                <w:szCs w:val="20"/>
              </w:rPr>
              <w:t>État partie participe aux activités relatives au PCI menées par des organismes internationaux et régionaux autres que l</w:t>
            </w:r>
            <w:r w:rsidR="005B64FB">
              <w:rPr>
                <w:rFonts w:ascii="Arial" w:hAnsi="Arial"/>
                <w:sz w:val="20"/>
                <w:szCs w:val="20"/>
              </w:rPr>
              <w:t>’</w:t>
            </w:r>
            <w:r w:rsidRPr="00E42343">
              <w:rPr>
                <w:rFonts w:ascii="Arial" w:hAnsi="Arial"/>
                <w:sz w:val="20"/>
                <w:szCs w:val="20"/>
              </w:rPr>
              <w:t>UNESCO.</w:t>
            </w:r>
          </w:p>
        </w:tc>
        <w:tc>
          <w:tcPr>
            <w:tcW w:w="77" w:type="pct"/>
            <w:tcBorders>
              <w:top w:val="nil"/>
              <w:bottom w:val="nil"/>
            </w:tcBorders>
            <w:shd w:val="clear" w:color="auto" w:fill="auto"/>
            <w:vAlign w:val="center"/>
          </w:tcPr>
          <w:p w14:paraId="5534B957"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62B722EF" w14:textId="77777777" w:rsidR="00A47AF6" w:rsidRPr="00E42343" w:rsidRDefault="00A47AF6" w:rsidP="005C5ED5">
            <w:pPr>
              <w:spacing w:before="60" w:after="60"/>
              <w:rPr>
                <w:rFonts w:ascii="Arial" w:hAnsi="Arial" w:cs="Arial"/>
                <w:sz w:val="20"/>
                <w:szCs w:val="20"/>
              </w:rPr>
            </w:pPr>
          </w:p>
        </w:tc>
      </w:tr>
      <w:tr w:rsidR="00A47AF6" w:rsidRPr="00E42343" w14:paraId="7B18ADBB" w14:textId="77777777" w:rsidTr="00CF22C3">
        <w:trPr>
          <w:cantSplit/>
        </w:trPr>
        <w:tc>
          <w:tcPr>
            <w:tcW w:w="922" w:type="pct"/>
            <w:vMerge/>
            <w:shd w:val="clear" w:color="auto" w:fill="auto"/>
            <w:vAlign w:val="center"/>
          </w:tcPr>
          <w:p w14:paraId="4A32D113" w14:textId="77777777" w:rsidR="00A47AF6" w:rsidRPr="00E42343" w:rsidRDefault="00A47AF6" w:rsidP="005C5ED5">
            <w:pPr>
              <w:spacing w:before="60" w:after="60"/>
              <w:rPr>
                <w:rFonts w:ascii="Arial" w:hAnsi="Arial" w:cs="Arial"/>
                <w:b/>
                <w:sz w:val="20"/>
                <w:szCs w:val="20"/>
              </w:rPr>
            </w:pPr>
          </w:p>
        </w:tc>
        <w:tc>
          <w:tcPr>
            <w:tcW w:w="1003" w:type="pct"/>
            <w:vMerge w:val="restart"/>
            <w:shd w:val="clear" w:color="auto" w:fill="auto"/>
            <w:vAlign w:val="center"/>
          </w:tcPr>
          <w:p w14:paraId="1A8BA237" w14:textId="1E2C6780" w:rsidR="00A47AF6" w:rsidRPr="00E42343" w:rsidRDefault="00A47AF6" w:rsidP="00A47AF6">
            <w:pPr>
              <w:pStyle w:val="ListParagraph"/>
              <w:numPr>
                <w:ilvl w:val="0"/>
                <w:numId w:val="12"/>
              </w:numPr>
              <w:spacing w:before="60" w:after="60"/>
              <w:ind w:left="370" w:hanging="370"/>
              <w:jc w:val="left"/>
              <w:rPr>
                <w:rFonts w:ascii="Arial" w:hAnsi="Arial"/>
                <w:sz w:val="20"/>
                <w:szCs w:val="20"/>
              </w:rPr>
            </w:pPr>
            <w:r w:rsidRPr="00E42343">
              <w:rPr>
                <w:rFonts w:ascii="Arial" w:hAnsi="Arial"/>
                <w:sz w:val="20"/>
                <w:szCs w:val="20"/>
              </w:rPr>
              <w:t>Le Fonds du PCI appuie efficacement la sauvegarde et l</w:t>
            </w:r>
            <w:r w:rsidR="005B64FB">
              <w:rPr>
                <w:rFonts w:ascii="Arial" w:hAnsi="Arial"/>
                <w:sz w:val="20"/>
                <w:szCs w:val="20"/>
              </w:rPr>
              <w:t>’</w:t>
            </w:r>
            <w:r w:rsidRPr="00E42343">
              <w:rPr>
                <w:rFonts w:ascii="Arial" w:hAnsi="Arial"/>
                <w:sz w:val="20"/>
                <w:szCs w:val="20"/>
              </w:rPr>
              <w:t>engagement international</w:t>
            </w:r>
            <w:r w:rsidRPr="00E42343">
              <w:rPr>
                <w:rStyle w:val="FootnoteReference"/>
                <w:rFonts w:ascii="Arial" w:hAnsi="Arial"/>
                <w:sz w:val="20"/>
                <w:szCs w:val="20"/>
                <w:lang w:val="en-GB"/>
              </w:rPr>
              <w:footnoteReference w:id="14"/>
            </w:r>
          </w:p>
        </w:tc>
        <w:tc>
          <w:tcPr>
            <w:tcW w:w="2453" w:type="pct"/>
            <w:shd w:val="clear" w:color="auto" w:fill="auto"/>
            <w:vAlign w:val="center"/>
          </w:tcPr>
          <w:p w14:paraId="79DAE96D" w14:textId="05E66409" w:rsidR="00A47AF6" w:rsidRPr="00E42343" w:rsidRDefault="00A47AF6" w:rsidP="00A47AF6">
            <w:pPr>
              <w:pStyle w:val="ListParagraph"/>
              <w:numPr>
                <w:ilvl w:val="1"/>
                <w:numId w:val="39"/>
              </w:numPr>
              <w:spacing w:before="60" w:after="60"/>
              <w:ind w:left="567" w:hanging="567"/>
              <w:jc w:val="left"/>
              <w:rPr>
                <w:rFonts w:ascii="Arial" w:hAnsi="Arial"/>
                <w:vanish/>
                <w:sz w:val="20"/>
                <w:szCs w:val="20"/>
              </w:rPr>
            </w:pPr>
            <w:r w:rsidRPr="00E42343">
              <w:rPr>
                <w:rFonts w:ascii="Arial" w:hAnsi="Arial"/>
                <w:sz w:val="20"/>
                <w:szCs w:val="20"/>
              </w:rPr>
              <w:t>Les États parties sollicitent une aide financière ou technique auprès du Fonds du PCI et l</w:t>
            </w:r>
            <w:r w:rsidR="005B64FB">
              <w:rPr>
                <w:rFonts w:ascii="Arial" w:hAnsi="Arial"/>
                <w:sz w:val="20"/>
                <w:szCs w:val="20"/>
              </w:rPr>
              <w:t>’</w:t>
            </w:r>
            <w:r w:rsidRPr="00E42343">
              <w:rPr>
                <w:rFonts w:ascii="Arial" w:hAnsi="Arial"/>
                <w:sz w:val="20"/>
                <w:szCs w:val="20"/>
              </w:rPr>
              <w:t>utilisent pour mettre en œuvre des programmes de sauvegarde.</w:t>
            </w:r>
          </w:p>
        </w:tc>
        <w:tc>
          <w:tcPr>
            <w:tcW w:w="77" w:type="pct"/>
            <w:tcBorders>
              <w:top w:val="nil"/>
              <w:bottom w:val="nil"/>
            </w:tcBorders>
            <w:shd w:val="clear" w:color="auto" w:fill="auto"/>
            <w:vAlign w:val="center"/>
          </w:tcPr>
          <w:p w14:paraId="5E39E572"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6E242126"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 xml:space="preserve">Article 19, </w:t>
            </w:r>
            <w:r>
              <w:rPr>
                <w:rFonts w:ascii="Arial" w:hAnsi="Arial" w:cs="Arial"/>
                <w:sz w:val="20"/>
                <w:szCs w:val="20"/>
              </w:rPr>
              <w:t>A</w:t>
            </w:r>
            <w:r w:rsidRPr="00E42343">
              <w:rPr>
                <w:rFonts w:ascii="Arial" w:hAnsi="Arial" w:cs="Arial"/>
                <w:sz w:val="20"/>
                <w:szCs w:val="20"/>
              </w:rPr>
              <w:t>rticle 21</w:t>
            </w:r>
          </w:p>
        </w:tc>
      </w:tr>
      <w:tr w:rsidR="00A47AF6" w:rsidRPr="00E42343" w14:paraId="3223D1D0" w14:textId="77777777" w:rsidTr="00CF22C3">
        <w:trPr>
          <w:cantSplit/>
          <w:trHeight w:val="1230"/>
        </w:trPr>
        <w:tc>
          <w:tcPr>
            <w:tcW w:w="922" w:type="pct"/>
            <w:vMerge/>
            <w:shd w:val="clear" w:color="auto" w:fill="F2DBDB"/>
            <w:vAlign w:val="center"/>
          </w:tcPr>
          <w:p w14:paraId="7CCDD3BE"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7F41271E" w14:textId="77777777" w:rsidR="00A47AF6" w:rsidRPr="00E42343" w:rsidRDefault="00A47AF6" w:rsidP="00A47AF6">
            <w:pPr>
              <w:pStyle w:val="ListParagraph"/>
              <w:numPr>
                <w:ilvl w:val="0"/>
                <w:numId w:val="12"/>
              </w:numPr>
              <w:spacing w:before="60" w:after="60"/>
              <w:ind w:left="370" w:hanging="370"/>
              <w:jc w:val="left"/>
              <w:rPr>
                <w:rFonts w:ascii="Arial" w:hAnsi="Arial"/>
                <w:sz w:val="20"/>
                <w:szCs w:val="20"/>
                <w:lang w:val="en-GB"/>
              </w:rPr>
            </w:pPr>
          </w:p>
        </w:tc>
        <w:tc>
          <w:tcPr>
            <w:tcW w:w="2453" w:type="pct"/>
            <w:shd w:val="clear" w:color="auto" w:fill="auto"/>
            <w:vAlign w:val="center"/>
          </w:tcPr>
          <w:p w14:paraId="018696EC" w14:textId="5AE9AF60" w:rsidR="00A47AF6" w:rsidRPr="00E42343" w:rsidRDefault="00A47AF6" w:rsidP="00A47AF6">
            <w:pPr>
              <w:pStyle w:val="ListParagraph"/>
              <w:numPr>
                <w:ilvl w:val="1"/>
                <w:numId w:val="39"/>
              </w:numPr>
              <w:spacing w:before="60" w:after="60"/>
              <w:ind w:left="567" w:hanging="567"/>
              <w:jc w:val="left"/>
              <w:rPr>
                <w:rFonts w:ascii="Arial" w:hAnsi="Arial"/>
                <w:sz w:val="20"/>
                <w:szCs w:val="20"/>
              </w:rPr>
            </w:pPr>
            <w:r w:rsidRPr="00E42343">
              <w:rPr>
                <w:rFonts w:ascii="Arial" w:hAnsi="Arial"/>
                <w:sz w:val="20"/>
                <w:szCs w:val="20"/>
              </w:rPr>
              <w:t>Les États parties ou d</w:t>
            </w:r>
            <w:r w:rsidR="005B64FB">
              <w:rPr>
                <w:rFonts w:ascii="Arial" w:hAnsi="Arial"/>
                <w:sz w:val="20"/>
                <w:szCs w:val="20"/>
              </w:rPr>
              <w:t>’</w:t>
            </w:r>
            <w:r w:rsidRPr="00E42343">
              <w:rPr>
                <w:rFonts w:ascii="Arial" w:hAnsi="Arial"/>
                <w:sz w:val="20"/>
                <w:szCs w:val="20"/>
              </w:rPr>
              <w:t>autres entités versent des contributions volontaires supplémentaires au Fonds du PCI, à des fins générales ou spécifiques, en particulier, le programme global de renforcement de capacités.</w:t>
            </w:r>
          </w:p>
        </w:tc>
        <w:tc>
          <w:tcPr>
            <w:tcW w:w="77" w:type="pct"/>
            <w:tcBorders>
              <w:top w:val="nil"/>
              <w:bottom w:val="nil"/>
            </w:tcBorders>
            <w:shd w:val="clear" w:color="auto" w:fill="auto"/>
            <w:vAlign w:val="center"/>
          </w:tcPr>
          <w:p w14:paraId="23589A4D"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9244927"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 xml:space="preserve">Article 25.5, </w:t>
            </w:r>
            <w:r>
              <w:rPr>
                <w:rFonts w:ascii="Arial" w:hAnsi="Arial" w:cs="Arial"/>
                <w:sz w:val="20"/>
                <w:szCs w:val="20"/>
              </w:rPr>
              <w:t>A</w:t>
            </w:r>
            <w:r w:rsidRPr="00E42343">
              <w:rPr>
                <w:rFonts w:ascii="Arial" w:hAnsi="Arial" w:cs="Arial"/>
                <w:sz w:val="20"/>
                <w:szCs w:val="20"/>
              </w:rPr>
              <w:t>rticle 27</w:t>
            </w:r>
          </w:p>
          <w:p w14:paraId="20171F98" w14:textId="77777777" w:rsidR="00A47AF6" w:rsidRPr="00E42343" w:rsidRDefault="00A47AF6" w:rsidP="005C5ED5">
            <w:pPr>
              <w:spacing w:before="60" w:after="60"/>
              <w:rPr>
                <w:rFonts w:ascii="Arial" w:hAnsi="Arial" w:cs="Arial"/>
                <w:sz w:val="20"/>
                <w:szCs w:val="20"/>
              </w:rPr>
            </w:pPr>
            <w:r w:rsidRPr="00E42343">
              <w:rPr>
                <w:rFonts w:ascii="Arial" w:hAnsi="Arial" w:cs="Arial"/>
                <w:sz w:val="20"/>
                <w:szCs w:val="20"/>
              </w:rPr>
              <w:t>DO 68 à 71</w:t>
            </w:r>
          </w:p>
        </w:tc>
      </w:tr>
      <w:tr w:rsidR="00A47AF6" w:rsidRPr="00E42343" w14:paraId="14FFB0F7" w14:textId="77777777" w:rsidTr="00CF22C3">
        <w:trPr>
          <w:cantSplit/>
        </w:trPr>
        <w:tc>
          <w:tcPr>
            <w:tcW w:w="922" w:type="pct"/>
            <w:vMerge/>
            <w:shd w:val="clear" w:color="auto" w:fill="F2DBDB"/>
            <w:vAlign w:val="center"/>
          </w:tcPr>
          <w:p w14:paraId="2334F49D" w14:textId="77777777" w:rsidR="00A47AF6" w:rsidRPr="00E42343" w:rsidRDefault="00A47AF6" w:rsidP="005C5ED5">
            <w:pPr>
              <w:spacing w:before="60" w:after="60"/>
              <w:rPr>
                <w:rFonts w:ascii="Arial" w:hAnsi="Arial" w:cs="Arial"/>
                <w:b/>
                <w:sz w:val="20"/>
                <w:szCs w:val="20"/>
              </w:rPr>
            </w:pPr>
          </w:p>
        </w:tc>
        <w:tc>
          <w:tcPr>
            <w:tcW w:w="1003" w:type="pct"/>
            <w:vMerge/>
            <w:shd w:val="clear" w:color="auto" w:fill="auto"/>
            <w:vAlign w:val="center"/>
          </w:tcPr>
          <w:p w14:paraId="4198F746" w14:textId="77777777" w:rsidR="00A47AF6" w:rsidRPr="00E42343" w:rsidRDefault="00A47AF6" w:rsidP="005C5ED5">
            <w:pPr>
              <w:spacing w:before="60" w:after="60"/>
              <w:rPr>
                <w:rFonts w:ascii="Arial" w:hAnsi="Arial" w:cs="Arial"/>
                <w:sz w:val="20"/>
                <w:szCs w:val="20"/>
              </w:rPr>
            </w:pPr>
          </w:p>
        </w:tc>
        <w:tc>
          <w:tcPr>
            <w:tcW w:w="2453" w:type="pct"/>
            <w:shd w:val="clear" w:color="auto" w:fill="auto"/>
            <w:vAlign w:val="center"/>
          </w:tcPr>
          <w:p w14:paraId="24531E86" w14:textId="77777777" w:rsidR="00A47AF6" w:rsidRPr="00E42343" w:rsidRDefault="00A47AF6" w:rsidP="00A47AF6">
            <w:pPr>
              <w:pStyle w:val="ListParagraph"/>
              <w:numPr>
                <w:ilvl w:val="1"/>
                <w:numId w:val="39"/>
              </w:numPr>
              <w:spacing w:before="60" w:after="60"/>
              <w:ind w:left="567" w:hanging="567"/>
              <w:jc w:val="left"/>
              <w:rPr>
                <w:rFonts w:ascii="Arial" w:hAnsi="Arial"/>
                <w:sz w:val="20"/>
                <w:szCs w:val="20"/>
              </w:rPr>
            </w:pPr>
            <w:r w:rsidRPr="00875E59">
              <w:rPr>
                <w:rFonts w:ascii="Arial" w:hAnsi="Arial"/>
                <w:sz w:val="20"/>
                <w:szCs w:val="20"/>
              </w:rPr>
              <w:t>Le Fonds du PCI est utilisé pour financer les coûts de participation aux réunions des organes directeurs de la Convention par un large éventail de parties prenantes</w:t>
            </w:r>
            <w:r>
              <w:rPr>
                <w:rFonts w:ascii="Arial" w:hAnsi="Arial"/>
                <w:sz w:val="20"/>
                <w:szCs w:val="20"/>
              </w:rPr>
              <w:t xml:space="preserve"> qui auront des fonctions consultatives</w:t>
            </w:r>
            <w:r w:rsidRPr="00875E59">
              <w:rPr>
                <w:rFonts w:ascii="Arial" w:hAnsi="Arial"/>
                <w:sz w:val="20"/>
                <w:szCs w:val="20"/>
              </w:rPr>
              <w:t xml:space="preserve">, notamment les experts du </w:t>
            </w:r>
            <w:r>
              <w:rPr>
                <w:rFonts w:ascii="Arial" w:hAnsi="Arial"/>
                <w:sz w:val="20"/>
                <w:szCs w:val="20"/>
              </w:rPr>
              <w:t>PCI</w:t>
            </w:r>
            <w:r w:rsidRPr="00875E59">
              <w:rPr>
                <w:rFonts w:ascii="Arial" w:hAnsi="Arial"/>
                <w:sz w:val="20"/>
                <w:szCs w:val="20"/>
              </w:rPr>
              <w:t xml:space="preserve"> ou les ONG accréditées de pays en développement, les organismes publics ou privés ainsi que les membres des communautés et des groupes invités auxdites réunions.</w:t>
            </w:r>
          </w:p>
        </w:tc>
        <w:tc>
          <w:tcPr>
            <w:tcW w:w="77" w:type="pct"/>
            <w:tcBorders>
              <w:top w:val="nil"/>
              <w:bottom w:val="nil"/>
            </w:tcBorders>
            <w:shd w:val="clear" w:color="auto" w:fill="auto"/>
            <w:vAlign w:val="center"/>
          </w:tcPr>
          <w:p w14:paraId="23C6ADA2" w14:textId="77777777" w:rsidR="00A47AF6" w:rsidRPr="00E42343" w:rsidRDefault="00A47AF6" w:rsidP="005C5ED5">
            <w:pPr>
              <w:spacing w:before="60" w:after="60"/>
              <w:rPr>
                <w:rFonts w:ascii="Arial" w:hAnsi="Arial" w:cs="Arial"/>
                <w:sz w:val="20"/>
                <w:szCs w:val="20"/>
              </w:rPr>
            </w:pPr>
          </w:p>
        </w:tc>
        <w:tc>
          <w:tcPr>
            <w:tcW w:w="545" w:type="pct"/>
            <w:shd w:val="clear" w:color="auto" w:fill="auto"/>
            <w:vAlign w:val="center"/>
          </w:tcPr>
          <w:p w14:paraId="17FFE71C" w14:textId="77777777" w:rsidR="00A47AF6" w:rsidRPr="00875E59" w:rsidRDefault="00A47AF6" w:rsidP="005C5ED5">
            <w:pPr>
              <w:spacing w:before="60" w:after="60"/>
              <w:rPr>
                <w:rFonts w:ascii="Arial" w:hAnsi="Arial" w:cs="Arial"/>
                <w:sz w:val="20"/>
                <w:szCs w:val="20"/>
              </w:rPr>
            </w:pPr>
            <w:r w:rsidRPr="00875E59">
              <w:rPr>
                <w:rFonts w:ascii="Arial" w:hAnsi="Arial" w:cs="Arial"/>
                <w:sz w:val="20"/>
                <w:szCs w:val="20"/>
              </w:rPr>
              <w:t>Article</w:t>
            </w:r>
            <w:r>
              <w:rPr>
                <w:rFonts w:ascii="Arial" w:hAnsi="Arial" w:cs="Arial"/>
                <w:sz w:val="20"/>
                <w:szCs w:val="20"/>
              </w:rPr>
              <w:t> </w:t>
            </w:r>
            <w:r w:rsidRPr="00875E59">
              <w:rPr>
                <w:rFonts w:ascii="Arial" w:hAnsi="Arial" w:cs="Arial"/>
                <w:sz w:val="20"/>
                <w:szCs w:val="20"/>
              </w:rPr>
              <w:t>8</w:t>
            </w:r>
            <w:r>
              <w:rPr>
                <w:rFonts w:ascii="Arial" w:hAnsi="Arial" w:cs="Arial"/>
                <w:sz w:val="20"/>
                <w:szCs w:val="20"/>
              </w:rPr>
              <w:t>,</w:t>
            </w:r>
            <w:r>
              <w:rPr>
                <w:rFonts w:ascii="Arial" w:hAnsi="Arial" w:cs="Arial"/>
                <w:sz w:val="20"/>
                <w:szCs w:val="20"/>
              </w:rPr>
              <w:br/>
              <w:t>Article 9</w:t>
            </w:r>
          </w:p>
          <w:p w14:paraId="4F51ED0B" w14:textId="77777777" w:rsidR="00A47AF6" w:rsidRPr="00E42343" w:rsidRDefault="00A47AF6" w:rsidP="005C5ED5">
            <w:pPr>
              <w:spacing w:before="60" w:after="60"/>
              <w:rPr>
                <w:rFonts w:ascii="Arial" w:hAnsi="Arial" w:cs="Arial"/>
                <w:sz w:val="20"/>
                <w:szCs w:val="20"/>
              </w:rPr>
            </w:pPr>
            <w:r w:rsidRPr="00875E59">
              <w:rPr>
                <w:rFonts w:ascii="Arial" w:hAnsi="Arial" w:cs="Arial"/>
                <w:sz w:val="20"/>
                <w:szCs w:val="20"/>
              </w:rPr>
              <w:t>DO 67</w:t>
            </w:r>
          </w:p>
        </w:tc>
      </w:tr>
    </w:tbl>
    <w:p w14:paraId="7A2B9575" w14:textId="509673BB" w:rsidR="002F2EEB" w:rsidRPr="006F00D1" w:rsidRDefault="002F2EEB" w:rsidP="005B64FB">
      <w:pPr>
        <w:spacing w:after="360"/>
        <w:rPr>
          <w:rFonts w:ascii="Arial" w:hAnsi="Arial" w:cs="Arial"/>
          <w:snapToGrid w:val="0"/>
          <w:vanish/>
          <w:sz w:val="22"/>
          <w:szCs w:val="22"/>
          <w:lang w:val="en-GB" w:eastAsia="en-US"/>
        </w:rPr>
      </w:pPr>
    </w:p>
    <w:sectPr w:rsidR="002F2EEB" w:rsidRPr="006F00D1" w:rsidSect="00DA7F3F">
      <w:headerReference w:type="first" r:id="rId26"/>
      <w:footnotePr>
        <w:numRestart w:val="eachSect"/>
      </w:footnotePr>
      <w:pgSz w:w="16838" w:h="11906" w:orient="landscape" w:code="9"/>
      <w:pgMar w:top="1134"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93DA3" w14:textId="77777777" w:rsidR="005C5ED5" w:rsidRDefault="005C5ED5" w:rsidP="00655736">
      <w:r>
        <w:separator/>
      </w:r>
    </w:p>
  </w:endnote>
  <w:endnote w:type="continuationSeparator" w:id="0">
    <w:p w14:paraId="40F47EC4" w14:textId="77777777" w:rsidR="005C5ED5" w:rsidRDefault="005C5ED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5C97D" w14:textId="77777777" w:rsidR="005C5ED5" w:rsidRDefault="005C5ED5" w:rsidP="00655736">
      <w:r>
        <w:separator/>
      </w:r>
    </w:p>
  </w:footnote>
  <w:footnote w:type="continuationSeparator" w:id="0">
    <w:p w14:paraId="0DC1D571" w14:textId="77777777" w:rsidR="005C5ED5" w:rsidRDefault="005C5ED5" w:rsidP="00655736">
      <w:r>
        <w:continuationSeparator/>
      </w:r>
    </w:p>
  </w:footnote>
  <w:footnote w:id="1">
    <w:p w14:paraId="1B7474A4" w14:textId="4CC97FE4" w:rsidR="005C5ED5" w:rsidRPr="00127F14" w:rsidRDefault="005C5ED5" w:rsidP="003E177A">
      <w:pPr>
        <w:pStyle w:val="FootnoteText"/>
        <w:spacing w:before="60" w:after="60"/>
        <w:ind w:left="567" w:hanging="567"/>
        <w:jc w:val="both"/>
        <w:rPr>
          <w:rFonts w:ascii="Arial" w:hAnsi="Arial" w:cs="Arial"/>
          <w:sz w:val="18"/>
        </w:rPr>
      </w:pPr>
      <w:r w:rsidRPr="00127F14">
        <w:rPr>
          <w:rFonts w:ascii="Arial" w:hAnsi="Arial" w:cs="Arial"/>
          <w:sz w:val="18"/>
          <w:lang w:val="en-GB"/>
        </w:rPr>
        <w:footnoteRef/>
      </w:r>
      <w:r w:rsidRPr="00127F14">
        <w:rPr>
          <w:rFonts w:ascii="Arial" w:hAnsi="Arial"/>
          <w:sz w:val="18"/>
        </w:rPr>
        <w:t>.</w:t>
      </w:r>
      <w:r w:rsidRPr="00127F14">
        <w:rPr>
          <w:rFonts w:ascii="Arial" w:hAnsi="Arial"/>
          <w:sz w:val="18"/>
        </w:rPr>
        <w:tab/>
        <w:t>« Évaluation du travail normatif de l</w:t>
      </w:r>
      <w:r>
        <w:rPr>
          <w:rFonts w:ascii="Arial" w:hAnsi="Arial"/>
          <w:sz w:val="18"/>
        </w:rPr>
        <w:t>’</w:t>
      </w:r>
      <w:r w:rsidRPr="00127F14">
        <w:rPr>
          <w:rFonts w:ascii="Arial" w:hAnsi="Arial"/>
          <w:sz w:val="18"/>
        </w:rPr>
        <w:t xml:space="preserve">UNESCO dans le domaine de la culture : Première partie – Convention de 2003 pour la sauvegarde du patrimoine culturel immatériel » disponible en </w:t>
      </w:r>
      <w:hyperlink r:id="rId1" w:tgtFrame="_blank" w:history="1">
        <w:proofErr w:type="spellStart"/>
        <w:r w:rsidRPr="00127F14">
          <w:rPr>
            <w:rStyle w:val="Hyperlink"/>
            <w:rFonts w:ascii="Arial" w:hAnsi="Arial"/>
            <w:bCs/>
            <w:color w:val="0872CB"/>
            <w:sz w:val="18"/>
          </w:rPr>
          <w:t>Anglais</w:t>
        </w:r>
      </w:hyperlink>
      <w:r w:rsidRPr="00127F14">
        <w:rPr>
          <w:rFonts w:ascii="Arial" w:hAnsi="Arial"/>
          <w:color w:val="414042"/>
          <w:sz w:val="18"/>
        </w:rPr>
        <w:t>|</w:t>
      </w:r>
      <w:hyperlink r:id="rId2" w:tgtFrame="_blank" w:history="1">
        <w:r w:rsidRPr="00127F14">
          <w:rPr>
            <w:rStyle w:val="Hyperlink"/>
            <w:rFonts w:ascii="Arial" w:hAnsi="Arial"/>
            <w:bCs/>
            <w:color w:val="0872CB"/>
            <w:sz w:val="18"/>
          </w:rPr>
          <w:t>Français</w:t>
        </w:r>
      </w:hyperlink>
      <w:r w:rsidRPr="00127F14">
        <w:rPr>
          <w:rFonts w:ascii="Arial" w:hAnsi="Arial"/>
          <w:color w:val="414042"/>
          <w:sz w:val="18"/>
        </w:rPr>
        <w:t>|</w:t>
      </w:r>
      <w:hyperlink r:id="rId3" w:tgtFrame="_blank" w:history="1">
        <w:r w:rsidRPr="00127F14">
          <w:rPr>
            <w:rStyle w:val="Hyperlink"/>
            <w:rFonts w:ascii="Arial" w:hAnsi="Arial"/>
            <w:bCs/>
            <w:color w:val="0872CB"/>
            <w:sz w:val="18"/>
          </w:rPr>
          <w:t>Espagnol</w:t>
        </w:r>
      </w:hyperlink>
      <w:r w:rsidRPr="00127F14">
        <w:rPr>
          <w:rFonts w:ascii="Arial" w:hAnsi="Arial"/>
          <w:color w:val="414042"/>
          <w:sz w:val="18"/>
        </w:rPr>
        <w:t>|</w:t>
      </w:r>
      <w:hyperlink r:id="rId4" w:tgtFrame="_blank" w:history="1">
        <w:r w:rsidRPr="00127F14">
          <w:rPr>
            <w:rStyle w:val="Hyperlink"/>
            <w:rFonts w:ascii="Arial" w:hAnsi="Arial"/>
            <w:bCs/>
            <w:color w:val="0872CB"/>
            <w:sz w:val="18"/>
          </w:rPr>
          <w:t>Arabe</w:t>
        </w:r>
        <w:proofErr w:type="spellEnd"/>
      </w:hyperlink>
      <w:r w:rsidRPr="00127F14">
        <w:rPr>
          <w:rFonts w:ascii="Arial" w:hAnsi="Arial"/>
          <w:sz w:val="18"/>
        </w:rPr>
        <w:t>.</w:t>
      </w:r>
    </w:p>
  </w:footnote>
  <w:footnote w:id="2">
    <w:p w14:paraId="548D6017" w14:textId="7CBC740B" w:rsidR="005C5ED5" w:rsidRPr="00127F14" w:rsidRDefault="005C5ED5" w:rsidP="00DE1691">
      <w:pPr>
        <w:pStyle w:val="FootnoteText"/>
        <w:spacing w:before="60" w:after="60"/>
        <w:ind w:left="567" w:hanging="567"/>
        <w:jc w:val="both"/>
        <w:rPr>
          <w:rFonts w:ascii="Arial" w:hAnsi="Arial" w:cs="Arial"/>
          <w:sz w:val="18"/>
        </w:rPr>
      </w:pPr>
      <w:r w:rsidRPr="00127F14">
        <w:rPr>
          <w:rFonts w:ascii="Arial" w:hAnsi="Arial" w:cs="Arial"/>
          <w:sz w:val="18"/>
        </w:rPr>
        <w:footnoteRef/>
      </w:r>
      <w:r w:rsidRPr="00127F14">
        <w:rPr>
          <w:rFonts w:ascii="Arial" w:hAnsi="Arial"/>
          <w:sz w:val="18"/>
        </w:rPr>
        <w:t>.</w:t>
      </w:r>
      <w:r w:rsidRPr="00127F14">
        <w:rPr>
          <w:rFonts w:ascii="Arial" w:hAnsi="Arial"/>
          <w:sz w:val="18"/>
        </w:rPr>
        <w:tab/>
        <w:t>L</w:t>
      </w:r>
      <w:r>
        <w:rPr>
          <w:rFonts w:ascii="Arial" w:hAnsi="Arial"/>
          <w:sz w:val="18"/>
        </w:rPr>
        <w:t>’</w:t>
      </w:r>
      <w:r w:rsidRPr="00127F14">
        <w:rPr>
          <w:rFonts w:ascii="Arial" w:hAnsi="Arial"/>
          <w:sz w:val="18"/>
        </w:rPr>
        <w:t>une des colonnes du tableau 2 (en annexe) présente une sélection d</w:t>
      </w:r>
      <w:r>
        <w:rPr>
          <w:rFonts w:ascii="Arial" w:hAnsi="Arial"/>
          <w:sz w:val="18"/>
        </w:rPr>
        <w:t>’</w:t>
      </w:r>
      <w:r w:rsidRPr="00127F14">
        <w:rPr>
          <w:rFonts w:ascii="Arial" w:hAnsi="Arial"/>
          <w:sz w:val="18"/>
        </w:rPr>
        <w:t>extraits pertinents tirés des dispositions de la Convention, des Directives opérationnelles ou des Principes éthiques pour la sauvegarde du patrimoine culturel immatériel pouvant servir de référence au cours des débats de l</w:t>
      </w:r>
      <w:r>
        <w:rPr>
          <w:rFonts w:ascii="Arial" w:hAnsi="Arial"/>
          <w:sz w:val="18"/>
        </w:rPr>
        <w:t>’</w:t>
      </w:r>
      <w:r w:rsidRPr="00127F14">
        <w:rPr>
          <w:rFonts w:ascii="Arial" w:hAnsi="Arial"/>
          <w:sz w:val="18"/>
        </w:rPr>
        <w:t>Assemblée Générale. Il est proposé que cette colonne ne soit pas formellement adoptée comme une partie du cadre de résultats ; les extraits seraient néanmoins intégrés aux notes d</w:t>
      </w:r>
      <w:r>
        <w:rPr>
          <w:rFonts w:ascii="Arial" w:hAnsi="Arial"/>
          <w:sz w:val="18"/>
        </w:rPr>
        <w:t>’</w:t>
      </w:r>
      <w:r w:rsidRPr="00127F14">
        <w:rPr>
          <w:rFonts w:ascii="Arial" w:hAnsi="Arial"/>
          <w:sz w:val="18"/>
        </w:rPr>
        <w:t>orientation concernées.</w:t>
      </w:r>
    </w:p>
  </w:footnote>
  <w:footnote w:id="3">
    <w:p w14:paraId="422A7DAB" w14:textId="265871DA" w:rsidR="005C5ED5" w:rsidRPr="005B64FB" w:rsidRDefault="005C5ED5" w:rsidP="00951271">
      <w:pPr>
        <w:pStyle w:val="FootnoteText"/>
        <w:spacing w:before="60" w:after="60"/>
        <w:ind w:left="567" w:hanging="567"/>
        <w:rPr>
          <w:rFonts w:ascii="Arial" w:hAnsi="Arial" w:cs="Arial"/>
          <w:sz w:val="18"/>
        </w:rPr>
      </w:pPr>
      <w:r w:rsidRPr="00127F14">
        <w:rPr>
          <w:rFonts w:ascii="Arial" w:hAnsi="Arial" w:cs="Arial"/>
          <w:sz w:val="18"/>
        </w:rPr>
        <w:footnoteRef/>
      </w:r>
      <w:r w:rsidRPr="00127F14">
        <w:rPr>
          <w:rFonts w:ascii="Arial" w:hAnsi="Arial"/>
          <w:sz w:val="18"/>
        </w:rPr>
        <w:t>.</w:t>
      </w:r>
      <w:r w:rsidRPr="00127F14">
        <w:rPr>
          <w:rFonts w:ascii="Arial" w:hAnsi="Arial"/>
          <w:sz w:val="18"/>
        </w:rPr>
        <w:tab/>
      </w:r>
      <w:r w:rsidRPr="00127F14">
        <w:rPr>
          <w:rFonts w:ascii="Arial" w:hAnsi="Arial"/>
          <w:i/>
          <w:sz w:val="18"/>
        </w:rPr>
        <w:t>Approche de la programmation, de la gestion, du suivi et de l</w:t>
      </w:r>
      <w:r>
        <w:rPr>
          <w:rFonts w:ascii="Arial" w:hAnsi="Arial"/>
          <w:i/>
          <w:sz w:val="18"/>
        </w:rPr>
        <w:t>’</w:t>
      </w:r>
      <w:r w:rsidRPr="00127F14">
        <w:rPr>
          <w:rFonts w:ascii="Arial" w:hAnsi="Arial"/>
          <w:i/>
          <w:sz w:val="18"/>
        </w:rPr>
        <w:t>établissement de rapports axée sur les résultats (GAR/RBM) telle qu</w:t>
      </w:r>
      <w:r>
        <w:rPr>
          <w:rFonts w:ascii="Arial" w:hAnsi="Arial"/>
          <w:i/>
          <w:sz w:val="18"/>
        </w:rPr>
        <w:t>’</w:t>
      </w:r>
      <w:r w:rsidRPr="00127F14">
        <w:rPr>
          <w:rFonts w:ascii="Arial" w:hAnsi="Arial"/>
          <w:i/>
          <w:sz w:val="18"/>
        </w:rPr>
        <w:t>elle est appliquée à l</w:t>
      </w:r>
      <w:r>
        <w:rPr>
          <w:rFonts w:ascii="Arial" w:hAnsi="Arial"/>
          <w:i/>
          <w:sz w:val="18"/>
        </w:rPr>
        <w:t>’</w:t>
      </w:r>
      <w:r w:rsidRPr="00127F14">
        <w:rPr>
          <w:rFonts w:ascii="Arial" w:hAnsi="Arial"/>
          <w:i/>
          <w:sz w:val="18"/>
        </w:rPr>
        <w:t>UNESCO : Principes directeurs</w:t>
      </w:r>
      <w:r w:rsidRPr="00127F14">
        <w:rPr>
          <w:rFonts w:ascii="Arial" w:hAnsi="Arial"/>
          <w:sz w:val="18"/>
        </w:rPr>
        <w:t xml:space="preserve"> (document BSP/RBM/2008/1.REV.6), p. </w:t>
      </w:r>
      <w:r w:rsidR="00BA0F94">
        <w:rPr>
          <w:rFonts w:ascii="Arial" w:hAnsi="Arial"/>
          <w:sz w:val="18"/>
        </w:rPr>
        <w:t>31</w:t>
      </w:r>
      <w:r w:rsidRPr="00127F14">
        <w:rPr>
          <w:rFonts w:ascii="Arial" w:hAnsi="Arial"/>
          <w:sz w:val="18"/>
        </w:rPr>
        <w:t xml:space="preserve">. </w:t>
      </w:r>
      <w:hyperlink r:id="rId5" w:history="1">
        <w:r w:rsidRPr="005B64FB">
          <w:rPr>
            <w:rStyle w:val="Hyperlink"/>
            <w:rFonts w:ascii="Arial" w:hAnsi="Arial"/>
            <w:sz w:val="18"/>
          </w:rPr>
          <w:t>http://unesdoc.unesco.org/images/0017/001775/177568F.pdf</w:t>
        </w:r>
      </w:hyperlink>
      <w:r w:rsidRPr="005B64FB">
        <w:rPr>
          <w:rFonts w:ascii="Arial" w:hAnsi="Arial"/>
          <w:sz w:val="18"/>
        </w:rPr>
        <w:t>.</w:t>
      </w:r>
    </w:p>
  </w:footnote>
  <w:footnote w:id="4">
    <w:p w14:paraId="7323D518" w14:textId="2A14769D" w:rsidR="005C5ED5" w:rsidRPr="005B64FB" w:rsidRDefault="005C5ED5" w:rsidP="00BA0F94">
      <w:pPr>
        <w:pStyle w:val="FootnoteText"/>
        <w:spacing w:before="60" w:after="60"/>
        <w:ind w:left="567" w:hanging="567"/>
        <w:rPr>
          <w:rFonts w:ascii="Arial" w:hAnsi="Arial" w:cs="Arial"/>
        </w:rPr>
      </w:pPr>
      <w:r w:rsidRPr="00127F14">
        <w:rPr>
          <w:rFonts w:ascii="Arial" w:hAnsi="Arial" w:cs="Arial"/>
          <w:sz w:val="18"/>
        </w:rPr>
        <w:footnoteRef/>
      </w:r>
      <w:r w:rsidRPr="005B64FB">
        <w:rPr>
          <w:rFonts w:ascii="Arial" w:hAnsi="Arial"/>
          <w:sz w:val="18"/>
        </w:rPr>
        <w:t>.</w:t>
      </w:r>
      <w:r w:rsidRPr="005B64FB">
        <w:rPr>
          <w:rFonts w:ascii="Arial" w:hAnsi="Arial"/>
          <w:sz w:val="18"/>
        </w:rPr>
        <w:tab/>
        <w:t xml:space="preserve">Ibid., p. </w:t>
      </w:r>
      <w:r w:rsidR="00BA0F94">
        <w:rPr>
          <w:rFonts w:ascii="Arial" w:hAnsi="Arial"/>
          <w:sz w:val="18"/>
        </w:rPr>
        <w:t>32</w:t>
      </w:r>
      <w:r w:rsidRPr="005B64FB">
        <w:rPr>
          <w:rFonts w:ascii="Arial" w:hAnsi="Arial"/>
          <w:sz w:val="18"/>
        </w:rPr>
        <w:t>.</w:t>
      </w:r>
    </w:p>
  </w:footnote>
  <w:footnote w:id="5">
    <w:p w14:paraId="3034B1C6" w14:textId="5AD2E113" w:rsidR="005C5ED5" w:rsidRPr="00745A44" w:rsidRDefault="005C5ED5" w:rsidP="00A47AF6">
      <w:pPr>
        <w:pStyle w:val="FootnoteText"/>
        <w:spacing w:before="60" w:after="60"/>
        <w:ind w:left="567" w:hanging="567"/>
        <w:jc w:val="both"/>
        <w:rPr>
          <w:rFonts w:ascii="Arial" w:hAnsi="Arial" w:cs="Arial"/>
          <w:sz w:val="16"/>
          <w:szCs w:val="18"/>
        </w:rPr>
      </w:pPr>
      <w:r w:rsidRPr="00745A44">
        <w:rPr>
          <w:rFonts w:ascii="Arial" w:hAnsi="Arial" w:cs="Arial"/>
          <w:sz w:val="18"/>
          <w:szCs w:val="18"/>
        </w:rPr>
        <w:footnoteRef/>
      </w:r>
      <w:r w:rsidRPr="00745A44">
        <w:rPr>
          <w:rFonts w:ascii="Arial" w:hAnsi="Arial"/>
          <w:sz w:val="18"/>
          <w:szCs w:val="18"/>
        </w:rPr>
        <w:t>.</w:t>
      </w:r>
      <w:r w:rsidRPr="00745A44">
        <w:rPr>
          <w:rFonts w:ascii="Arial" w:hAnsi="Arial"/>
          <w:sz w:val="18"/>
          <w:szCs w:val="18"/>
        </w:rPr>
        <w:tab/>
        <w:t>Cet indicateur fait l</w:t>
      </w:r>
      <w:r>
        <w:rPr>
          <w:rFonts w:ascii="Arial" w:hAnsi="Arial"/>
          <w:sz w:val="18"/>
          <w:szCs w:val="18"/>
        </w:rPr>
        <w:t>’</w:t>
      </w:r>
      <w:r w:rsidRPr="00745A44">
        <w:rPr>
          <w:rFonts w:ascii="Arial" w:hAnsi="Arial"/>
          <w:sz w:val="18"/>
          <w:szCs w:val="18"/>
        </w:rPr>
        <w:t>objet de suivi et de rapport seulement au niveau mondial.</w:t>
      </w:r>
    </w:p>
  </w:footnote>
  <w:footnote w:id="6">
    <w:p w14:paraId="7094BBB0" w14:textId="270EEE9F" w:rsidR="005C5ED5" w:rsidRPr="00745A44" w:rsidRDefault="005C5ED5" w:rsidP="00A47AF6">
      <w:pPr>
        <w:pStyle w:val="FootnoteText"/>
        <w:spacing w:before="60" w:after="60"/>
        <w:ind w:left="567" w:hanging="567"/>
        <w:jc w:val="both"/>
        <w:rPr>
          <w:rFonts w:ascii="Arial" w:hAnsi="Arial" w:cs="Arial"/>
          <w:sz w:val="18"/>
          <w:szCs w:val="18"/>
        </w:rPr>
      </w:pPr>
      <w:r w:rsidRPr="00745A44">
        <w:rPr>
          <w:rFonts w:ascii="Arial" w:hAnsi="Arial" w:cs="Arial"/>
          <w:sz w:val="18"/>
          <w:szCs w:val="18"/>
        </w:rPr>
        <w:footnoteRef/>
      </w:r>
      <w:r w:rsidRPr="00745A44">
        <w:rPr>
          <w:rFonts w:ascii="Arial" w:hAnsi="Arial"/>
          <w:sz w:val="18"/>
          <w:szCs w:val="18"/>
        </w:rPr>
        <w:t>.</w:t>
      </w:r>
      <w:r w:rsidRPr="00745A44">
        <w:rPr>
          <w:rFonts w:ascii="Arial" w:hAnsi="Arial"/>
          <w:sz w:val="18"/>
          <w:szCs w:val="18"/>
        </w:rPr>
        <w:tab/>
        <w:t>Cet indicateur fait l</w:t>
      </w:r>
      <w:r>
        <w:rPr>
          <w:rFonts w:ascii="Arial" w:hAnsi="Arial"/>
          <w:sz w:val="18"/>
          <w:szCs w:val="18"/>
        </w:rPr>
        <w:t>’</w:t>
      </w:r>
      <w:r w:rsidRPr="00745A44">
        <w:rPr>
          <w:rFonts w:ascii="Arial" w:hAnsi="Arial"/>
          <w:sz w:val="18"/>
          <w:szCs w:val="18"/>
        </w:rPr>
        <w:t>objet de suivi et de rapport seulement au niveau mondial.</w:t>
      </w:r>
    </w:p>
  </w:footnote>
  <w:footnote w:id="7">
    <w:p w14:paraId="14F14913" w14:textId="391B28DA" w:rsidR="005C5ED5" w:rsidRPr="00745A44" w:rsidRDefault="005C5ED5" w:rsidP="00A47AF6">
      <w:pPr>
        <w:pStyle w:val="FootnoteText"/>
        <w:spacing w:before="60" w:after="60"/>
        <w:ind w:left="567" w:hanging="567"/>
        <w:jc w:val="both"/>
        <w:rPr>
          <w:rFonts w:ascii="Arial" w:hAnsi="Arial" w:cs="Arial"/>
          <w:sz w:val="18"/>
        </w:rPr>
      </w:pPr>
      <w:r w:rsidRPr="00745A44">
        <w:rPr>
          <w:rStyle w:val="FootnoteReference"/>
          <w:rFonts w:ascii="Arial" w:hAnsi="Arial" w:cs="Arial"/>
          <w:sz w:val="18"/>
          <w:szCs w:val="18"/>
          <w:vertAlign w:val="baseline"/>
        </w:rPr>
        <w:footnoteRef/>
      </w:r>
      <w:r w:rsidRPr="00745A44">
        <w:rPr>
          <w:rFonts w:ascii="Arial" w:hAnsi="Arial"/>
          <w:sz w:val="18"/>
          <w:szCs w:val="18"/>
        </w:rPr>
        <w:t>.</w:t>
      </w:r>
      <w:r w:rsidRPr="00745A44">
        <w:rPr>
          <w:rFonts w:ascii="Arial" w:hAnsi="Arial"/>
          <w:sz w:val="18"/>
          <w:szCs w:val="18"/>
        </w:rPr>
        <w:tab/>
        <w:t>Cette colonne dresse une liste partielle de certaines dispositions pertinentes de la Convention, des Directives opérationnelles, et des Principes éthiques, pour l</w:t>
      </w:r>
      <w:r>
        <w:rPr>
          <w:rFonts w:ascii="Arial" w:hAnsi="Arial"/>
          <w:sz w:val="18"/>
          <w:szCs w:val="18"/>
        </w:rPr>
        <w:t>’</w:t>
      </w:r>
      <w:r w:rsidRPr="00745A44">
        <w:rPr>
          <w:rFonts w:ascii="Arial" w:hAnsi="Arial"/>
          <w:sz w:val="18"/>
          <w:szCs w:val="18"/>
        </w:rPr>
        <w:t>information du groupe de travail. Il est proposé que cette colonne ne soit pas adoptée formellement dans le cadre des résultats ; toutefois, les citations seraient intégrées dans les notes d</w:t>
      </w:r>
      <w:r>
        <w:rPr>
          <w:rFonts w:ascii="Arial" w:hAnsi="Arial"/>
          <w:sz w:val="18"/>
          <w:szCs w:val="18"/>
        </w:rPr>
        <w:t>’</w:t>
      </w:r>
      <w:r w:rsidRPr="00745A44">
        <w:rPr>
          <w:rFonts w:ascii="Arial" w:hAnsi="Arial"/>
          <w:sz w:val="18"/>
          <w:szCs w:val="18"/>
        </w:rPr>
        <w:t>orientation respectives.</w:t>
      </w:r>
    </w:p>
  </w:footnote>
  <w:footnote w:id="8">
    <w:p w14:paraId="078D1461" w14:textId="00E51680" w:rsidR="005C5ED5" w:rsidRPr="00745A44" w:rsidRDefault="005C5ED5" w:rsidP="00A47AF6">
      <w:pPr>
        <w:pStyle w:val="FootnoteText"/>
        <w:spacing w:before="60" w:after="60"/>
        <w:ind w:left="567" w:hanging="567"/>
        <w:jc w:val="both"/>
        <w:rPr>
          <w:rFonts w:ascii="Arial" w:hAnsi="Arial" w:cs="Arial"/>
          <w:sz w:val="16"/>
          <w:szCs w:val="18"/>
        </w:rPr>
      </w:pPr>
      <w:r w:rsidRPr="00745A44">
        <w:rPr>
          <w:rFonts w:ascii="Arial" w:hAnsi="Arial" w:cs="Arial"/>
          <w:sz w:val="18"/>
          <w:szCs w:val="18"/>
        </w:rPr>
        <w:footnoteRef/>
      </w:r>
      <w:r w:rsidRPr="00745A44">
        <w:rPr>
          <w:rFonts w:ascii="Arial" w:hAnsi="Arial"/>
          <w:sz w:val="18"/>
          <w:szCs w:val="18"/>
        </w:rPr>
        <w:t>.</w:t>
      </w:r>
      <w:r w:rsidRPr="00745A44">
        <w:rPr>
          <w:rFonts w:ascii="Arial" w:hAnsi="Arial"/>
          <w:sz w:val="18"/>
          <w:szCs w:val="18"/>
        </w:rPr>
        <w:tab/>
        <w:t>L</w:t>
      </w:r>
      <w:r>
        <w:rPr>
          <w:rFonts w:ascii="Arial" w:hAnsi="Arial"/>
          <w:sz w:val="18"/>
          <w:szCs w:val="18"/>
        </w:rPr>
        <w:t>’</w:t>
      </w:r>
      <w:r w:rsidRPr="00745A44">
        <w:rPr>
          <w:rFonts w:ascii="Arial" w:hAnsi="Arial"/>
          <w:sz w:val="18"/>
          <w:szCs w:val="18"/>
        </w:rPr>
        <w:t>expression « inscrit ou non » doit s</w:t>
      </w:r>
      <w:r>
        <w:rPr>
          <w:rFonts w:ascii="Arial" w:hAnsi="Arial"/>
          <w:sz w:val="18"/>
          <w:szCs w:val="18"/>
        </w:rPr>
        <w:t>’</w:t>
      </w:r>
      <w:r w:rsidRPr="00745A44">
        <w:rPr>
          <w:rFonts w:ascii="Arial" w:hAnsi="Arial"/>
          <w:sz w:val="18"/>
          <w:szCs w:val="18"/>
        </w:rPr>
        <w:t>entendre comme « inscrit sur la Liste du patrimoine culturel immatériel nécessitant une sauvegarde urgente ou la Liste représentative du patrimoine culturel immatériel de l</w:t>
      </w:r>
      <w:r>
        <w:rPr>
          <w:rFonts w:ascii="Arial" w:hAnsi="Arial"/>
          <w:sz w:val="18"/>
          <w:szCs w:val="18"/>
        </w:rPr>
        <w:t>’</w:t>
      </w:r>
      <w:r w:rsidRPr="00745A44">
        <w:rPr>
          <w:rFonts w:ascii="Arial" w:hAnsi="Arial"/>
          <w:sz w:val="18"/>
          <w:szCs w:val="18"/>
        </w:rPr>
        <w:t>humanité ».</w:t>
      </w:r>
    </w:p>
  </w:footnote>
  <w:footnote w:id="9">
    <w:p w14:paraId="4A5382BD" w14:textId="77777777" w:rsidR="005C5ED5" w:rsidRPr="00745A44" w:rsidRDefault="005C5ED5" w:rsidP="00A47AF6">
      <w:pPr>
        <w:pStyle w:val="FootnoteText"/>
        <w:spacing w:before="60" w:after="60"/>
        <w:ind w:left="567" w:hanging="567"/>
        <w:jc w:val="both"/>
        <w:rPr>
          <w:sz w:val="18"/>
        </w:rPr>
      </w:pPr>
      <w:r w:rsidRPr="00745A44">
        <w:rPr>
          <w:rStyle w:val="FootnoteReference"/>
          <w:rFonts w:ascii="Arial" w:hAnsi="Arial" w:cs="Arial"/>
          <w:sz w:val="18"/>
          <w:vertAlign w:val="baseline"/>
        </w:rPr>
        <w:footnoteRef/>
      </w:r>
      <w:r>
        <w:rPr>
          <w:sz w:val="18"/>
        </w:rPr>
        <w:t>.</w:t>
      </w:r>
      <w:r w:rsidRPr="00745A44">
        <w:rPr>
          <w:sz w:val="18"/>
        </w:rPr>
        <w:tab/>
      </w:r>
      <w:r w:rsidRPr="00745A44">
        <w:rPr>
          <w:rFonts w:ascii="Arial" w:hAnsi="Arial"/>
          <w:sz w:val="18"/>
          <w:szCs w:val="18"/>
        </w:rPr>
        <w:t>Les termes et expressions « inclusif », « de manière inclusive » ou « sur une base inclusive » doivent être compris comme « intégrant tous les secteurs et couches de la société, ainsi que les peuples autochtones, les migrants, les immigrants et les réfugiés, les personnes de différents âges et sexes, les personnes handicapées et les membres des groupes vulnérables » (cf. Directives opérationnelles 174 et 194). Une fois ces actions et effets présentés, les États parties seront encouragés à fournir des données ventilées ou à expliquer comment cette intégration est assurée.</w:t>
      </w:r>
    </w:p>
  </w:footnote>
  <w:footnote w:id="10">
    <w:p w14:paraId="00CB5AAA" w14:textId="718E1CE0" w:rsidR="005C5ED5" w:rsidRPr="00745A44" w:rsidRDefault="005C5ED5" w:rsidP="00A47AF6">
      <w:pPr>
        <w:pStyle w:val="FootnoteText"/>
        <w:spacing w:before="60" w:after="60"/>
        <w:ind w:left="567" w:hanging="567"/>
        <w:jc w:val="both"/>
        <w:rPr>
          <w:sz w:val="18"/>
          <w:szCs w:val="18"/>
        </w:rPr>
      </w:pPr>
      <w:r w:rsidRPr="00745A44">
        <w:rPr>
          <w:rFonts w:ascii="Arial" w:hAnsi="Arial"/>
          <w:sz w:val="18"/>
          <w:szCs w:val="18"/>
        </w:rPr>
        <w:footnoteRef/>
      </w:r>
      <w:r w:rsidRPr="00745A44">
        <w:rPr>
          <w:rFonts w:ascii="Arial" w:hAnsi="Arial"/>
          <w:sz w:val="18"/>
          <w:szCs w:val="18"/>
        </w:rPr>
        <w:t>.</w:t>
      </w:r>
      <w:r w:rsidRPr="00745A44">
        <w:rPr>
          <w:rFonts w:ascii="Arial" w:hAnsi="Arial"/>
          <w:sz w:val="18"/>
          <w:szCs w:val="18"/>
        </w:rPr>
        <w:tab/>
        <w:t>Bien que la Convention utilise systématiquement le libellé « les communautés, les groupes et les individus », plusieurs facteurs d</w:t>
      </w:r>
      <w:r>
        <w:rPr>
          <w:rFonts w:ascii="Arial" w:hAnsi="Arial"/>
          <w:sz w:val="18"/>
          <w:szCs w:val="18"/>
        </w:rPr>
        <w:t>’</w:t>
      </w:r>
      <w:r w:rsidRPr="00745A44">
        <w:rPr>
          <w:rFonts w:ascii="Arial" w:hAnsi="Arial"/>
          <w:sz w:val="18"/>
          <w:szCs w:val="18"/>
        </w:rPr>
        <w:t>appréciation, tout comme plusieurs Directives opérationnelles, choisissent de se référer à « praticiens et détenteurs » pour mieux identifier certains de leurs membres qui jouent un rôle spécifique en ce qui concerne leur patrimoine culturel immatériel.</w:t>
      </w:r>
    </w:p>
  </w:footnote>
  <w:footnote w:id="11">
    <w:p w14:paraId="1461E29C" w14:textId="32CD16E3" w:rsidR="005C5ED5" w:rsidRPr="00745A44" w:rsidRDefault="005C5ED5" w:rsidP="00A47AF6">
      <w:pPr>
        <w:pStyle w:val="FootnoteText"/>
        <w:spacing w:before="60" w:after="60"/>
        <w:ind w:left="509" w:hangingChars="283" w:hanging="509"/>
        <w:jc w:val="both"/>
        <w:rPr>
          <w:rFonts w:ascii="Arial" w:hAnsi="Arial" w:cs="Arial"/>
          <w:sz w:val="16"/>
          <w:szCs w:val="18"/>
        </w:rPr>
      </w:pPr>
      <w:r w:rsidRPr="00745A44">
        <w:rPr>
          <w:rFonts w:ascii="Arial" w:hAnsi="Arial" w:cs="Arial"/>
          <w:sz w:val="18"/>
          <w:szCs w:val="18"/>
        </w:rPr>
        <w:footnoteRef/>
      </w:r>
      <w:r w:rsidRPr="00745A44">
        <w:rPr>
          <w:rFonts w:ascii="Arial" w:hAnsi="Arial" w:cs="Arial"/>
          <w:sz w:val="18"/>
          <w:szCs w:val="18"/>
        </w:rPr>
        <w:t>.</w:t>
      </w:r>
      <w:r w:rsidRPr="00745A44">
        <w:rPr>
          <w:rFonts w:ascii="Arial" w:hAnsi="Arial" w:cs="Arial"/>
          <w:sz w:val="18"/>
          <w:szCs w:val="18"/>
        </w:rPr>
        <w:tab/>
        <w:t>Conformément au chapitre VI des Directives opérationnelles, le développement social inclusif englobe la sécurité alimentaire, les soins de santé, l</w:t>
      </w:r>
      <w:r>
        <w:rPr>
          <w:rFonts w:ascii="Arial" w:hAnsi="Arial" w:cs="Arial"/>
          <w:sz w:val="18"/>
          <w:szCs w:val="18"/>
        </w:rPr>
        <w:t>’</w:t>
      </w:r>
      <w:r w:rsidRPr="00745A44">
        <w:rPr>
          <w:rFonts w:ascii="Arial" w:hAnsi="Arial" w:cs="Arial"/>
          <w:sz w:val="18"/>
          <w:szCs w:val="18"/>
        </w:rPr>
        <w:t>égalité des genres, l</w:t>
      </w:r>
      <w:r>
        <w:rPr>
          <w:rFonts w:ascii="Arial" w:hAnsi="Arial" w:cs="Arial"/>
          <w:sz w:val="18"/>
          <w:szCs w:val="18"/>
        </w:rPr>
        <w:t>’</w:t>
      </w:r>
      <w:r w:rsidRPr="00745A44">
        <w:rPr>
          <w:rFonts w:ascii="Arial" w:hAnsi="Arial" w:cs="Arial"/>
          <w:sz w:val="18"/>
          <w:szCs w:val="18"/>
        </w:rPr>
        <w:t>accès à l</w:t>
      </w:r>
      <w:r>
        <w:rPr>
          <w:rFonts w:ascii="Arial" w:hAnsi="Arial" w:cs="Arial"/>
          <w:sz w:val="18"/>
          <w:szCs w:val="18"/>
        </w:rPr>
        <w:t>’</w:t>
      </w:r>
      <w:r w:rsidRPr="00745A44">
        <w:rPr>
          <w:rFonts w:ascii="Arial" w:hAnsi="Arial" w:cs="Arial"/>
          <w:sz w:val="18"/>
          <w:szCs w:val="18"/>
        </w:rPr>
        <w:t>eau propre et potable et l</w:t>
      </w:r>
      <w:r>
        <w:rPr>
          <w:rFonts w:ascii="Arial" w:hAnsi="Arial" w:cs="Arial"/>
          <w:sz w:val="18"/>
          <w:szCs w:val="18"/>
        </w:rPr>
        <w:t>’</w:t>
      </w:r>
      <w:r w:rsidRPr="00745A44">
        <w:rPr>
          <w:rFonts w:ascii="Arial" w:hAnsi="Arial" w:cs="Arial"/>
          <w:sz w:val="18"/>
          <w:szCs w:val="18"/>
        </w:rPr>
        <w:t>utilisation durable de l</w:t>
      </w:r>
      <w:r>
        <w:rPr>
          <w:rFonts w:ascii="Arial" w:hAnsi="Arial" w:cs="Arial"/>
          <w:sz w:val="18"/>
          <w:szCs w:val="18"/>
        </w:rPr>
        <w:t>’</w:t>
      </w:r>
      <w:r w:rsidRPr="00745A44">
        <w:rPr>
          <w:rFonts w:ascii="Arial" w:hAnsi="Arial" w:cs="Arial"/>
          <w:sz w:val="18"/>
          <w:szCs w:val="18"/>
        </w:rPr>
        <w:t>eau ; l</w:t>
      </w:r>
      <w:r>
        <w:rPr>
          <w:rFonts w:ascii="Arial" w:hAnsi="Arial" w:cs="Arial"/>
          <w:sz w:val="18"/>
          <w:szCs w:val="18"/>
        </w:rPr>
        <w:t>’</w:t>
      </w:r>
      <w:r w:rsidRPr="00745A44">
        <w:rPr>
          <w:rFonts w:ascii="Arial" w:hAnsi="Arial" w:cs="Arial"/>
          <w:sz w:val="18"/>
          <w:szCs w:val="18"/>
        </w:rPr>
        <w:t>éducation de qualité étant quant à elle couverte par l</w:t>
      </w:r>
      <w:r>
        <w:rPr>
          <w:rFonts w:ascii="Arial" w:hAnsi="Arial" w:cs="Arial"/>
          <w:sz w:val="18"/>
          <w:szCs w:val="18"/>
        </w:rPr>
        <w:t>’</w:t>
      </w:r>
      <w:r w:rsidRPr="00745A44">
        <w:rPr>
          <w:rFonts w:ascii="Arial" w:hAnsi="Arial" w:cs="Arial"/>
          <w:sz w:val="18"/>
          <w:szCs w:val="18"/>
        </w:rPr>
        <w:t>indicateur 12.</w:t>
      </w:r>
    </w:p>
  </w:footnote>
  <w:footnote w:id="12">
    <w:p w14:paraId="0A3F2CA7" w14:textId="73EEFADA" w:rsidR="005C5ED5" w:rsidRPr="00745A44" w:rsidRDefault="005C5ED5" w:rsidP="00A47AF6">
      <w:pPr>
        <w:pStyle w:val="FootnoteText"/>
        <w:spacing w:before="60" w:after="60"/>
        <w:ind w:left="509" w:hangingChars="283" w:hanging="509"/>
        <w:jc w:val="both"/>
      </w:pPr>
      <w:r w:rsidRPr="00745A44">
        <w:rPr>
          <w:rFonts w:ascii="Arial" w:hAnsi="Arial" w:cs="Arial"/>
          <w:sz w:val="18"/>
          <w:szCs w:val="18"/>
        </w:rPr>
        <w:footnoteRef/>
      </w:r>
      <w:r w:rsidRPr="00745A44">
        <w:rPr>
          <w:rFonts w:ascii="Arial" w:hAnsi="Arial" w:cs="Arial"/>
          <w:sz w:val="18"/>
          <w:szCs w:val="18"/>
        </w:rPr>
        <w:t>.</w:t>
      </w:r>
      <w:r w:rsidRPr="00745A44">
        <w:rPr>
          <w:rFonts w:ascii="Arial" w:hAnsi="Arial" w:cs="Arial"/>
          <w:sz w:val="18"/>
          <w:szCs w:val="18"/>
        </w:rPr>
        <w:tab/>
        <w:t>Conformément au chapitre VI des Directives opérationnelles, le développement économique inclusif englobe la génération de revenus et moyens de subsistance durables, l</w:t>
      </w:r>
      <w:r>
        <w:rPr>
          <w:rFonts w:ascii="Arial" w:hAnsi="Arial" w:cs="Arial"/>
          <w:sz w:val="18"/>
          <w:szCs w:val="18"/>
        </w:rPr>
        <w:t>’</w:t>
      </w:r>
      <w:r w:rsidRPr="00745A44">
        <w:rPr>
          <w:rFonts w:ascii="Arial" w:hAnsi="Arial" w:cs="Arial"/>
          <w:sz w:val="18"/>
          <w:szCs w:val="18"/>
        </w:rPr>
        <w:t>emploi productif et le travail décent et l</w:t>
      </w:r>
      <w:r>
        <w:rPr>
          <w:rFonts w:ascii="Arial" w:hAnsi="Arial" w:cs="Arial"/>
          <w:sz w:val="18"/>
          <w:szCs w:val="18"/>
        </w:rPr>
        <w:t>’</w:t>
      </w:r>
      <w:r w:rsidRPr="00745A44">
        <w:rPr>
          <w:rFonts w:ascii="Arial" w:hAnsi="Arial" w:cs="Arial"/>
          <w:sz w:val="18"/>
          <w:szCs w:val="18"/>
        </w:rPr>
        <w:t>impact du tourisme sur la sauvegarde du PCI et réciproquement.</w:t>
      </w:r>
    </w:p>
  </w:footnote>
  <w:footnote w:id="13">
    <w:p w14:paraId="34A0C791" w14:textId="3CD968C5" w:rsidR="005C5ED5" w:rsidRPr="00745A44" w:rsidRDefault="005C5ED5" w:rsidP="00A47AF6">
      <w:pPr>
        <w:pStyle w:val="FootnoteText"/>
        <w:tabs>
          <w:tab w:val="left" w:pos="567"/>
        </w:tabs>
        <w:spacing w:before="60" w:after="60"/>
        <w:ind w:left="567" w:hanging="567"/>
        <w:rPr>
          <w:rFonts w:ascii="Arial" w:hAnsi="Arial" w:cs="Arial"/>
          <w:sz w:val="16"/>
          <w:szCs w:val="18"/>
        </w:rPr>
      </w:pPr>
      <w:r w:rsidRPr="00745A44">
        <w:rPr>
          <w:rFonts w:ascii="Arial" w:hAnsi="Arial" w:cs="Arial"/>
          <w:sz w:val="18"/>
          <w:szCs w:val="18"/>
        </w:rPr>
        <w:footnoteRef/>
      </w:r>
      <w:r w:rsidRPr="00745A44">
        <w:rPr>
          <w:rFonts w:ascii="Arial" w:hAnsi="Arial"/>
          <w:sz w:val="18"/>
          <w:szCs w:val="18"/>
        </w:rPr>
        <w:t>.</w:t>
      </w:r>
      <w:r w:rsidRPr="00745A44">
        <w:rPr>
          <w:rFonts w:ascii="Arial" w:hAnsi="Arial"/>
          <w:sz w:val="18"/>
          <w:szCs w:val="18"/>
        </w:rPr>
        <w:tab/>
        <w:t>Cet indicateur fait l</w:t>
      </w:r>
      <w:r>
        <w:rPr>
          <w:rFonts w:ascii="Arial" w:hAnsi="Arial"/>
          <w:sz w:val="18"/>
          <w:szCs w:val="18"/>
        </w:rPr>
        <w:t>’</w:t>
      </w:r>
      <w:r w:rsidRPr="00745A44">
        <w:rPr>
          <w:rFonts w:ascii="Arial" w:hAnsi="Arial"/>
          <w:sz w:val="18"/>
          <w:szCs w:val="18"/>
        </w:rPr>
        <w:t>objet de suivi et de rapport seulement au niveau mondial.</w:t>
      </w:r>
    </w:p>
  </w:footnote>
  <w:footnote w:id="14">
    <w:p w14:paraId="1714CD0C" w14:textId="251B26B0" w:rsidR="005C5ED5" w:rsidRPr="00745A44" w:rsidRDefault="005C5ED5" w:rsidP="00A47AF6">
      <w:pPr>
        <w:pStyle w:val="FootnoteText"/>
        <w:tabs>
          <w:tab w:val="left" w:pos="567"/>
        </w:tabs>
        <w:spacing w:before="60" w:after="60"/>
        <w:ind w:left="567" w:hanging="567"/>
        <w:rPr>
          <w:rFonts w:ascii="Arial" w:hAnsi="Arial" w:cs="Arial"/>
          <w:sz w:val="16"/>
          <w:szCs w:val="18"/>
        </w:rPr>
      </w:pPr>
      <w:r w:rsidRPr="00745A44">
        <w:rPr>
          <w:rFonts w:ascii="Arial" w:hAnsi="Arial" w:cs="Arial"/>
          <w:sz w:val="18"/>
          <w:szCs w:val="18"/>
        </w:rPr>
        <w:footnoteRef/>
      </w:r>
      <w:r w:rsidRPr="00745A44">
        <w:rPr>
          <w:rFonts w:ascii="Arial" w:hAnsi="Arial"/>
          <w:sz w:val="18"/>
          <w:szCs w:val="18"/>
        </w:rPr>
        <w:t>.</w:t>
      </w:r>
      <w:r w:rsidRPr="00745A44">
        <w:rPr>
          <w:rFonts w:ascii="Arial" w:hAnsi="Arial"/>
          <w:sz w:val="18"/>
          <w:szCs w:val="18"/>
        </w:rPr>
        <w:tab/>
        <w:t>Cet indicateur fait l</w:t>
      </w:r>
      <w:r>
        <w:rPr>
          <w:rFonts w:ascii="Arial" w:hAnsi="Arial"/>
          <w:sz w:val="18"/>
          <w:szCs w:val="18"/>
        </w:rPr>
        <w:t>’</w:t>
      </w:r>
      <w:r w:rsidRPr="00745A44">
        <w:rPr>
          <w:rFonts w:ascii="Arial" w:hAnsi="Arial"/>
          <w:sz w:val="18"/>
          <w:szCs w:val="18"/>
        </w:rPr>
        <w:t>objet de suivi et de rapport seulement au niveau mondial.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4BD30" w14:textId="330B8341" w:rsidR="005C5ED5" w:rsidRPr="005C03BC" w:rsidRDefault="005C5ED5" w:rsidP="005C03BC">
    <w:pPr>
      <w:pStyle w:val="Header"/>
      <w:rPr>
        <w:rFonts w:ascii="Arial" w:hAnsi="Arial" w:cs="Arial"/>
      </w:rPr>
    </w:pPr>
    <w:r>
      <w:rPr>
        <w:rFonts w:ascii="Arial" w:hAnsi="Arial"/>
        <w:sz w:val="20"/>
        <w:szCs w:val="20"/>
      </w:rPr>
      <w:t xml:space="preserve">ITH/18/7.GA/9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CE0632">
      <w:rPr>
        <w:rStyle w:val="PageNumber"/>
        <w:rFonts w:ascii="Arial" w:hAnsi="Arial" w:cs="Arial"/>
        <w:noProof/>
        <w:sz w:val="20"/>
        <w:szCs w:val="20"/>
      </w:rPr>
      <w:t>6</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04636" w14:textId="1DDFA56B" w:rsidR="005C5ED5" w:rsidRPr="005C03BC" w:rsidRDefault="005C5ED5" w:rsidP="005C03BC">
    <w:pPr>
      <w:pStyle w:val="Header"/>
      <w:jc w:val="right"/>
      <w:rPr>
        <w:rFonts w:ascii="Arial" w:hAnsi="Arial" w:cs="Arial"/>
      </w:rPr>
    </w:pPr>
    <w:r>
      <w:rPr>
        <w:rFonts w:ascii="Arial" w:hAnsi="Arial"/>
        <w:sz w:val="20"/>
        <w:szCs w:val="20"/>
      </w:rPr>
      <w:t xml:space="preserve">ITH/18/7.GA/9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CE0632">
      <w:rPr>
        <w:rStyle w:val="PageNumber"/>
        <w:rFonts w:ascii="Arial" w:hAnsi="Arial" w:cs="Arial"/>
        <w:noProof/>
        <w:sz w:val="20"/>
        <w:szCs w:val="20"/>
      </w:rPr>
      <w:t>7</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D2D4" w14:textId="50A519E4" w:rsidR="005C5ED5" w:rsidRPr="00F32C23" w:rsidRDefault="005C5ED5">
    <w:pPr>
      <w:pStyle w:val="Header"/>
    </w:pPr>
    <w:r>
      <w:rPr>
        <w:noProof/>
        <w:lang w:val="en-US" w:eastAsia="ko-KR"/>
      </w:rPr>
      <w:drawing>
        <wp:anchor distT="0" distB="0" distL="114300" distR="114300" simplePos="0" relativeHeight="251659264" behindDoc="0" locked="0" layoutInCell="1" allowOverlap="1" wp14:anchorId="68DF0DFA" wp14:editId="57A7C868">
          <wp:simplePos x="0" y="0"/>
          <wp:positionH relativeFrom="page">
            <wp:posOffset>342265</wp:posOffset>
          </wp:positionH>
          <wp:positionV relativeFrom="page">
            <wp:posOffset>255905</wp:posOffset>
          </wp:positionV>
          <wp:extent cx="2037600" cy="1530000"/>
          <wp:effectExtent l="0" t="0" r="1270" b="0"/>
          <wp:wrapNone/>
          <wp:docPr id="1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6F823" w14:textId="7CF68CD8" w:rsidR="005C5ED5" w:rsidRPr="00127F14" w:rsidRDefault="005C5ED5" w:rsidP="00655736">
    <w:pPr>
      <w:pStyle w:val="Header"/>
      <w:spacing w:after="520"/>
      <w:jc w:val="right"/>
      <w:rPr>
        <w:rFonts w:ascii="Arial" w:hAnsi="Arial" w:cs="Arial"/>
        <w:b/>
        <w:sz w:val="44"/>
        <w:szCs w:val="44"/>
        <w:lang w:val="nl-NL"/>
      </w:rPr>
    </w:pPr>
    <w:r w:rsidRPr="00127F14">
      <w:rPr>
        <w:rFonts w:ascii="Arial" w:hAnsi="Arial"/>
        <w:b/>
        <w:sz w:val="44"/>
        <w:szCs w:val="44"/>
        <w:lang w:val="nl-NL"/>
      </w:rPr>
      <w:t>7 </w:t>
    </w:r>
    <w:proofErr w:type="gramStart"/>
    <w:r w:rsidRPr="00127F14">
      <w:rPr>
        <w:rFonts w:ascii="Arial" w:hAnsi="Arial"/>
        <w:b/>
        <w:sz w:val="44"/>
        <w:szCs w:val="44"/>
        <w:lang w:val="nl-NL"/>
      </w:rPr>
      <w:t>GA</w:t>
    </w:r>
    <w:proofErr w:type="gramEnd"/>
  </w:p>
  <w:p w14:paraId="49BA50EC" w14:textId="2E5F646E" w:rsidR="005C5ED5" w:rsidRPr="00127F14" w:rsidRDefault="005C5ED5" w:rsidP="00655736">
    <w:pPr>
      <w:jc w:val="right"/>
      <w:rPr>
        <w:rFonts w:ascii="Arial" w:hAnsi="Arial" w:cs="Arial"/>
        <w:b/>
        <w:sz w:val="22"/>
        <w:szCs w:val="22"/>
        <w:lang w:val="nl-NL"/>
      </w:rPr>
    </w:pPr>
    <w:r w:rsidRPr="00127F14">
      <w:rPr>
        <w:rFonts w:ascii="Arial" w:hAnsi="Arial"/>
        <w:b/>
        <w:sz w:val="22"/>
        <w:szCs w:val="22"/>
        <w:lang w:val="nl-NL"/>
      </w:rPr>
      <w:t>ITH/18/7.GA/9</w:t>
    </w:r>
  </w:p>
  <w:p w14:paraId="0BBF5164" w14:textId="6C538C6C" w:rsidR="005C5ED5" w:rsidRPr="00127F14" w:rsidRDefault="005C5ED5" w:rsidP="00F10AD9">
    <w:pPr>
      <w:jc w:val="right"/>
      <w:rPr>
        <w:rFonts w:ascii="Arial" w:hAnsi="Arial" w:cs="Arial"/>
        <w:b/>
        <w:sz w:val="22"/>
        <w:szCs w:val="22"/>
        <w:lang w:val="nl-NL"/>
      </w:rPr>
    </w:pPr>
    <w:r w:rsidRPr="00127F14">
      <w:rPr>
        <w:rFonts w:ascii="Arial" w:hAnsi="Arial"/>
        <w:b/>
        <w:sz w:val="22"/>
        <w:szCs w:val="22"/>
        <w:lang w:val="nl-NL"/>
      </w:rPr>
      <w:t xml:space="preserve">Paris, </w:t>
    </w:r>
    <w:proofErr w:type="spellStart"/>
    <w:r w:rsidR="00CE0632">
      <w:rPr>
        <w:rFonts w:ascii="Arial" w:hAnsi="Arial"/>
        <w:b/>
        <w:sz w:val="22"/>
        <w:szCs w:val="22"/>
        <w:lang w:val="nl-NL"/>
      </w:rPr>
      <w:t>le</w:t>
    </w:r>
    <w:proofErr w:type="spellEnd"/>
    <w:r w:rsidR="00CE0632">
      <w:rPr>
        <w:rFonts w:ascii="Arial" w:hAnsi="Arial"/>
        <w:b/>
        <w:sz w:val="22"/>
        <w:szCs w:val="22"/>
        <w:lang w:val="nl-NL"/>
      </w:rPr>
      <w:t xml:space="preserve"> </w:t>
    </w:r>
    <w:r w:rsidR="000239F4">
      <w:rPr>
        <w:rFonts w:ascii="Arial" w:hAnsi="Arial"/>
        <w:b/>
        <w:sz w:val="22"/>
        <w:szCs w:val="22"/>
        <w:lang w:val="nl-NL"/>
      </w:rPr>
      <w:t>4</w:t>
    </w:r>
    <w:r w:rsidR="00F10AD9">
      <w:rPr>
        <w:rFonts w:ascii="Arial" w:hAnsi="Arial"/>
        <w:b/>
        <w:sz w:val="22"/>
        <w:szCs w:val="22"/>
        <w:lang w:val="nl-NL"/>
      </w:rPr>
      <w:t xml:space="preserve"> </w:t>
    </w:r>
    <w:r w:rsidR="00F10AD9" w:rsidRPr="000239F4">
      <w:rPr>
        <w:rFonts w:ascii="Arial" w:hAnsi="Arial"/>
        <w:b/>
        <w:sz w:val="22"/>
        <w:szCs w:val="22"/>
      </w:rPr>
      <w:t>mai</w:t>
    </w:r>
    <w:r w:rsidRPr="00127F14">
      <w:rPr>
        <w:rFonts w:ascii="Arial" w:hAnsi="Arial"/>
        <w:b/>
        <w:sz w:val="22"/>
        <w:szCs w:val="22"/>
        <w:lang w:val="nl-NL"/>
      </w:rPr>
      <w:t xml:space="preserve"> 2018</w:t>
    </w:r>
  </w:p>
  <w:p w14:paraId="45A23322" w14:textId="77777777" w:rsidR="005C5ED5" w:rsidRDefault="005C5ED5" w:rsidP="004E1D2C">
    <w:pPr>
      <w:jc w:val="right"/>
      <w:rPr>
        <w:rFonts w:ascii="Arial" w:hAnsi="Arial" w:cs="Arial"/>
        <w:b/>
        <w:sz w:val="22"/>
        <w:szCs w:val="22"/>
      </w:rPr>
    </w:pPr>
    <w:r>
      <w:rPr>
        <w:rFonts w:ascii="Arial" w:hAnsi="Arial"/>
        <w:b/>
        <w:sz w:val="22"/>
        <w:szCs w:val="22"/>
      </w:rPr>
      <w:t>Original : anglais</w:t>
    </w:r>
  </w:p>
  <w:p w14:paraId="7A9075F7" w14:textId="77777777" w:rsidR="005C5ED5" w:rsidRPr="00D838E4" w:rsidRDefault="005C5ED5" w:rsidP="00D838E4">
    <w:pPr>
      <w:rPr>
        <w:sz w:val="22"/>
        <w:szCs w:val="22"/>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81820" w14:textId="77777777" w:rsidR="005C5ED5" w:rsidRPr="00A8072E" w:rsidRDefault="005C5ED5" w:rsidP="00A8072E">
    <w:pPr>
      <w:pStyle w:val="Header"/>
      <w:rPr>
        <w:rFonts w:ascii="Arial" w:hAnsi="Arial" w:cs="Arial"/>
      </w:rPr>
    </w:pPr>
    <w:r>
      <w:rPr>
        <w:rFonts w:ascii="Arial" w:hAnsi="Arial"/>
        <w:sz w:val="20"/>
        <w:szCs w:val="20"/>
      </w:rPr>
      <w:t>ITH/17/12.COM/</w:t>
    </w:r>
    <w:r>
      <w:rPr>
        <w:rFonts w:ascii="Arial" w:hAnsi="Arial"/>
        <w:sz w:val="20"/>
        <w:szCs w:val="20"/>
        <w:highlight w:val="yellow"/>
      </w:rPr>
      <w:t>9</w:t>
    </w:r>
    <w:r>
      <w:rPr>
        <w:rFonts w:ascii="Arial" w:hAnsi="Arial"/>
        <w:sz w:val="20"/>
        <w:szCs w:val="20"/>
      </w:rPr>
      <w:t xml:space="preserve">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Pr>
        <w:rStyle w:val="PageNumber"/>
        <w:rFonts w:ascii="Arial" w:hAnsi="Arial" w:cs="Arial"/>
        <w:sz w:val="20"/>
        <w:szCs w:val="20"/>
      </w:rPr>
      <w:t>10</w:t>
    </w:r>
    <w:r w:rsidRPr="00C23A97">
      <w:rPr>
        <w:rStyle w:val="PageNumbe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C082EE2C"/>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C3839CC"/>
    <w:multiLevelType w:val="multilevel"/>
    <w:tmpl w:val="04090021"/>
    <w:lvl w:ilvl="0">
      <w:start w:val="1"/>
      <w:numFmt w:val="upperRoman"/>
      <w:lvlText w:val="%1."/>
      <w:lvlJc w:val="left"/>
      <w:pPr>
        <w:ind w:left="425" w:hanging="425"/>
      </w:pPr>
    </w:lvl>
    <w:lvl w:ilvl="1">
      <w:start w:val="1"/>
      <w:numFmt w:val="upperLetter"/>
      <w:lvlText w:val="%2."/>
      <w:lvlJc w:val="left"/>
      <w:pPr>
        <w:ind w:left="851" w:hanging="426"/>
      </w:pPr>
    </w:lvl>
    <w:lvl w:ilvl="2">
      <w:start w:val="1"/>
      <w:numFmt w:val="decimal"/>
      <w:lvlText w:val="%3."/>
      <w:lvlJc w:val="left"/>
      <w:pPr>
        <w:ind w:left="1276" w:hanging="425"/>
      </w:pPr>
    </w:lvl>
    <w:lvl w:ilvl="3">
      <w:start w:val="1"/>
      <w:numFmt w:val="lowerLetter"/>
      <w:lvlText w:val="%4."/>
      <w:lvlJc w:val="left"/>
      <w:pPr>
        <w:ind w:left="1559" w:hanging="283"/>
      </w:pPr>
    </w:lvl>
    <w:lvl w:ilvl="4">
      <w:start w:val="1"/>
      <w:numFmt w:val="decimal"/>
      <w:lvlText w:val="%5."/>
      <w:lvlJc w:val="left"/>
      <w:pPr>
        <w:ind w:left="1984" w:hanging="425"/>
      </w:pPr>
    </w:lvl>
    <w:lvl w:ilvl="5">
      <w:start w:val="1"/>
      <w:numFmt w:val="lowerLetter"/>
      <w:lvlText w:val="%6."/>
      <w:lvlJc w:val="left"/>
      <w:pPr>
        <w:ind w:left="2409" w:hanging="425"/>
      </w:pPr>
    </w:lvl>
    <w:lvl w:ilvl="6">
      <w:start w:val="1"/>
      <w:numFmt w:val="lowerRoman"/>
      <w:lvlText w:val="%7."/>
      <w:lvlJc w:val="left"/>
      <w:pPr>
        <w:ind w:left="2835" w:hanging="426"/>
      </w:pPr>
    </w:lvl>
    <w:lvl w:ilvl="7">
      <w:start w:val="1"/>
      <w:numFmt w:val="lowerLetter"/>
      <w:lvlText w:val="%8."/>
      <w:lvlJc w:val="left"/>
      <w:pPr>
        <w:ind w:left="3260" w:hanging="425"/>
      </w:pPr>
    </w:lvl>
    <w:lvl w:ilvl="8">
      <w:start w:val="1"/>
      <w:numFmt w:val="lowerRoman"/>
      <w:lvlText w:val="%9."/>
      <w:lvlJc w:val="left"/>
      <w:pPr>
        <w:ind w:left="3685" w:hanging="425"/>
      </w:pPr>
    </w:lvl>
  </w:abstractNum>
  <w:abstractNum w:abstractNumId="7" w15:restartNumberingAfterBreak="0">
    <w:nsid w:val="1D5155C1"/>
    <w:multiLevelType w:val="multilevel"/>
    <w:tmpl w:val="356E2A84"/>
    <w:lvl w:ilvl="0">
      <w:start w:val="2"/>
      <w:numFmt w:val="decimal"/>
      <w:lvlText w:val="%1"/>
      <w:lvlJc w:val="left"/>
      <w:pPr>
        <w:ind w:left="360" w:hanging="360"/>
      </w:pPr>
      <w:rPr>
        <w:rFonts w:hint="default"/>
      </w:rPr>
    </w:lvl>
    <w:lvl w:ilvl="1">
      <w:start w:val="1"/>
      <w:numFmt w:val="decimal"/>
      <w:lvlText w:val="4.%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8"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4061"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9"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41036"/>
    <w:multiLevelType w:val="hybridMultilevel"/>
    <w:tmpl w:val="4DFC56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1367"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5F07BFE"/>
    <w:multiLevelType w:val="hybridMultilevel"/>
    <w:tmpl w:val="07629856"/>
    <w:lvl w:ilvl="0" w:tplc="8702F20A">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8CE778A"/>
    <w:multiLevelType w:val="hybridMultilevel"/>
    <w:tmpl w:val="A9A0FB06"/>
    <w:lvl w:ilvl="0" w:tplc="CB6A3862">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0" w15:restartNumberingAfterBreak="0">
    <w:nsid w:val="397A4DB1"/>
    <w:multiLevelType w:val="hybridMultilevel"/>
    <w:tmpl w:val="332A3E7C"/>
    <w:lvl w:ilvl="0" w:tplc="8A2067A8">
      <w:start w:val="1"/>
      <w:numFmt w:val="decimal"/>
      <w:pStyle w:val="COMParaDecision"/>
      <w:lvlText w:val="%1."/>
      <w:lvlJc w:val="left"/>
      <w:pPr>
        <w:ind w:left="927" w:hanging="360"/>
      </w:pPr>
      <w:rPr>
        <w:rFonts w:hint="default"/>
        <w:b w:val="0"/>
      </w:rPr>
    </w:lvl>
    <w:lvl w:ilvl="1" w:tplc="040C0019">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1" w15:restartNumberingAfterBreak="0">
    <w:nsid w:val="3AC30BD2"/>
    <w:multiLevelType w:val="hybridMultilevel"/>
    <w:tmpl w:val="AD96E3AE"/>
    <w:lvl w:ilvl="0" w:tplc="8B1631E6">
      <w:start w:val="1"/>
      <w:numFmt w:val="upperLetter"/>
      <w:pStyle w:val="Heading4"/>
      <w:lvlText w:val="%1."/>
      <w:lvlJc w:val="left"/>
      <w:pPr>
        <w:ind w:left="36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3"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4"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6"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49545EAC"/>
    <w:multiLevelType w:val="multilevel"/>
    <w:tmpl w:val="E1DEAED6"/>
    <w:lvl w:ilvl="0">
      <w:start w:val="5"/>
      <w:numFmt w:val="decimal"/>
      <w:lvlText w:val="%1"/>
      <w:lvlJc w:val="left"/>
      <w:pPr>
        <w:ind w:left="360" w:hanging="360"/>
      </w:pPr>
      <w:rPr>
        <w:rFonts w:hint="default"/>
      </w:rPr>
    </w:lvl>
    <w:lvl w:ilvl="1">
      <w:start w:val="1"/>
      <w:numFmt w:val="decimal"/>
      <w:lvlText w:val="2.%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C1F5D61"/>
    <w:multiLevelType w:val="multilevel"/>
    <w:tmpl w:val="ED7E78BA"/>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57B6C13"/>
    <w:multiLevelType w:val="multilevel"/>
    <w:tmpl w:val="04090021"/>
    <w:lvl w:ilvl="0">
      <w:start w:val="1"/>
      <w:numFmt w:val="upperRoman"/>
      <w:lvlText w:val="%1."/>
      <w:lvlJc w:val="left"/>
      <w:pPr>
        <w:ind w:left="425" w:hanging="425"/>
      </w:pPr>
    </w:lvl>
    <w:lvl w:ilvl="1">
      <w:start w:val="1"/>
      <w:numFmt w:val="upperLetter"/>
      <w:lvlText w:val="%2."/>
      <w:lvlJc w:val="left"/>
      <w:pPr>
        <w:ind w:left="851" w:hanging="426"/>
      </w:pPr>
    </w:lvl>
    <w:lvl w:ilvl="2">
      <w:start w:val="1"/>
      <w:numFmt w:val="decimal"/>
      <w:lvlText w:val="%3."/>
      <w:lvlJc w:val="left"/>
      <w:pPr>
        <w:ind w:left="1276" w:hanging="425"/>
      </w:pPr>
    </w:lvl>
    <w:lvl w:ilvl="3">
      <w:start w:val="1"/>
      <w:numFmt w:val="lowerLetter"/>
      <w:lvlText w:val="%4."/>
      <w:lvlJc w:val="left"/>
      <w:pPr>
        <w:ind w:left="1559" w:hanging="283"/>
      </w:pPr>
    </w:lvl>
    <w:lvl w:ilvl="4">
      <w:start w:val="1"/>
      <w:numFmt w:val="decimal"/>
      <w:lvlText w:val="%5."/>
      <w:lvlJc w:val="left"/>
      <w:pPr>
        <w:ind w:left="1984" w:hanging="425"/>
      </w:pPr>
    </w:lvl>
    <w:lvl w:ilvl="5">
      <w:start w:val="1"/>
      <w:numFmt w:val="lowerLetter"/>
      <w:lvlText w:val="%6."/>
      <w:lvlJc w:val="left"/>
      <w:pPr>
        <w:ind w:left="2409" w:hanging="425"/>
      </w:pPr>
    </w:lvl>
    <w:lvl w:ilvl="6">
      <w:start w:val="1"/>
      <w:numFmt w:val="lowerRoman"/>
      <w:lvlText w:val="%7."/>
      <w:lvlJc w:val="left"/>
      <w:pPr>
        <w:ind w:left="2835" w:hanging="426"/>
      </w:pPr>
    </w:lvl>
    <w:lvl w:ilvl="7">
      <w:start w:val="1"/>
      <w:numFmt w:val="lowerLetter"/>
      <w:lvlText w:val="%8."/>
      <w:lvlJc w:val="left"/>
      <w:pPr>
        <w:ind w:left="3260" w:hanging="425"/>
      </w:pPr>
    </w:lvl>
    <w:lvl w:ilvl="8">
      <w:start w:val="1"/>
      <w:numFmt w:val="lowerRoman"/>
      <w:lvlText w:val="%9."/>
      <w:lvlJc w:val="left"/>
      <w:pPr>
        <w:ind w:left="3685" w:hanging="425"/>
      </w:pPr>
    </w:lvl>
  </w:abstractNum>
  <w:abstractNum w:abstractNumId="3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122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C94CCC"/>
    <w:multiLevelType w:val="multilevel"/>
    <w:tmpl w:val="5FE08C74"/>
    <w:lvl w:ilvl="0">
      <w:start w:val="3"/>
      <w:numFmt w:val="decimal"/>
      <w:lvlText w:val="%1"/>
      <w:lvlJc w:val="left"/>
      <w:pPr>
        <w:ind w:left="360" w:hanging="360"/>
      </w:pPr>
      <w:rPr>
        <w:rFonts w:hint="default"/>
      </w:rPr>
    </w:lvl>
    <w:lvl w:ilvl="1">
      <w:start w:val="1"/>
      <w:numFmt w:val="decimal"/>
      <w:lvlText w:val="6.%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74E5346D"/>
    <w:multiLevelType w:val="multilevel"/>
    <w:tmpl w:val="04090021"/>
    <w:lvl w:ilvl="0">
      <w:start w:val="1"/>
      <w:numFmt w:val="upperRoman"/>
      <w:lvlText w:val="%1."/>
      <w:lvlJc w:val="left"/>
      <w:pPr>
        <w:ind w:left="425" w:hanging="425"/>
      </w:pPr>
    </w:lvl>
    <w:lvl w:ilvl="1">
      <w:start w:val="1"/>
      <w:numFmt w:val="upperLetter"/>
      <w:lvlText w:val="%2."/>
      <w:lvlJc w:val="left"/>
      <w:pPr>
        <w:ind w:left="851" w:hanging="426"/>
      </w:pPr>
    </w:lvl>
    <w:lvl w:ilvl="2">
      <w:start w:val="1"/>
      <w:numFmt w:val="decimal"/>
      <w:lvlText w:val="%3."/>
      <w:lvlJc w:val="left"/>
      <w:pPr>
        <w:ind w:left="1276" w:hanging="425"/>
      </w:pPr>
    </w:lvl>
    <w:lvl w:ilvl="3">
      <w:start w:val="1"/>
      <w:numFmt w:val="lowerLetter"/>
      <w:lvlText w:val="%4."/>
      <w:lvlJc w:val="left"/>
      <w:pPr>
        <w:ind w:left="1559" w:hanging="283"/>
      </w:pPr>
    </w:lvl>
    <w:lvl w:ilvl="4">
      <w:start w:val="1"/>
      <w:numFmt w:val="decimal"/>
      <w:lvlText w:val="%5."/>
      <w:lvlJc w:val="left"/>
      <w:pPr>
        <w:ind w:left="1984" w:hanging="425"/>
      </w:pPr>
    </w:lvl>
    <w:lvl w:ilvl="5">
      <w:start w:val="1"/>
      <w:numFmt w:val="lowerLetter"/>
      <w:lvlText w:val="%6."/>
      <w:lvlJc w:val="left"/>
      <w:pPr>
        <w:ind w:left="2409" w:hanging="425"/>
      </w:pPr>
    </w:lvl>
    <w:lvl w:ilvl="6">
      <w:start w:val="1"/>
      <w:numFmt w:val="lowerRoman"/>
      <w:lvlText w:val="%7."/>
      <w:lvlJc w:val="left"/>
      <w:pPr>
        <w:ind w:left="2835" w:hanging="426"/>
      </w:pPr>
    </w:lvl>
    <w:lvl w:ilvl="7">
      <w:start w:val="1"/>
      <w:numFmt w:val="lowerLetter"/>
      <w:lvlText w:val="%8."/>
      <w:lvlJc w:val="left"/>
      <w:pPr>
        <w:ind w:left="3260" w:hanging="425"/>
      </w:pPr>
    </w:lvl>
    <w:lvl w:ilvl="8">
      <w:start w:val="1"/>
      <w:numFmt w:val="lowerRoman"/>
      <w:lvlText w:val="%9."/>
      <w:lvlJc w:val="left"/>
      <w:pPr>
        <w:ind w:left="3685" w:hanging="425"/>
      </w:pPr>
    </w:lvl>
  </w:abstractNum>
  <w:abstractNum w:abstractNumId="39" w15:restartNumberingAfterBreak="0">
    <w:nsid w:val="7C367C2A"/>
    <w:multiLevelType w:val="multilevel"/>
    <w:tmpl w:val="CF381C3A"/>
    <w:lvl w:ilvl="0">
      <w:start w:val="6"/>
      <w:numFmt w:val="decimal"/>
      <w:lvlText w:val="%1"/>
      <w:lvlJc w:val="left"/>
      <w:pPr>
        <w:ind w:left="360" w:hanging="360"/>
      </w:pPr>
      <w:rPr>
        <w:rFonts w:hint="default"/>
      </w:rPr>
    </w:lvl>
    <w:lvl w:ilvl="1">
      <w:start w:val="1"/>
      <w:numFmt w:val="decimal"/>
      <w:lvlText w:val="3.%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7"/>
  </w:num>
  <w:num w:numId="3">
    <w:abstractNumId w:val="20"/>
  </w:num>
  <w:num w:numId="4">
    <w:abstractNumId w:val="21"/>
  </w:num>
  <w:num w:numId="5">
    <w:abstractNumId w:val="18"/>
  </w:num>
  <w:num w:numId="6">
    <w:abstractNumId w:val="20"/>
    <w:lvlOverride w:ilvl="0">
      <w:startOverride w:val="1"/>
    </w:lvlOverride>
  </w:num>
  <w:num w:numId="7">
    <w:abstractNumId w:val="10"/>
  </w:num>
  <w:num w:numId="8">
    <w:abstractNumId w:val="6"/>
  </w:num>
  <w:num w:numId="9">
    <w:abstractNumId w:val="38"/>
  </w:num>
  <w:num w:numId="10">
    <w:abstractNumId w:val="33"/>
  </w:num>
  <w:num w:numId="11">
    <w:abstractNumId w:val="9"/>
  </w:num>
  <w:num w:numId="12">
    <w:abstractNumId w:val="14"/>
  </w:num>
  <w:num w:numId="13">
    <w:abstractNumId w:val="31"/>
  </w:num>
  <w:num w:numId="14">
    <w:abstractNumId w:val="11"/>
  </w:num>
  <w:num w:numId="15">
    <w:abstractNumId w:val="22"/>
  </w:num>
  <w:num w:numId="16">
    <w:abstractNumId w:val="7"/>
  </w:num>
  <w:num w:numId="17">
    <w:abstractNumId w:val="37"/>
  </w:num>
  <w:num w:numId="18">
    <w:abstractNumId w:val="5"/>
  </w:num>
  <w:num w:numId="19">
    <w:abstractNumId w:val="27"/>
  </w:num>
  <w:num w:numId="20">
    <w:abstractNumId w:val="39"/>
  </w:num>
  <w:num w:numId="21">
    <w:abstractNumId w:val="25"/>
  </w:num>
  <w:num w:numId="22">
    <w:abstractNumId w:val="23"/>
  </w:num>
  <w:num w:numId="23">
    <w:abstractNumId w:val="19"/>
  </w:num>
  <w:num w:numId="24">
    <w:abstractNumId w:val="29"/>
  </w:num>
  <w:num w:numId="25">
    <w:abstractNumId w:val="8"/>
  </w:num>
  <w:num w:numId="26">
    <w:abstractNumId w:val="1"/>
  </w:num>
  <w:num w:numId="27">
    <w:abstractNumId w:val="26"/>
  </w:num>
  <w:num w:numId="28">
    <w:abstractNumId w:val="30"/>
  </w:num>
  <w:num w:numId="29">
    <w:abstractNumId w:val="0"/>
  </w:num>
  <w:num w:numId="30">
    <w:abstractNumId w:val="3"/>
  </w:num>
  <w:num w:numId="31">
    <w:abstractNumId w:val="32"/>
  </w:num>
  <w:num w:numId="32">
    <w:abstractNumId w:val="2"/>
  </w:num>
  <w:num w:numId="33">
    <w:abstractNumId w:val="24"/>
  </w:num>
  <w:num w:numId="34">
    <w:abstractNumId w:val="15"/>
  </w:num>
  <w:num w:numId="35">
    <w:abstractNumId w:val="35"/>
  </w:num>
  <w:num w:numId="36">
    <w:abstractNumId w:val="12"/>
  </w:num>
  <w:num w:numId="37">
    <w:abstractNumId w:val="16"/>
  </w:num>
  <w:num w:numId="38">
    <w:abstractNumId w:val="34"/>
  </w:num>
  <w:num w:numId="39">
    <w:abstractNumId w:val="28"/>
  </w:num>
  <w:num w:numId="40">
    <w:abstractNumId w:val="13"/>
  </w:num>
  <w:num w:numId="4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4096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01C4"/>
    <w:rsid w:val="000019B3"/>
    <w:rsid w:val="000021F3"/>
    <w:rsid w:val="000048ED"/>
    <w:rsid w:val="0000768B"/>
    <w:rsid w:val="00020477"/>
    <w:rsid w:val="000239F4"/>
    <w:rsid w:val="00024768"/>
    <w:rsid w:val="00026646"/>
    <w:rsid w:val="00031D2D"/>
    <w:rsid w:val="00031F16"/>
    <w:rsid w:val="00041A66"/>
    <w:rsid w:val="00044178"/>
    <w:rsid w:val="000458FA"/>
    <w:rsid w:val="000466C8"/>
    <w:rsid w:val="0005176E"/>
    <w:rsid w:val="000517A1"/>
    <w:rsid w:val="00051AF0"/>
    <w:rsid w:val="0005217B"/>
    <w:rsid w:val="00053794"/>
    <w:rsid w:val="000542B5"/>
    <w:rsid w:val="000568D2"/>
    <w:rsid w:val="00057D33"/>
    <w:rsid w:val="000602D9"/>
    <w:rsid w:val="000636AF"/>
    <w:rsid w:val="000712D8"/>
    <w:rsid w:val="000765F7"/>
    <w:rsid w:val="00077AB7"/>
    <w:rsid w:val="00080782"/>
    <w:rsid w:val="00081CD8"/>
    <w:rsid w:val="00081DDD"/>
    <w:rsid w:val="00084576"/>
    <w:rsid w:val="00090924"/>
    <w:rsid w:val="000A154D"/>
    <w:rsid w:val="000A2C7B"/>
    <w:rsid w:val="000A7F0E"/>
    <w:rsid w:val="000B06D7"/>
    <w:rsid w:val="000B1513"/>
    <w:rsid w:val="000B1C8F"/>
    <w:rsid w:val="000B4749"/>
    <w:rsid w:val="000C0388"/>
    <w:rsid w:val="000C0D61"/>
    <w:rsid w:val="000C1616"/>
    <w:rsid w:val="000C5CDA"/>
    <w:rsid w:val="000C7E9D"/>
    <w:rsid w:val="000D39D6"/>
    <w:rsid w:val="000D61C4"/>
    <w:rsid w:val="000E1B61"/>
    <w:rsid w:val="000E2F4E"/>
    <w:rsid w:val="000E37EE"/>
    <w:rsid w:val="000E516D"/>
    <w:rsid w:val="000E573B"/>
    <w:rsid w:val="000F3A3F"/>
    <w:rsid w:val="000F5EE4"/>
    <w:rsid w:val="000F68A1"/>
    <w:rsid w:val="00101D34"/>
    <w:rsid w:val="00102557"/>
    <w:rsid w:val="0010697C"/>
    <w:rsid w:val="00114930"/>
    <w:rsid w:val="00115958"/>
    <w:rsid w:val="00120F99"/>
    <w:rsid w:val="00126C53"/>
    <w:rsid w:val="00127F14"/>
    <w:rsid w:val="00134E43"/>
    <w:rsid w:val="00136753"/>
    <w:rsid w:val="00152FD6"/>
    <w:rsid w:val="00153E7E"/>
    <w:rsid w:val="001553CA"/>
    <w:rsid w:val="0016007E"/>
    <w:rsid w:val="00164D56"/>
    <w:rsid w:val="0016545D"/>
    <w:rsid w:val="001664D5"/>
    <w:rsid w:val="00167B10"/>
    <w:rsid w:val="00170DB8"/>
    <w:rsid w:val="0017402F"/>
    <w:rsid w:val="0017513A"/>
    <w:rsid w:val="00180598"/>
    <w:rsid w:val="0018348F"/>
    <w:rsid w:val="001960FC"/>
    <w:rsid w:val="00196C1B"/>
    <w:rsid w:val="001A0075"/>
    <w:rsid w:val="001A22ED"/>
    <w:rsid w:val="001A3FD0"/>
    <w:rsid w:val="001A584D"/>
    <w:rsid w:val="001B0F73"/>
    <w:rsid w:val="001B5180"/>
    <w:rsid w:val="001C2DB7"/>
    <w:rsid w:val="001C45C1"/>
    <w:rsid w:val="001C4685"/>
    <w:rsid w:val="001C7FA6"/>
    <w:rsid w:val="001D5C04"/>
    <w:rsid w:val="001E234F"/>
    <w:rsid w:val="001E2ECD"/>
    <w:rsid w:val="001F26CF"/>
    <w:rsid w:val="001F2C6C"/>
    <w:rsid w:val="001F366E"/>
    <w:rsid w:val="00200F87"/>
    <w:rsid w:val="002046BB"/>
    <w:rsid w:val="00205A89"/>
    <w:rsid w:val="0020646B"/>
    <w:rsid w:val="00221157"/>
    <w:rsid w:val="00221731"/>
    <w:rsid w:val="00222A2D"/>
    <w:rsid w:val="00223029"/>
    <w:rsid w:val="002314B7"/>
    <w:rsid w:val="00232ADF"/>
    <w:rsid w:val="00234745"/>
    <w:rsid w:val="002367BC"/>
    <w:rsid w:val="002407AF"/>
    <w:rsid w:val="00242910"/>
    <w:rsid w:val="00242A73"/>
    <w:rsid w:val="00245286"/>
    <w:rsid w:val="002503B8"/>
    <w:rsid w:val="00250EE7"/>
    <w:rsid w:val="00252460"/>
    <w:rsid w:val="002654C1"/>
    <w:rsid w:val="0026784E"/>
    <w:rsid w:val="0027466B"/>
    <w:rsid w:val="00277503"/>
    <w:rsid w:val="0028043D"/>
    <w:rsid w:val="002838A5"/>
    <w:rsid w:val="00285BB4"/>
    <w:rsid w:val="00294E1A"/>
    <w:rsid w:val="002A02F7"/>
    <w:rsid w:val="002A47C9"/>
    <w:rsid w:val="002B2B25"/>
    <w:rsid w:val="002B417E"/>
    <w:rsid w:val="002C09E3"/>
    <w:rsid w:val="002C12F8"/>
    <w:rsid w:val="002C391D"/>
    <w:rsid w:val="002D487E"/>
    <w:rsid w:val="002D7EB2"/>
    <w:rsid w:val="002E5C90"/>
    <w:rsid w:val="002F2EEB"/>
    <w:rsid w:val="00300507"/>
    <w:rsid w:val="0030645F"/>
    <w:rsid w:val="00312997"/>
    <w:rsid w:val="003147E4"/>
    <w:rsid w:val="00314FD5"/>
    <w:rsid w:val="00320FEE"/>
    <w:rsid w:val="00324160"/>
    <w:rsid w:val="0032547D"/>
    <w:rsid w:val="00336423"/>
    <w:rsid w:val="00342B23"/>
    <w:rsid w:val="00343808"/>
    <w:rsid w:val="00344B58"/>
    <w:rsid w:val="0034539A"/>
    <w:rsid w:val="003454B4"/>
    <w:rsid w:val="00345CB4"/>
    <w:rsid w:val="003463C6"/>
    <w:rsid w:val="00352B84"/>
    <w:rsid w:val="003549A1"/>
    <w:rsid w:val="00355446"/>
    <w:rsid w:val="00357839"/>
    <w:rsid w:val="00363A02"/>
    <w:rsid w:val="00375D42"/>
    <w:rsid w:val="00376333"/>
    <w:rsid w:val="00377AB8"/>
    <w:rsid w:val="00377C59"/>
    <w:rsid w:val="0038092D"/>
    <w:rsid w:val="0038139F"/>
    <w:rsid w:val="00381DC9"/>
    <w:rsid w:val="00386DE0"/>
    <w:rsid w:val="00393626"/>
    <w:rsid w:val="00396B12"/>
    <w:rsid w:val="003A188A"/>
    <w:rsid w:val="003A43A8"/>
    <w:rsid w:val="003A4909"/>
    <w:rsid w:val="003B35F7"/>
    <w:rsid w:val="003B7336"/>
    <w:rsid w:val="003C21D4"/>
    <w:rsid w:val="003C5628"/>
    <w:rsid w:val="003C64CB"/>
    <w:rsid w:val="003C6C57"/>
    <w:rsid w:val="003D069C"/>
    <w:rsid w:val="003D7646"/>
    <w:rsid w:val="003E177A"/>
    <w:rsid w:val="003E3A6A"/>
    <w:rsid w:val="003E58E2"/>
    <w:rsid w:val="003E5DEF"/>
    <w:rsid w:val="003E61B7"/>
    <w:rsid w:val="003F113A"/>
    <w:rsid w:val="003F3E63"/>
    <w:rsid w:val="003F41BF"/>
    <w:rsid w:val="00407480"/>
    <w:rsid w:val="00414023"/>
    <w:rsid w:val="00414643"/>
    <w:rsid w:val="00415022"/>
    <w:rsid w:val="00417CEE"/>
    <w:rsid w:val="00417DAD"/>
    <w:rsid w:val="00420AE7"/>
    <w:rsid w:val="0042257F"/>
    <w:rsid w:val="00425BC0"/>
    <w:rsid w:val="00432215"/>
    <w:rsid w:val="004330FA"/>
    <w:rsid w:val="004339FA"/>
    <w:rsid w:val="004351D2"/>
    <w:rsid w:val="00435296"/>
    <w:rsid w:val="00437FBE"/>
    <w:rsid w:val="004421E5"/>
    <w:rsid w:val="00447440"/>
    <w:rsid w:val="004474A1"/>
    <w:rsid w:val="00451641"/>
    <w:rsid w:val="00452284"/>
    <w:rsid w:val="00455188"/>
    <w:rsid w:val="00457C8E"/>
    <w:rsid w:val="00463B46"/>
    <w:rsid w:val="00463F01"/>
    <w:rsid w:val="00467A93"/>
    <w:rsid w:val="00473808"/>
    <w:rsid w:val="00477E67"/>
    <w:rsid w:val="00480029"/>
    <w:rsid w:val="00484212"/>
    <w:rsid w:val="004856CA"/>
    <w:rsid w:val="0048603B"/>
    <w:rsid w:val="00487E67"/>
    <w:rsid w:val="0049102F"/>
    <w:rsid w:val="0049477B"/>
    <w:rsid w:val="0049705E"/>
    <w:rsid w:val="004A2576"/>
    <w:rsid w:val="004A2DF1"/>
    <w:rsid w:val="004A34A0"/>
    <w:rsid w:val="004A39C2"/>
    <w:rsid w:val="004B1933"/>
    <w:rsid w:val="004B52AF"/>
    <w:rsid w:val="004B5640"/>
    <w:rsid w:val="004B6A05"/>
    <w:rsid w:val="004C558C"/>
    <w:rsid w:val="004D1A8E"/>
    <w:rsid w:val="004D375A"/>
    <w:rsid w:val="004D3819"/>
    <w:rsid w:val="004D3F80"/>
    <w:rsid w:val="004D74D4"/>
    <w:rsid w:val="004E1D2C"/>
    <w:rsid w:val="004E4D26"/>
    <w:rsid w:val="004E7B29"/>
    <w:rsid w:val="004E7BAD"/>
    <w:rsid w:val="004F52FD"/>
    <w:rsid w:val="004F780E"/>
    <w:rsid w:val="005008A8"/>
    <w:rsid w:val="00513969"/>
    <w:rsid w:val="00515F77"/>
    <w:rsid w:val="0051753C"/>
    <w:rsid w:val="005211FB"/>
    <w:rsid w:val="00526B7B"/>
    <w:rsid w:val="005308CE"/>
    <w:rsid w:val="0053695B"/>
    <w:rsid w:val="0053729A"/>
    <w:rsid w:val="0054171D"/>
    <w:rsid w:val="005478CA"/>
    <w:rsid w:val="00550640"/>
    <w:rsid w:val="005545D4"/>
    <w:rsid w:val="0055595F"/>
    <w:rsid w:val="005611EC"/>
    <w:rsid w:val="005620EA"/>
    <w:rsid w:val="0056641D"/>
    <w:rsid w:val="005673FB"/>
    <w:rsid w:val="005709DD"/>
    <w:rsid w:val="00570D65"/>
    <w:rsid w:val="005726D8"/>
    <w:rsid w:val="0057439C"/>
    <w:rsid w:val="0057701F"/>
    <w:rsid w:val="005815B1"/>
    <w:rsid w:val="005850E1"/>
    <w:rsid w:val="00585A1E"/>
    <w:rsid w:val="00590DA5"/>
    <w:rsid w:val="0059614B"/>
    <w:rsid w:val="0059614F"/>
    <w:rsid w:val="005A4D88"/>
    <w:rsid w:val="005A5798"/>
    <w:rsid w:val="005A6A95"/>
    <w:rsid w:val="005A6ED3"/>
    <w:rsid w:val="005B0127"/>
    <w:rsid w:val="005B43B5"/>
    <w:rsid w:val="005B64FB"/>
    <w:rsid w:val="005B7A35"/>
    <w:rsid w:val="005C03BC"/>
    <w:rsid w:val="005C4B73"/>
    <w:rsid w:val="005C4D87"/>
    <w:rsid w:val="005C5ED5"/>
    <w:rsid w:val="005D5EF0"/>
    <w:rsid w:val="005E1804"/>
    <w:rsid w:val="005E1D2B"/>
    <w:rsid w:val="005E57FC"/>
    <w:rsid w:val="005E6830"/>
    <w:rsid w:val="005E7074"/>
    <w:rsid w:val="005F1558"/>
    <w:rsid w:val="005F2BAF"/>
    <w:rsid w:val="005F3A5A"/>
    <w:rsid w:val="005F63D9"/>
    <w:rsid w:val="00600D93"/>
    <w:rsid w:val="00605989"/>
    <w:rsid w:val="006158D2"/>
    <w:rsid w:val="00616C19"/>
    <w:rsid w:val="006201B2"/>
    <w:rsid w:val="00621E69"/>
    <w:rsid w:val="00623E45"/>
    <w:rsid w:val="00627ED7"/>
    <w:rsid w:val="00630575"/>
    <w:rsid w:val="00630B2C"/>
    <w:rsid w:val="0063300C"/>
    <w:rsid w:val="006372D3"/>
    <w:rsid w:val="006429C0"/>
    <w:rsid w:val="00642FCA"/>
    <w:rsid w:val="00643307"/>
    <w:rsid w:val="00654469"/>
    <w:rsid w:val="00655736"/>
    <w:rsid w:val="00662576"/>
    <w:rsid w:val="00663B58"/>
    <w:rsid w:val="00663B8D"/>
    <w:rsid w:val="0066583E"/>
    <w:rsid w:val="006735F5"/>
    <w:rsid w:val="00674D42"/>
    <w:rsid w:val="00682397"/>
    <w:rsid w:val="006827ED"/>
    <w:rsid w:val="00684949"/>
    <w:rsid w:val="006869A8"/>
    <w:rsid w:val="006909EA"/>
    <w:rsid w:val="00693334"/>
    <w:rsid w:val="00693F31"/>
    <w:rsid w:val="00696C8D"/>
    <w:rsid w:val="006A2AC2"/>
    <w:rsid w:val="006A3617"/>
    <w:rsid w:val="006A555A"/>
    <w:rsid w:val="006B3F2B"/>
    <w:rsid w:val="006B4F52"/>
    <w:rsid w:val="006C6360"/>
    <w:rsid w:val="006D2411"/>
    <w:rsid w:val="006D4892"/>
    <w:rsid w:val="006E1F20"/>
    <w:rsid w:val="006E46E4"/>
    <w:rsid w:val="006F00D1"/>
    <w:rsid w:val="006F1072"/>
    <w:rsid w:val="006F4ED1"/>
    <w:rsid w:val="00700FE0"/>
    <w:rsid w:val="00706C8C"/>
    <w:rsid w:val="00712DB9"/>
    <w:rsid w:val="00714F60"/>
    <w:rsid w:val="00717DA5"/>
    <w:rsid w:val="00720AA0"/>
    <w:rsid w:val="00721717"/>
    <w:rsid w:val="00723F98"/>
    <w:rsid w:val="00726E59"/>
    <w:rsid w:val="007277D0"/>
    <w:rsid w:val="0073153B"/>
    <w:rsid w:val="00731FE3"/>
    <w:rsid w:val="00737DC6"/>
    <w:rsid w:val="0074123E"/>
    <w:rsid w:val="00743F11"/>
    <w:rsid w:val="00744484"/>
    <w:rsid w:val="0074690E"/>
    <w:rsid w:val="00747566"/>
    <w:rsid w:val="007514B4"/>
    <w:rsid w:val="00753540"/>
    <w:rsid w:val="00754ED2"/>
    <w:rsid w:val="007555BA"/>
    <w:rsid w:val="00755ED5"/>
    <w:rsid w:val="007570C6"/>
    <w:rsid w:val="00757651"/>
    <w:rsid w:val="0076394D"/>
    <w:rsid w:val="007703EE"/>
    <w:rsid w:val="00773188"/>
    <w:rsid w:val="0077578F"/>
    <w:rsid w:val="007759F9"/>
    <w:rsid w:val="007773D7"/>
    <w:rsid w:val="00780124"/>
    <w:rsid w:val="00781B0F"/>
    <w:rsid w:val="00782995"/>
    <w:rsid w:val="00783782"/>
    <w:rsid w:val="00784B8C"/>
    <w:rsid w:val="007876F1"/>
    <w:rsid w:val="007879E1"/>
    <w:rsid w:val="00787DA6"/>
    <w:rsid w:val="0079255A"/>
    <w:rsid w:val="007A140F"/>
    <w:rsid w:val="007A1B55"/>
    <w:rsid w:val="007A1C95"/>
    <w:rsid w:val="007A3A2C"/>
    <w:rsid w:val="007A4EE9"/>
    <w:rsid w:val="007A537D"/>
    <w:rsid w:val="007A723B"/>
    <w:rsid w:val="007B07E1"/>
    <w:rsid w:val="007B5119"/>
    <w:rsid w:val="007C1A8B"/>
    <w:rsid w:val="007C2784"/>
    <w:rsid w:val="007C56E5"/>
    <w:rsid w:val="007D15A9"/>
    <w:rsid w:val="007D7CAE"/>
    <w:rsid w:val="007E0423"/>
    <w:rsid w:val="007E0E32"/>
    <w:rsid w:val="007E36FE"/>
    <w:rsid w:val="007F01C4"/>
    <w:rsid w:val="007F1D67"/>
    <w:rsid w:val="007F24A7"/>
    <w:rsid w:val="007F5367"/>
    <w:rsid w:val="0080359F"/>
    <w:rsid w:val="008111A4"/>
    <w:rsid w:val="00812CD2"/>
    <w:rsid w:val="008144E8"/>
    <w:rsid w:val="00815203"/>
    <w:rsid w:val="008153C7"/>
    <w:rsid w:val="0081662E"/>
    <w:rsid w:val="00821554"/>
    <w:rsid w:val="00823A11"/>
    <w:rsid w:val="0082474D"/>
    <w:rsid w:val="00826E53"/>
    <w:rsid w:val="008308B6"/>
    <w:rsid w:val="00831C9E"/>
    <w:rsid w:val="00835635"/>
    <w:rsid w:val="0083613B"/>
    <w:rsid w:val="0083621B"/>
    <w:rsid w:val="008407EA"/>
    <w:rsid w:val="00840ADA"/>
    <w:rsid w:val="008422C6"/>
    <w:rsid w:val="0085405E"/>
    <w:rsid w:val="0085414A"/>
    <w:rsid w:val="00855882"/>
    <w:rsid w:val="00861F39"/>
    <w:rsid w:val="0086269D"/>
    <w:rsid w:val="008635D9"/>
    <w:rsid w:val="0086543A"/>
    <w:rsid w:val="00871DE4"/>
    <w:rsid w:val="008724E5"/>
    <w:rsid w:val="00876C4D"/>
    <w:rsid w:val="0087729E"/>
    <w:rsid w:val="00884A9D"/>
    <w:rsid w:val="0088512B"/>
    <w:rsid w:val="00887781"/>
    <w:rsid w:val="00896557"/>
    <w:rsid w:val="008A2B2D"/>
    <w:rsid w:val="008A4E1E"/>
    <w:rsid w:val="008A6E3F"/>
    <w:rsid w:val="008A7E50"/>
    <w:rsid w:val="008C296C"/>
    <w:rsid w:val="008C4CBD"/>
    <w:rsid w:val="008C6ED0"/>
    <w:rsid w:val="008C758A"/>
    <w:rsid w:val="008D4305"/>
    <w:rsid w:val="008E1A85"/>
    <w:rsid w:val="008E5548"/>
    <w:rsid w:val="008F5FBB"/>
    <w:rsid w:val="009004F1"/>
    <w:rsid w:val="00902D77"/>
    <w:rsid w:val="00904689"/>
    <w:rsid w:val="00910C22"/>
    <w:rsid w:val="00910FF1"/>
    <w:rsid w:val="0091370F"/>
    <w:rsid w:val="009163A7"/>
    <w:rsid w:val="00921DD1"/>
    <w:rsid w:val="00922F08"/>
    <w:rsid w:val="00927367"/>
    <w:rsid w:val="009278EF"/>
    <w:rsid w:val="00936384"/>
    <w:rsid w:val="00937C4E"/>
    <w:rsid w:val="009428EA"/>
    <w:rsid w:val="00944E08"/>
    <w:rsid w:val="00946D0B"/>
    <w:rsid w:val="00951271"/>
    <w:rsid w:val="00951695"/>
    <w:rsid w:val="00954056"/>
    <w:rsid w:val="00955877"/>
    <w:rsid w:val="009566FD"/>
    <w:rsid w:val="00957B46"/>
    <w:rsid w:val="009631BB"/>
    <w:rsid w:val="00964A33"/>
    <w:rsid w:val="00966FDE"/>
    <w:rsid w:val="0097679D"/>
    <w:rsid w:val="00980DE0"/>
    <w:rsid w:val="009850F9"/>
    <w:rsid w:val="00986A36"/>
    <w:rsid w:val="009A18CD"/>
    <w:rsid w:val="009A61E3"/>
    <w:rsid w:val="009B0F4E"/>
    <w:rsid w:val="009B7A5F"/>
    <w:rsid w:val="009C0A25"/>
    <w:rsid w:val="009C13B9"/>
    <w:rsid w:val="009C500B"/>
    <w:rsid w:val="009D5428"/>
    <w:rsid w:val="009E21D0"/>
    <w:rsid w:val="009E74B7"/>
    <w:rsid w:val="009F1C35"/>
    <w:rsid w:val="009F2438"/>
    <w:rsid w:val="009F6EF4"/>
    <w:rsid w:val="00A00A59"/>
    <w:rsid w:val="00A03C9E"/>
    <w:rsid w:val="00A03CBC"/>
    <w:rsid w:val="00A067ED"/>
    <w:rsid w:val="00A11A53"/>
    <w:rsid w:val="00A12558"/>
    <w:rsid w:val="00A13903"/>
    <w:rsid w:val="00A17840"/>
    <w:rsid w:val="00A22F92"/>
    <w:rsid w:val="00A2346D"/>
    <w:rsid w:val="00A23A64"/>
    <w:rsid w:val="00A255B0"/>
    <w:rsid w:val="00A31216"/>
    <w:rsid w:val="00A34B81"/>
    <w:rsid w:val="00A34ED5"/>
    <w:rsid w:val="00A402F8"/>
    <w:rsid w:val="00A42005"/>
    <w:rsid w:val="00A45DBF"/>
    <w:rsid w:val="00A47AF6"/>
    <w:rsid w:val="00A50F45"/>
    <w:rsid w:val="00A52A08"/>
    <w:rsid w:val="00A608A5"/>
    <w:rsid w:val="00A62FAF"/>
    <w:rsid w:val="00A6601E"/>
    <w:rsid w:val="00A755A2"/>
    <w:rsid w:val="00A8072E"/>
    <w:rsid w:val="00A815D1"/>
    <w:rsid w:val="00A83626"/>
    <w:rsid w:val="00AA6660"/>
    <w:rsid w:val="00AB0484"/>
    <w:rsid w:val="00AB2716"/>
    <w:rsid w:val="00AB2C36"/>
    <w:rsid w:val="00AB2C65"/>
    <w:rsid w:val="00AB6DDE"/>
    <w:rsid w:val="00AB70B6"/>
    <w:rsid w:val="00AC1816"/>
    <w:rsid w:val="00AC710B"/>
    <w:rsid w:val="00AD1A86"/>
    <w:rsid w:val="00AD2A13"/>
    <w:rsid w:val="00AD3BCF"/>
    <w:rsid w:val="00AD4175"/>
    <w:rsid w:val="00AD5B2E"/>
    <w:rsid w:val="00AD7213"/>
    <w:rsid w:val="00AE103E"/>
    <w:rsid w:val="00AE2F0E"/>
    <w:rsid w:val="00AF0A07"/>
    <w:rsid w:val="00AF21DD"/>
    <w:rsid w:val="00AF2249"/>
    <w:rsid w:val="00AF2F9D"/>
    <w:rsid w:val="00AF3A07"/>
    <w:rsid w:val="00AF4AEC"/>
    <w:rsid w:val="00AF625E"/>
    <w:rsid w:val="00B04086"/>
    <w:rsid w:val="00B051A9"/>
    <w:rsid w:val="00B076F7"/>
    <w:rsid w:val="00B0790A"/>
    <w:rsid w:val="00B10F19"/>
    <w:rsid w:val="00B14AAC"/>
    <w:rsid w:val="00B166FF"/>
    <w:rsid w:val="00B254C0"/>
    <w:rsid w:val="00B26A55"/>
    <w:rsid w:val="00B44764"/>
    <w:rsid w:val="00B47825"/>
    <w:rsid w:val="00B538D8"/>
    <w:rsid w:val="00B608FA"/>
    <w:rsid w:val="00B61261"/>
    <w:rsid w:val="00B64FAF"/>
    <w:rsid w:val="00B66007"/>
    <w:rsid w:val="00B84391"/>
    <w:rsid w:val="00B84F65"/>
    <w:rsid w:val="00B86269"/>
    <w:rsid w:val="00B94F9D"/>
    <w:rsid w:val="00B968EE"/>
    <w:rsid w:val="00BA0F94"/>
    <w:rsid w:val="00BA7051"/>
    <w:rsid w:val="00BB04AF"/>
    <w:rsid w:val="00BB1179"/>
    <w:rsid w:val="00BC1AEF"/>
    <w:rsid w:val="00BD1C92"/>
    <w:rsid w:val="00BD35B9"/>
    <w:rsid w:val="00BD52C9"/>
    <w:rsid w:val="00BD6BB0"/>
    <w:rsid w:val="00BE5681"/>
    <w:rsid w:val="00BE6354"/>
    <w:rsid w:val="00BF5144"/>
    <w:rsid w:val="00C01C07"/>
    <w:rsid w:val="00C07493"/>
    <w:rsid w:val="00C10D4F"/>
    <w:rsid w:val="00C138D1"/>
    <w:rsid w:val="00C139C6"/>
    <w:rsid w:val="00C23A97"/>
    <w:rsid w:val="00C2730A"/>
    <w:rsid w:val="00C27476"/>
    <w:rsid w:val="00C31FAE"/>
    <w:rsid w:val="00C32715"/>
    <w:rsid w:val="00C43FC4"/>
    <w:rsid w:val="00C47BE7"/>
    <w:rsid w:val="00C52875"/>
    <w:rsid w:val="00C52AB6"/>
    <w:rsid w:val="00C6088D"/>
    <w:rsid w:val="00C61F17"/>
    <w:rsid w:val="00C6265D"/>
    <w:rsid w:val="00C63A57"/>
    <w:rsid w:val="00C64855"/>
    <w:rsid w:val="00C70EA7"/>
    <w:rsid w:val="00C70EF4"/>
    <w:rsid w:val="00C7457C"/>
    <w:rsid w:val="00C7516E"/>
    <w:rsid w:val="00C75770"/>
    <w:rsid w:val="00C82409"/>
    <w:rsid w:val="00C83A4B"/>
    <w:rsid w:val="00C840D3"/>
    <w:rsid w:val="00C87C6F"/>
    <w:rsid w:val="00C9242A"/>
    <w:rsid w:val="00C9450E"/>
    <w:rsid w:val="00C94E04"/>
    <w:rsid w:val="00C95F6F"/>
    <w:rsid w:val="00CA2B81"/>
    <w:rsid w:val="00CA3298"/>
    <w:rsid w:val="00CA336B"/>
    <w:rsid w:val="00CA4BFD"/>
    <w:rsid w:val="00CA4DBB"/>
    <w:rsid w:val="00CA4F13"/>
    <w:rsid w:val="00CA56BB"/>
    <w:rsid w:val="00CB0542"/>
    <w:rsid w:val="00CB663C"/>
    <w:rsid w:val="00CC03B4"/>
    <w:rsid w:val="00CC1A29"/>
    <w:rsid w:val="00CC7378"/>
    <w:rsid w:val="00CD0C0B"/>
    <w:rsid w:val="00CD775D"/>
    <w:rsid w:val="00CE0632"/>
    <w:rsid w:val="00CE0E19"/>
    <w:rsid w:val="00CF0E11"/>
    <w:rsid w:val="00CF22C3"/>
    <w:rsid w:val="00CF3ACF"/>
    <w:rsid w:val="00CF3EAB"/>
    <w:rsid w:val="00D00B2B"/>
    <w:rsid w:val="00D00F88"/>
    <w:rsid w:val="00D05AD5"/>
    <w:rsid w:val="00D07A2A"/>
    <w:rsid w:val="00D07D4B"/>
    <w:rsid w:val="00D14A41"/>
    <w:rsid w:val="00D21858"/>
    <w:rsid w:val="00D21B1E"/>
    <w:rsid w:val="00D23774"/>
    <w:rsid w:val="00D241FE"/>
    <w:rsid w:val="00D24877"/>
    <w:rsid w:val="00D37333"/>
    <w:rsid w:val="00D44A31"/>
    <w:rsid w:val="00D45E1C"/>
    <w:rsid w:val="00D46017"/>
    <w:rsid w:val="00D46B3E"/>
    <w:rsid w:val="00D52064"/>
    <w:rsid w:val="00D57961"/>
    <w:rsid w:val="00D6069C"/>
    <w:rsid w:val="00D64AA6"/>
    <w:rsid w:val="00D65271"/>
    <w:rsid w:val="00D7046B"/>
    <w:rsid w:val="00D70808"/>
    <w:rsid w:val="00D8250F"/>
    <w:rsid w:val="00D82531"/>
    <w:rsid w:val="00D838E4"/>
    <w:rsid w:val="00D87B5A"/>
    <w:rsid w:val="00D87DF3"/>
    <w:rsid w:val="00D940E5"/>
    <w:rsid w:val="00D95C4C"/>
    <w:rsid w:val="00DA17F8"/>
    <w:rsid w:val="00DA1D7D"/>
    <w:rsid w:val="00DA36ED"/>
    <w:rsid w:val="00DA7F3F"/>
    <w:rsid w:val="00DB1C60"/>
    <w:rsid w:val="00DC3974"/>
    <w:rsid w:val="00DC4DE2"/>
    <w:rsid w:val="00DC6686"/>
    <w:rsid w:val="00DD1072"/>
    <w:rsid w:val="00DE1691"/>
    <w:rsid w:val="00DE34F1"/>
    <w:rsid w:val="00DE6160"/>
    <w:rsid w:val="00DE78AE"/>
    <w:rsid w:val="00DF0540"/>
    <w:rsid w:val="00DF1ADD"/>
    <w:rsid w:val="00DF240A"/>
    <w:rsid w:val="00DF4942"/>
    <w:rsid w:val="00DF5D56"/>
    <w:rsid w:val="00E12781"/>
    <w:rsid w:val="00E13F27"/>
    <w:rsid w:val="00E14951"/>
    <w:rsid w:val="00E244E1"/>
    <w:rsid w:val="00E25A52"/>
    <w:rsid w:val="00E26C7A"/>
    <w:rsid w:val="00E27CE6"/>
    <w:rsid w:val="00E3023C"/>
    <w:rsid w:val="00E30A73"/>
    <w:rsid w:val="00E364E7"/>
    <w:rsid w:val="00E3728B"/>
    <w:rsid w:val="00E37C45"/>
    <w:rsid w:val="00E439B7"/>
    <w:rsid w:val="00E46EE6"/>
    <w:rsid w:val="00E475CE"/>
    <w:rsid w:val="00E5469E"/>
    <w:rsid w:val="00E61270"/>
    <w:rsid w:val="00E627B1"/>
    <w:rsid w:val="00E640A8"/>
    <w:rsid w:val="00E70169"/>
    <w:rsid w:val="00E72501"/>
    <w:rsid w:val="00E74D38"/>
    <w:rsid w:val="00E75CC2"/>
    <w:rsid w:val="00E823B9"/>
    <w:rsid w:val="00E86BC6"/>
    <w:rsid w:val="00E907C5"/>
    <w:rsid w:val="00E9376C"/>
    <w:rsid w:val="00E93BD9"/>
    <w:rsid w:val="00EA335E"/>
    <w:rsid w:val="00EA528C"/>
    <w:rsid w:val="00EA5715"/>
    <w:rsid w:val="00EA580C"/>
    <w:rsid w:val="00EA68A3"/>
    <w:rsid w:val="00EB08B6"/>
    <w:rsid w:val="00EB1E53"/>
    <w:rsid w:val="00EB23A0"/>
    <w:rsid w:val="00EB3392"/>
    <w:rsid w:val="00EB5871"/>
    <w:rsid w:val="00EB6577"/>
    <w:rsid w:val="00EC006F"/>
    <w:rsid w:val="00EC6396"/>
    <w:rsid w:val="00EC6F8D"/>
    <w:rsid w:val="00EC7F66"/>
    <w:rsid w:val="00ED5AA7"/>
    <w:rsid w:val="00ED6ED7"/>
    <w:rsid w:val="00ED7859"/>
    <w:rsid w:val="00EE0541"/>
    <w:rsid w:val="00EE0E30"/>
    <w:rsid w:val="00EE487D"/>
    <w:rsid w:val="00EE49F4"/>
    <w:rsid w:val="00EE55DB"/>
    <w:rsid w:val="00EE653B"/>
    <w:rsid w:val="00EE7CDB"/>
    <w:rsid w:val="00EF34E2"/>
    <w:rsid w:val="00EF3A93"/>
    <w:rsid w:val="00F10723"/>
    <w:rsid w:val="00F10AD9"/>
    <w:rsid w:val="00F138A0"/>
    <w:rsid w:val="00F1449C"/>
    <w:rsid w:val="00F16578"/>
    <w:rsid w:val="00F177B0"/>
    <w:rsid w:val="00F2088D"/>
    <w:rsid w:val="00F22A78"/>
    <w:rsid w:val="00F25657"/>
    <w:rsid w:val="00F30DC6"/>
    <w:rsid w:val="00F32C23"/>
    <w:rsid w:val="00F34B0F"/>
    <w:rsid w:val="00F35C2F"/>
    <w:rsid w:val="00F36353"/>
    <w:rsid w:val="00F421A6"/>
    <w:rsid w:val="00F44DA9"/>
    <w:rsid w:val="00F4603D"/>
    <w:rsid w:val="00F47BE0"/>
    <w:rsid w:val="00F53A26"/>
    <w:rsid w:val="00F53AC7"/>
    <w:rsid w:val="00F53DE9"/>
    <w:rsid w:val="00F576CB"/>
    <w:rsid w:val="00F6398D"/>
    <w:rsid w:val="00F63FA8"/>
    <w:rsid w:val="00F66751"/>
    <w:rsid w:val="00F7035D"/>
    <w:rsid w:val="00F71234"/>
    <w:rsid w:val="00F71A02"/>
    <w:rsid w:val="00F743BC"/>
    <w:rsid w:val="00F76B72"/>
    <w:rsid w:val="00F81D05"/>
    <w:rsid w:val="00F82A73"/>
    <w:rsid w:val="00F90D02"/>
    <w:rsid w:val="00F91755"/>
    <w:rsid w:val="00F97448"/>
    <w:rsid w:val="00FA0D63"/>
    <w:rsid w:val="00FA11A1"/>
    <w:rsid w:val="00FA1A22"/>
    <w:rsid w:val="00FA2337"/>
    <w:rsid w:val="00FA2D33"/>
    <w:rsid w:val="00FA2EE2"/>
    <w:rsid w:val="00FA3ABC"/>
    <w:rsid w:val="00FA408C"/>
    <w:rsid w:val="00FB557F"/>
    <w:rsid w:val="00FC1A90"/>
    <w:rsid w:val="00FC5805"/>
    <w:rsid w:val="00FD1226"/>
    <w:rsid w:val="00FE3D19"/>
    <w:rsid w:val="00FE6D33"/>
    <w:rsid w:val="00FF483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F39D33F"/>
  <w15:docId w15:val="{C9DFC607-462F-4997-8A3B-54A49488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eastAsia="fr-FR"/>
    </w:rPr>
  </w:style>
  <w:style w:type="paragraph" w:styleId="Heading1">
    <w:name w:val="heading 1"/>
    <w:basedOn w:val="Normal"/>
    <w:next w:val="Normal"/>
    <w:link w:val="Heading1Char"/>
    <w:uiPriority w:val="9"/>
    <w:qFormat/>
    <w:rsid w:val="00585A1E"/>
    <w:pPr>
      <w:keepNext/>
      <w:keepLines/>
      <w:spacing w:before="240"/>
      <w:jc w:val="both"/>
      <w:outlineLvl w:val="0"/>
    </w:pPr>
    <w:rPr>
      <w:rFonts w:ascii="Cambria" w:hAnsi="Cambria"/>
      <w:color w:val="365F91"/>
      <w:sz w:val="32"/>
      <w:szCs w:val="32"/>
      <w:lang w:eastAsia="en-US"/>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2314B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COM Heading"/>
    <w:basedOn w:val="Normal"/>
    <w:next w:val="Normal"/>
    <w:link w:val="Heading4Char"/>
    <w:qFormat/>
    <w:rsid w:val="00585A1E"/>
    <w:pPr>
      <w:keepNext/>
      <w:keepLines/>
      <w:numPr>
        <w:numId w:val="4"/>
      </w:numPr>
      <w:tabs>
        <w:tab w:val="left" w:pos="567"/>
      </w:tabs>
      <w:snapToGrid w:val="0"/>
      <w:spacing w:before="240" w:after="12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585A1E"/>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COMPara">
    <w:name w:val="COM Para"/>
    <w:qFormat/>
    <w:rsid w:val="005545D4"/>
    <w:pPr>
      <w:numPr>
        <w:numId w:val="2"/>
      </w:numPr>
      <w:spacing w:after="120"/>
      <w:ind w:left="567" w:hanging="567"/>
      <w:jc w:val="both"/>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2367BC"/>
    <w:pPr>
      <w:numPr>
        <w:numId w:val="3"/>
      </w:numPr>
      <w:tabs>
        <w:tab w:val="left" w:pos="567"/>
        <w:tab w:val="left" w:pos="1134"/>
        <w:tab w:val="left" w:pos="1701"/>
      </w:tabs>
      <w:autoSpaceDE w:val="0"/>
      <w:autoSpaceDN w:val="0"/>
      <w:adjustRightInd w:val="0"/>
      <w:spacing w:after="120"/>
      <w:jc w:val="both"/>
    </w:pPr>
    <w:rPr>
      <w:rFonts w:ascii="Arial" w:eastAsia="SimSun" w:hAnsi="Arial" w:cs="Arial"/>
      <w:sz w:val="22"/>
      <w:szCs w:val="22"/>
    </w:rPr>
  </w:style>
  <w:style w:type="character" w:styleId="Hyperlink">
    <w:name w:val="Hyperlink"/>
    <w:uiPriority w:val="99"/>
    <w:unhideWhenUsed/>
    <w:rsid w:val="00300507"/>
    <w:rPr>
      <w:color w:val="0000FF"/>
      <w:u w:val="single"/>
    </w:rPr>
  </w:style>
  <w:style w:type="paragraph" w:styleId="FootnoteText">
    <w:name w:val="footnote text"/>
    <w:basedOn w:val="Normal"/>
    <w:link w:val="FootnoteTextChar"/>
    <w:uiPriority w:val="99"/>
    <w:unhideWhenUsed/>
    <w:rsid w:val="00300507"/>
    <w:rPr>
      <w:sz w:val="20"/>
      <w:szCs w:val="20"/>
    </w:rPr>
  </w:style>
  <w:style w:type="character" w:customStyle="1" w:styleId="FootnoteTextChar">
    <w:name w:val="Footnote Text Char"/>
    <w:link w:val="FootnoteText"/>
    <w:uiPriority w:val="99"/>
    <w:rsid w:val="00300507"/>
    <w:rPr>
      <w:rFonts w:ascii="Times New Roman" w:eastAsia="Times New Roman" w:hAnsi="Times New Roman"/>
    </w:rPr>
  </w:style>
  <w:style w:type="character" w:styleId="FootnoteReference">
    <w:name w:val="footnote reference"/>
    <w:uiPriority w:val="99"/>
    <w:semiHidden/>
    <w:unhideWhenUsed/>
    <w:rsid w:val="00300507"/>
    <w:rPr>
      <w:vertAlign w:val="superscript"/>
    </w:rPr>
  </w:style>
  <w:style w:type="character" w:customStyle="1" w:styleId="hps">
    <w:name w:val="hps"/>
    <w:rsid w:val="00605989"/>
  </w:style>
  <w:style w:type="character" w:styleId="FollowedHyperlink">
    <w:name w:val="FollowedHyperlink"/>
    <w:uiPriority w:val="99"/>
    <w:semiHidden/>
    <w:unhideWhenUsed/>
    <w:rsid w:val="00BD6BB0"/>
    <w:rPr>
      <w:color w:val="800080"/>
      <w:u w:val="single"/>
    </w:rPr>
  </w:style>
  <w:style w:type="paragraph" w:styleId="ListParagraph">
    <w:name w:val="List Paragraph"/>
    <w:basedOn w:val="Normal"/>
    <w:uiPriority w:val="34"/>
    <w:qFormat/>
    <w:rsid w:val="00FA3ABC"/>
    <w:pPr>
      <w:numPr>
        <w:numId w:val="5"/>
      </w:numPr>
      <w:spacing w:before="120"/>
      <w:ind w:left="397" w:hanging="397"/>
      <w:jc w:val="both"/>
    </w:pPr>
    <w:rPr>
      <w:rFonts w:ascii="Calibri" w:hAnsi="Calibri"/>
      <w:lang w:eastAsia="en-US"/>
    </w:rPr>
  </w:style>
  <w:style w:type="character" w:styleId="IntenseEmphasis">
    <w:name w:val="Intense Emphasis"/>
    <w:aliases w:val="Texte"/>
    <w:uiPriority w:val="21"/>
    <w:rsid w:val="00663B58"/>
    <w:rPr>
      <w:rFonts w:ascii="Arial" w:hAnsi="Arial" w:cs="Arial"/>
      <w:sz w:val="22"/>
    </w:rPr>
  </w:style>
  <w:style w:type="paragraph" w:customStyle="1" w:styleId="Introparagraph">
    <w:name w:val="Intro paragraph"/>
    <w:basedOn w:val="Marge"/>
    <w:link w:val="IntroparagraphChar"/>
    <w:qFormat/>
    <w:rsid w:val="00663B58"/>
    <w:pPr>
      <w:tabs>
        <w:tab w:val="left" w:pos="709"/>
      </w:tabs>
      <w:autoSpaceDE w:val="0"/>
      <w:autoSpaceDN w:val="0"/>
      <w:adjustRightInd w:val="0"/>
      <w:spacing w:before="240"/>
    </w:pPr>
  </w:style>
  <w:style w:type="character" w:customStyle="1" w:styleId="IntroparagraphChar">
    <w:name w:val="Intro paragraph Char"/>
    <w:link w:val="Introparagraph"/>
    <w:rsid w:val="00663B58"/>
    <w:rPr>
      <w:rFonts w:ascii="Arial" w:eastAsia="Times New Roman" w:hAnsi="Arial"/>
      <w:snapToGrid w:val="0"/>
      <w:sz w:val="22"/>
      <w:szCs w:val="24"/>
      <w:lang w:eastAsia="en-US"/>
    </w:rPr>
  </w:style>
  <w:style w:type="paragraph" w:customStyle="1" w:styleId="Footnote">
    <w:name w:val="Footnote"/>
    <w:basedOn w:val="EndnoteText"/>
    <w:link w:val="FootnoteChar"/>
    <w:qFormat/>
    <w:rsid w:val="00E12781"/>
    <w:pPr>
      <w:ind w:left="709" w:hanging="709"/>
    </w:pPr>
    <w:rPr>
      <w:rFonts w:ascii="Calibri" w:hAnsi="Calibri" w:cs="Arial"/>
    </w:rPr>
  </w:style>
  <w:style w:type="character" w:customStyle="1" w:styleId="FootnoteChar">
    <w:name w:val="Footnote Char"/>
    <w:aliases w:val="No Spacing Char,Title Ed Char"/>
    <w:link w:val="Footnote"/>
    <w:rsid w:val="00E12781"/>
    <w:rPr>
      <w:rFonts w:ascii="Calibri" w:eastAsia="Times New Roman" w:hAnsi="Calibri" w:cs="Arial"/>
    </w:rPr>
  </w:style>
  <w:style w:type="paragraph" w:styleId="EndnoteText">
    <w:name w:val="endnote text"/>
    <w:basedOn w:val="Normal"/>
    <w:link w:val="EndnoteTextChar"/>
    <w:uiPriority w:val="99"/>
    <w:semiHidden/>
    <w:unhideWhenUsed/>
    <w:rsid w:val="00E12781"/>
    <w:rPr>
      <w:sz w:val="20"/>
      <w:szCs w:val="20"/>
    </w:rPr>
  </w:style>
  <w:style w:type="character" w:customStyle="1" w:styleId="EndnoteTextChar">
    <w:name w:val="Endnote Text Char"/>
    <w:link w:val="EndnoteText"/>
    <w:uiPriority w:val="99"/>
    <w:semiHidden/>
    <w:rsid w:val="00E12781"/>
    <w:rPr>
      <w:rFonts w:ascii="Times New Roman" w:eastAsia="Times New Roman" w:hAnsi="Times New Roman"/>
    </w:rPr>
  </w:style>
  <w:style w:type="paragraph" w:customStyle="1" w:styleId="Default">
    <w:name w:val="Default"/>
    <w:rsid w:val="00CC1A29"/>
    <w:pPr>
      <w:autoSpaceDE w:val="0"/>
      <w:autoSpaceDN w:val="0"/>
      <w:adjustRightInd w:val="0"/>
    </w:pPr>
    <w:rPr>
      <w:rFonts w:ascii="Times New Roman" w:hAnsi="Times New Roman"/>
      <w:color w:val="000000"/>
      <w:sz w:val="24"/>
      <w:szCs w:val="24"/>
      <w:lang w:eastAsia="fr-FR"/>
    </w:rPr>
  </w:style>
  <w:style w:type="character" w:styleId="CommentReference">
    <w:name w:val="annotation reference"/>
    <w:uiPriority w:val="99"/>
    <w:semiHidden/>
    <w:unhideWhenUsed/>
    <w:rsid w:val="009278EF"/>
    <w:rPr>
      <w:sz w:val="16"/>
      <w:szCs w:val="16"/>
    </w:rPr>
  </w:style>
  <w:style w:type="paragraph" w:styleId="CommentText">
    <w:name w:val="annotation text"/>
    <w:basedOn w:val="Normal"/>
    <w:link w:val="CommentTextChar"/>
    <w:uiPriority w:val="99"/>
    <w:semiHidden/>
    <w:unhideWhenUsed/>
    <w:rsid w:val="009278EF"/>
    <w:rPr>
      <w:sz w:val="20"/>
      <w:szCs w:val="20"/>
    </w:rPr>
  </w:style>
  <w:style w:type="character" w:customStyle="1" w:styleId="CommentTextChar">
    <w:name w:val="Comment Text Char"/>
    <w:link w:val="CommentText"/>
    <w:uiPriority w:val="99"/>
    <w:semiHidden/>
    <w:rsid w:val="009278E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278EF"/>
    <w:rPr>
      <w:b/>
      <w:bCs/>
    </w:rPr>
  </w:style>
  <w:style w:type="character" w:customStyle="1" w:styleId="CommentSubjectChar">
    <w:name w:val="Comment Subject Char"/>
    <w:link w:val="CommentSubject"/>
    <w:uiPriority w:val="99"/>
    <w:rsid w:val="009278EF"/>
    <w:rPr>
      <w:rFonts w:ascii="Times New Roman" w:eastAsia="Times New Roman" w:hAnsi="Times New Roman"/>
      <w:b/>
      <w:bCs/>
    </w:rPr>
  </w:style>
  <w:style w:type="paragraph" w:styleId="Caption">
    <w:name w:val="caption"/>
    <w:basedOn w:val="Normal"/>
    <w:next w:val="Normal"/>
    <w:uiPriority w:val="35"/>
    <w:unhideWhenUsed/>
    <w:qFormat/>
    <w:rsid w:val="0038139F"/>
    <w:pPr>
      <w:spacing w:after="200"/>
    </w:pPr>
    <w:rPr>
      <w:i/>
      <w:iCs/>
      <w:color w:val="1F497D"/>
      <w:sz w:val="18"/>
      <w:szCs w:val="18"/>
    </w:rPr>
  </w:style>
  <w:style w:type="character" w:customStyle="1" w:styleId="Heading1Char">
    <w:name w:val="Heading 1 Char"/>
    <w:link w:val="Heading1"/>
    <w:uiPriority w:val="9"/>
    <w:rsid w:val="00585A1E"/>
    <w:rPr>
      <w:rFonts w:ascii="Cambria" w:eastAsia="Times New Roman" w:hAnsi="Cambria" w:cs="Times New Roman"/>
      <w:color w:val="365F91"/>
      <w:sz w:val="32"/>
      <w:szCs w:val="32"/>
      <w:lang w:val="fr-FR" w:eastAsia="en-US"/>
    </w:rPr>
  </w:style>
  <w:style w:type="paragraph" w:styleId="Revision">
    <w:name w:val="Revision"/>
    <w:hidden/>
    <w:uiPriority w:val="99"/>
    <w:semiHidden/>
    <w:rsid w:val="000001C4"/>
    <w:rPr>
      <w:rFonts w:ascii="Times New Roman" w:eastAsia="Times New Roman" w:hAnsi="Times New Roman"/>
      <w:sz w:val="24"/>
      <w:szCs w:val="24"/>
      <w:lang w:eastAsia="fr-FR"/>
    </w:rPr>
  </w:style>
  <w:style w:type="character" w:customStyle="1" w:styleId="Mentionner1">
    <w:name w:val="Mentionner1"/>
    <w:basedOn w:val="DefaultParagraphFont"/>
    <w:uiPriority w:val="99"/>
    <w:semiHidden/>
    <w:unhideWhenUsed/>
    <w:rsid w:val="00C95F6F"/>
    <w:rPr>
      <w:color w:val="2B579A"/>
      <w:shd w:val="clear" w:color="auto" w:fill="E6E6E6"/>
    </w:rPr>
  </w:style>
  <w:style w:type="character" w:customStyle="1" w:styleId="UnresolvedMention1">
    <w:name w:val="Unresolved Mention1"/>
    <w:basedOn w:val="DefaultParagraphFont"/>
    <w:uiPriority w:val="99"/>
    <w:semiHidden/>
    <w:unhideWhenUsed/>
    <w:rsid w:val="00B04086"/>
    <w:rPr>
      <w:color w:val="808080"/>
      <w:shd w:val="clear" w:color="auto" w:fill="E6E6E6"/>
    </w:rPr>
  </w:style>
  <w:style w:type="character" w:customStyle="1" w:styleId="Heading3Char">
    <w:name w:val="Heading 3 Char"/>
    <w:basedOn w:val="DefaultParagraphFont"/>
    <w:link w:val="Heading3"/>
    <w:uiPriority w:val="9"/>
    <w:semiHidden/>
    <w:rsid w:val="002314B7"/>
    <w:rPr>
      <w:rFonts w:asciiTheme="majorHAnsi" w:eastAsiaTheme="majorEastAsia" w:hAnsiTheme="majorHAnsi" w:cstheme="majorBidi"/>
      <w:color w:val="1F4D78" w:themeColor="accent1" w:themeShade="7F"/>
      <w:sz w:val="24"/>
      <w:szCs w:val="24"/>
      <w:lang w:eastAsia="fr-FR"/>
    </w:rPr>
  </w:style>
  <w:style w:type="character" w:styleId="Emphasis">
    <w:name w:val="Emphasis"/>
    <w:basedOn w:val="DefaultParagraphFont"/>
    <w:uiPriority w:val="20"/>
    <w:qFormat/>
    <w:rsid w:val="00C840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5438">
      <w:bodyDiv w:val="1"/>
      <w:marLeft w:val="0"/>
      <w:marRight w:val="0"/>
      <w:marTop w:val="0"/>
      <w:marBottom w:val="0"/>
      <w:divBdr>
        <w:top w:val="none" w:sz="0" w:space="0" w:color="auto"/>
        <w:left w:val="none" w:sz="0" w:space="0" w:color="auto"/>
        <w:bottom w:val="none" w:sz="0" w:space="0" w:color="auto"/>
        <w:right w:val="none" w:sz="0" w:space="0" w:color="auto"/>
      </w:divBdr>
      <w:divsChild>
        <w:div w:id="941180653">
          <w:marLeft w:val="547"/>
          <w:marRight w:val="0"/>
          <w:marTop w:val="0"/>
          <w:marBottom w:val="0"/>
          <w:divBdr>
            <w:top w:val="none" w:sz="0" w:space="0" w:color="auto"/>
            <w:left w:val="none" w:sz="0" w:space="0" w:color="auto"/>
            <w:bottom w:val="none" w:sz="0" w:space="0" w:color="auto"/>
            <w:right w:val="none" w:sz="0" w:space="0" w:color="auto"/>
          </w:divBdr>
        </w:div>
      </w:divsChild>
    </w:div>
    <w:div w:id="247346899">
      <w:bodyDiv w:val="1"/>
      <w:marLeft w:val="0"/>
      <w:marRight w:val="0"/>
      <w:marTop w:val="0"/>
      <w:marBottom w:val="0"/>
      <w:divBdr>
        <w:top w:val="none" w:sz="0" w:space="0" w:color="auto"/>
        <w:left w:val="none" w:sz="0" w:space="0" w:color="auto"/>
        <w:bottom w:val="none" w:sz="0" w:space="0" w:color="auto"/>
        <w:right w:val="none" w:sz="0" w:space="0" w:color="auto"/>
      </w:divBdr>
    </w:div>
    <w:div w:id="52895744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44849950">
      <w:bodyDiv w:val="1"/>
      <w:marLeft w:val="0"/>
      <w:marRight w:val="0"/>
      <w:marTop w:val="0"/>
      <w:marBottom w:val="0"/>
      <w:divBdr>
        <w:top w:val="none" w:sz="0" w:space="0" w:color="auto"/>
        <w:left w:val="none" w:sz="0" w:space="0" w:color="auto"/>
        <w:bottom w:val="none" w:sz="0" w:space="0" w:color="auto"/>
        <w:right w:val="none" w:sz="0" w:space="0" w:color="auto"/>
      </w:divBdr>
      <w:divsChild>
        <w:div w:id="908803595">
          <w:marLeft w:val="547"/>
          <w:marRight w:val="0"/>
          <w:marTop w:val="0"/>
          <w:marBottom w:val="0"/>
          <w:divBdr>
            <w:top w:val="none" w:sz="0" w:space="0" w:color="auto"/>
            <w:left w:val="none" w:sz="0" w:space="0" w:color="auto"/>
            <w:bottom w:val="none" w:sz="0" w:space="0" w:color="auto"/>
            <w:right w:val="none" w:sz="0" w:space="0" w:color="auto"/>
          </w:divBdr>
        </w:div>
      </w:divsChild>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86725087">
      <w:bodyDiv w:val="1"/>
      <w:marLeft w:val="0"/>
      <w:marRight w:val="0"/>
      <w:marTop w:val="0"/>
      <w:marBottom w:val="0"/>
      <w:divBdr>
        <w:top w:val="none" w:sz="0" w:space="0" w:color="auto"/>
        <w:left w:val="none" w:sz="0" w:space="0" w:color="auto"/>
        <w:bottom w:val="none" w:sz="0" w:space="0" w:color="auto"/>
        <w:right w:val="none" w:sz="0" w:space="0" w:color="auto"/>
      </w:divBdr>
      <w:divsChild>
        <w:div w:id="1033385442">
          <w:marLeft w:val="0"/>
          <w:marRight w:val="0"/>
          <w:marTop w:val="0"/>
          <w:marBottom w:val="0"/>
          <w:divBdr>
            <w:top w:val="none" w:sz="0" w:space="0" w:color="auto"/>
            <w:left w:val="none" w:sz="0" w:space="0" w:color="auto"/>
            <w:bottom w:val="none" w:sz="0" w:space="0" w:color="auto"/>
            <w:right w:val="none" w:sz="0" w:space="0" w:color="auto"/>
          </w:divBdr>
          <w:divsChild>
            <w:div w:id="2040424133">
              <w:marLeft w:val="0"/>
              <w:marRight w:val="0"/>
              <w:marTop w:val="0"/>
              <w:marBottom w:val="0"/>
              <w:divBdr>
                <w:top w:val="none" w:sz="0" w:space="0" w:color="auto"/>
                <w:left w:val="none" w:sz="0" w:space="0" w:color="auto"/>
                <w:bottom w:val="none" w:sz="0" w:space="0" w:color="auto"/>
                <w:right w:val="none" w:sz="0" w:space="0" w:color="auto"/>
              </w:divBdr>
              <w:divsChild>
                <w:div w:id="846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4917">
      <w:bodyDiv w:val="1"/>
      <w:marLeft w:val="0"/>
      <w:marRight w:val="0"/>
      <w:marTop w:val="0"/>
      <w:marBottom w:val="0"/>
      <w:divBdr>
        <w:top w:val="none" w:sz="0" w:space="0" w:color="auto"/>
        <w:left w:val="none" w:sz="0" w:space="0" w:color="auto"/>
        <w:bottom w:val="none" w:sz="0" w:space="0" w:color="auto"/>
        <w:right w:val="none" w:sz="0" w:space="0" w:color="auto"/>
      </w:divBdr>
      <w:divsChild>
        <w:div w:id="1112670637">
          <w:marLeft w:val="547"/>
          <w:marRight w:val="0"/>
          <w:marTop w:val="0"/>
          <w:marBottom w:val="0"/>
          <w:divBdr>
            <w:top w:val="none" w:sz="0" w:space="0" w:color="auto"/>
            <w:left w:val="none" w:sz="0" w:space="0" w:color="auto"/>
            <w:bottom w:val="none" w:sz="0" w:space="0" w:color="auto"/>
            <w:right w:val="none" w:sz="0" w:space="0" w:color="auto"/>
          </w:divBdr>
        </w:div>
      </w:divsChild>
    </w:div>
    <w:div w:id="1260717041">
      <w:bodyDiv w:val="1"/>
      <w:marLeft w:val="0"/>
      <w:marRight w:val="0"/>
      <w:marTop w:val="0"/>
      <w:marBottom w:val="0"/>
      <w:divBdr>
        <w:top w:val="none" w:sz="0" w:space="0" w:color="auto"/>
        <w:left w:val="none" w:sz="0" w:space="0" w:color="auto"/>
        <w:bottom w:val="none" w:sz="0" w:space="0" w:color="auto"/>
        <w:right w:val="none" w:sz="0" w:space="0" w:color="auto"/>
      </w:divBdr>
      <w:divsChild>
        <w:div w:id="753628330">
          <w:marLeft w:val="547"/>
          <w:marRight w:val="0"/>
          <w:marTop w:val="0"/>
          <w:marBottom w:val="0"/>
          <w:divBdr>
            <w:top w:val="none" w:sz="0" w:space="0" w:color="auto"/>
            <w:left w:val="none" w:sz="0" w:space="0" w:color="auto"/>
            <w:bottom w:val="none" w:sz="0" w:space="0" w:color="auto"/>
            <w:right w:val="none" w:sz="0" w:space="0" w:color="auto"/>
          </w:divBdr>
        </w:div>
      </w:divsChild>
    </w:div>
    <w:div w:id="1329090308">
      <w:bodyDiv w:val="1"/>
      <w:marLeft w:val="0"/>
      <w:marRight w:val="0"/>
      <w:marTop w:val="0"/>
      <w:marBottom w:val="0"/>
      <w:divBdr>
        <w:top w:val="none" w:sz="0" w:space="0" w:color="auto"/>
        <w:left w:val="none" w:sz="0" w:space="0" w:color="auto"/>
        <w:bottom w:val="none" w:sz="0" w:space="0" w:color="auto"/>
        <w:right w:val="none" w:sz="0" w:space="0" w:color="auto"/>
      </w:divBdr>
      <w:divsChild>
        <w:div w:id="277182311">
          <w:marLeft w:val="547"/>
          <w:marRight w:val="0"/>
          <w:marTop w:val="0"/>
          <w:marBottom w:val="0"/>
          <w:divBdr>
            <w:top w:val="none" w:sz="0" w:space="0" w:color="auto"/>
            <w:left w:val="none" w:sz="0" w:space="0" w:color="auto"/>
            <w:bottom w:val="none" w:sz="0" w:space="0" w:color="auto"/>
            <w:right w:val="none" w:sz="0" w:space="0" w:color="auto"/>
          </w:divBdr>
        </w:div>
      </w:divsChild>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80230728">
      <w:bodyDiv w:val="1"/>
      <w:marLeft w:val="0"/>
      <w:marRight w:val="0"/>
      <w:marTop w:val="0"/>
      <w:marBottom w:val="0"/>
      <w:divBdr>
        <w:top w:val="none" w:sz="0" w:space="0" w:color="auto"/>
        <w:left w:val="none" w:sz="0" w:space="0" w:color="auto"/>
        <w:bottom w:val="none" w:sz="0" w:space="0" w:color="auto"/>
        <w:right w:val="none" w:sz="0" w:space="0" w:color="auto"/>
      </w:divBdr>
      <w:divsChild>
        <w:div w:id="794521604">
          <w:marLeft w:val="547"/>
          <w:marRight w:val="0"/>
          <w:marTop w:val="0"/>
          <w:marBottom w:val="0"/>
          <w:divBdr>
            <w:top w:val="none" w:sz="0" w:space="0" w:color="auto"/>
            <w:left w:val="none" w:sz="0" w:space="0" w:color="auto"/>
            <w:bottom w:val="none" w:sz="0" w:space="0" w:color="auto"/>
            <w:right w:val="none" w:sz="0" w:space="0" w:color="auto"/>
          </w:divBdr>
        </w:div>
      </w:divsChild>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92955715">
      <w:bodyDiv w:val="1"/>
      <w:marLeft w:val="0"/>
      <w:marRight w:val="0"/>
      <w:marTop w:val="0"/>
      <w:marBottom w:val="0"/>
      <w:divBdr>
        <w:top w:val="none" w:sz="0" w:space="0" w:color="auto"/>
        <w:left w:val="none" w:sz="0" w:space="0" w:color="auto"/>
        <w:bottom w:val="none" w:sz="0" w:space="0" w:color="auto"/>
        <w:right w:val="none" w:sz="0" w:space="0" w:color="auto"/>
      </w:divBdr>
      <w:divsChild>
        <w:div w:id="1767580834">
          <w:marLeft w:val="547"/>
          <w:marRight w:val="0"/>
          <w:marTop w:val="0"/>
          <w:marBottom w:val="0"/>
          <w:divBdr>
            <w:top w:val="none" w:sz="0" w:space="0" w:color="auto"/>
            <w:left w:val="none" w:sz="0" w:space="0" w:color="auto"/>
            <w:bottom w:val="none" w:sz="0" w:space="0" w:color="auto"/>
            <w:right w:val="none" w:sz="0" w:space="0" w:color="auto"/>
          </w:divBdr>
        </w:div>
      </w:divsChild>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82298985">
      <w:bodyDiv w:val="1"/>
      <w:marLeft w:val="0"/>
      <w:marRight w:val="0"/>
      <w:marTop w:val="0"/>
      <w:marBottom w:val="0"/>
      <w:divBdr>
        <w:top w:val="none" w:sz="0" w:space="0" w:color="auto"/>
        <w:left w:val="none" w:sz="0" w:space="0" w:color="auto"/>
        <w:bottom w:val="none" w:sz="0" w:space="0" w:color="auto"/>
        <w:right w:val="none" w:sz="0" w:space="0" w:color="auto"/>
      </w:divBdr>
      <w:divsChild>
        <w:div w:id="1434321676">
          <w:marLeft w:val="547"/>
          <w:marRight w:val="0"/>
          <w:marTop w:val="0"/>
          <w:marBottom w:val="0"/>
          <w:divBdr>
            <w:top w:val="none" w:sz="0" w:space="0" w:color="auto"/>
            <w:left w:val="none" w:sz="0" w:space="0" w:color="auto"/>
            <w:bottom w:val="none" w:sz="0" w:space="0" w:color="auto"/>
            <w:right w:val="none" w:sz="0" w:space="0" w:color="auto"/>
          </w:divBdr>
        </w:div>
      </w:divsChild>
    </w:div>
    <w:div w:id="2095080633">
      <w:bodyDiv w:val="1"/>
      <w:marLeft w:val="0"/>
      <w:marRight w:val="0"/>
      <w:marTop w:val="0"/>
      <w:marBottom w:val="0"/>
      <w:divBdr>
        <w:top w:val="none" w:sz="0" w:space="0" w:color="auto"/>
        <w:left w:val="none" w:sz="0" w:space="0" w:color="auto"/>
        <w:bottom w:val="none" w:sz="0" w:space="0" w:color="auto"/>
        <w:right w:val="none" w:sz="0" w:space="0" w:color="auto"/>
      </w:divBdr>
      <w:divsChild>
        <w:div w:id="1641036464">
          <w:marLeft w:val="547"/>
          <w:marRight w:val="0"/>
          <w:marTop w:val="0"/>
          <w:marBottom w:val="0"/>
          <w:divBdr>
            <w:top w:val="none" w:sz="0" w:space="0" w:color="auto"/>
            <w:left w:val="none" w:sz="0" w:space="0" w:color="auto"/>
            <w:bottom w:val="none" w:sz="0" w:space="0" w:color="auto"/>
            <w:right w:val="none" w:sz="0" w:space="0" w:color="auto"/>
          </w:divBdr>
        </w:div>
      </w:divsChild>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8.COM/5.c.1" TargetMode="External"/><Relationship Id="rId13" Type="http://schemas.openxmlformats.org/officeDocument/2006/relationships/hyperlink" Target="https://ich.unesco.org/doc/src/ITH-17-12.COM-INF.9-FR.docx" TargetMode="External"/><Relationship Id="rId18" Type="http://schemas.openxmlformats.org/officeDocument/2006/relationships/hyperlink" Target="https://ich.unesco.org/doc/src/ITH-17-12.COM-9-FR.docx"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ich.unesco.org/doc/src/ITH-18-7.GA-10-FR.docx" TargetMode="External"/><Relationship Id="rId7" Type="http://schemas.openxmlformats.org/officeDocument/2006/relationships/endnotes" Target="endnotes.xml"/><Relationship Id="rId12" Type="http://schemas.openxmlformats.org/officeDocument/2006/relationships/hyperlink" Target="https://ich.unesco.org/doc/src/ITH-17-12.COM-9-FR.docx" TargetMode="External"/><Relationship Id="rId17" Type="http://schemas.openxmlformats.org/officeDocument/2006/relationships/hyperlink" Target="https://ich.unesco.org/doc/src/ITH-18-7.GA-10-FR.doc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h.unesco.org/doc/src/ITH-17-12.COM-9-FR.docx" TargetMode="External"/><Relationship Id="rId20" Type="http://schemas.openxmlformats.org/officeDocument/2006/relationships/hyperlink" Target="https://ich.unesco.org/fr/Decisions/12.COM/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1.COM/1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fr/Decisions/12.COM/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ich.unesco.org/doc/src/ITH-16-11.COM-14-FR.docx" TargetMode="External"/><Relationship Id="rId19" Type="http://schemas.openxmlformats.org/officeDocument/2006/relationships/hyperlink" Target="https://ich.unesco.org/doc/src/ITH-17-12.COM-10-FR.docx" TargetMode="External"/><Relationship Id="rId4" Type="http://schemas.openxmlformats.org/officeDocument/2006/relationships/settings" Target="settings.xml"/><Relationship Id="rId9" Type="http://schemas.openxmlformats.org/officeDocument/2006/relationships/hyperlink" Target="https://ich.unesco.org/fr/decisions/9.COM/13.e" TargetMode="External"/><Relationship Id="rId14" Type="http://schemas.openxmlformats.org/officeDocument/2006/relationships/hyperlink" Target="https://ich.unesco.org/doc/src/ITH-17-12.COM-9-FR.docx" TargetMode="External"/><Relationship Id="rId22" Type="http://schemas.openxmlformats.org/officeDocument/2006/relationships/hyperlink" Target="https://ich.unesco.org/fr/Decisions/12.COM/9"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esdoc.unesco.org/images/0022/002230/223095s.pdf" TargetMode="External"/><Relationship Id="rId2" Type="http://schemas.openxmlformats.org/officeDocument/2006/relationships/hyperlink" Target="http://unesdoc.unesco.org/images/0022/002230/223095f.pdf" TargetMode="External"/><Relationship Id="rId1" Type="http://schemas.openxmlformats.org/officeDocument/2006/relationships/hyperlink" Target="http://unesdoc.unesco.org/images/0022/002230/223095epdf" TargetMode="External"/><Relationship Id="rId5" Type="http://schemas.openxmlformats.org/officeDocument/2006/relationships/hyperlink" Target="http://unesdoc.unesco.org/images/0017/001775/177568F.pdf" TargetMode="External"/><Relationship Id="rId4" Type="http://schemas.openxmlformats.org/officeDocument/2006/relationships/hyperlink" Target="http://unesdoc.unesco.org/images/0022/002230/223095a.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B90A-BA54-423F-93CE-1EBCB221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6</TotalTime>
  <Pages>20</Pages>
  <Words>7584</Words>
  <Characters>43233</Characters>
  <Application>Microsoft Office Word</Application>
  <DocSecurity>0</DocSecurity>
  <Lines>360</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50716</CharactersWithSpaces>
  <SharedDoc>false</SharedDoc>
  <HLinks>
    <vt:vector size="216" baseType="variant">
      <vt:variant>
        <vt:i4>1376263</vt:i4>
      </vt:variant>
      <vt:variant>
        <vt:i4>15</vt:i4>
      </vt:variant>
      <vt:variant>
        <vt:i4>0</vt:i4>
      </vt:variant>
      <vt:variant>
        <vt:i4>5</vt:i4>
      </vt:variant>
      <vt:variant>
        <vt:lpwstr>http://www.unesco.org/culture/ich/en/Decisions/9.COM/13.e</vt:lpwstr>
      </vt:variant>
      <vt:variant>
        <vt:lpwstr/>
      </vt:variant>
      <vt:variant>
        <vt:i4>4980818</vt:i4>
      </vt:variant>
      <vt:variant>
        <vt:i4>12</vt:i4>
      </vt:variant>
      <vt:variant>
        <vt:i4>0</vt:i4>
      </vt:variant>
      <vt:variant>
        <vt:i4>5</vt:i4>
      </vt:variant>
      <vt:variant>
        <vt:lpwstr>http://www.unesco.org/culture/ich/en/Decisions/10.COM/6.a</vt:lpwstr>
      </vt:variant>
      <vt:variant>
        <vt:lpwstr/>
      </vt:variant>
      <vt:variant>
        <vt:i4>6750304</vt:i4>
      </vt:variant>
      <vt:variant>
        <vt:i4>9</vt:i4>
      </vt:variant>
      <vt:variant>
        <vt:i4>0</vt:i4>
      </vt:variant>
      <vt:variant>
        <vt:i4>5</vt:i4>
      </vt:variant>
      <vt:variant>
        <vt:lpwstr>http://www.unesco.org/culture/ich/en/events/expert-meeting-on-developing-an-overall-results-framework-for-the-2003-convention-00581</vt:lpwstr>
      </vt:variant>
      <vt:variant>
        <vt:lpwstr/>
      </vt:variant>
      <vt:variant>
        <vt:i4>6422628</vt:i4>
      </vt:variant>
      <vt:variant>
        <vt:i4>6</vt:i4>
      </vt:variant>
      <vt:variant>
        <vt:i4>0</vt:i4>
      </vt:variant>
      <vt:variant>
        <vt:i4>5</vt:i4>
      </vt:variant>
      <vt:variant>
        <vt:lpwstr>http://www.unesco.org/culture/ich/en/Decisions/10.COM/9</vt:lpwstr>
      </vt:variant>
      <vt:variant>
        <vt:lpwstr/>
      </vt:variant>
      <vt:variant>
        <vt:i4>1376263</vt:i4>
      </vt:variant>
      <vt:variant>
        <vt:i4>3</vt:i4>
      </vt:variant>
      <vt:variant>
        <vt:i4>0</vt:i4>
      </vt:variant>
      <vt:variant>
        <vt:i4>5</vt:i4>
      </vt:variant>
      <vt:variant>
        <vt:lpwstr>http://www.unesco.org/culture/ich/en/Decisions/9.COM/13.e</vt:lpwstr>
      </vt:variant>
      <vt:variant>
        <vt:lpwstr/>
      </vt:variant>
      <vt:variant>
        <vt:i4>7077940</vt:i4>
      </vt:variant>
      <vt:variant>
        <vt:i4>0</vt:i4>
      </vt:variant>
      <vt:variant>
        <vt:i4>0</vt:i4>
      </vt:variant>
      <vt:variant>
        <vt:i4>5</vt:i4>
      </vt:variant>
      <vt:variant>
        <vt:lpwstr>http://www.unesco.org/culture/ich/en/Decisions/8.COM/5.c.1</vt:lpwstr>
      </vt:variant>
      <vt:variant>
        <vt:lpwstr/>
      </vt:variant>
      <vt:variant>
        <vt:i4>7471214</vt:i4>
      </vt:variant>
      <vt:variant>
        <vt:i4>87</vt:i4>
      </vt:variant>
      <vt:variant>
        <vt:i4>0</vt:i4>
      </vt:variant>
      <vt:variant>
        <vt:i4>5</vt:i4>
      </vt:variant>
      <vt:variant>
        <vt:lpwstr>https://www.cbd.int/kb/record/meetingDocument/99249?RecordType=meetingDocument</vt:lpwstr>
      </vt:variant>
      <vt:variant>
        <vt:lpwstr/>
      </vt:variant>
      <vt:variant>
        <vt:i4>262254</vt:i4>
      </vt:variant>
      <vt:variant>
        <vt:i4>84</vt:i4>
      </vt:variant>
      <vt:variant>
        <vt:i4>0</vt:i4>
      </vt:variant>
      <vt:variant>
        <vt:i4>5</vt:i4>
      </vt:variant>
      <vt:variant>
        <vt:lpwstr>http://www.un.org/esa/socdev/unpfii/documents/E_ C_19_2009_CRP3_en.pdf</vt:lpwstr>
      </vt:variant>
      <vt:variant>
        <vt:lpwstr/>
      </vt:variant>
      <vt:variant>
        <vt:i4>2359336</vt:i4>
      </vt:variant>
      <vt:variant>
        <vt:i4>81</vt:i4>
      </vt:variant>
      <vt:variant>
        <vt:i4>0</vt:i4>
      </vt:variant>
      <vt:variant>
        <vt:i4>5</vt:i4>
      </vt:variant>
      <vt:variant>
        <vt:lpwstr>http://www.stats.govt.nz/browse_for_stats/people_and_communities/maori.aspx</vt:lpwstr>
      </vt:variant>
      <vt:variant>
        <vt:lpwstr>cultureandid</vt:lpwstr>
      </vt:variant>
      <vt:variant>
        <vt:i4>3342375</vt:i4>
      </vt:variant>
      <vt:variant>
        <vt:i4>78</vt:i4>
      </vt:variant>
      <vt:variant>
        <vt:i4>0</vt:i4>
      </vt:variant>
      <vt:variant>
        <vt:i4>5</vt:i4>
      </vt:variant>
      <vt:variant>
        <vt:lpwstr>http://socialreport.msd.govt.nz/cultural-identity/local-content-programming-on-new-zealand-television.html</vt:lpwstr>
      </vt:variant>
      <vt:variant>
        <vt:lpwstr/>
      </vt:variant>
      <vt:variant>
        <vt:i4>1572865</vt:i4>
      </vt:variant>
      <vt:variant>
        <vt:i4>75</vt:i4>
      </vt:variant>
      <vt:variant>
        <vt:i4>0</vt:i4>
      </vt:variant>
      <vt:variant>
        <vt:i4>5</vt:i4>
      </vt:variant>
      <vt:variant>
        <vt:lpwstr>http://www.oecd-ilibrary.org/docserver/download/8111081ec011.pdf?expires=1472630653&amp;id=id&amp;accname=guest&amp;checksum=1BD52C80AAA1E037950024393D2041AB</vt:lpwstr>
      </vt:variant>
      <vt:variant>
        <vt:lpwstr/>
      </vt:variant>
      <vt:variant>
        <vt:i4>7536735</vt:i4>
      </vt:variant>
      <vt:variant>
        <vt:i4>72</vt:i4>
      </vt:variant>
      <vt:variant>
        <vt:i4>0</vt:i4>
      </vt:variant>
      <vt:variant>
        <vt:i4>5</vt:i4>
      </vt:variant>
      <vt:variant>
        <vt:lpwstr>http://portal.unesco.org/culture/en/files/40795/12705619025HK_Creativity_Index.pdf/HK_Creativity+Index.pdf</vt:lpwstr>
      </vt:variant>
      <vt:variant>
        <vt:lpwstr/>
      </vt:variant>
      <vt:variant>
        <vt:i4>7209083</vt:i4>
      </vt:variant>
      <vt:variant>
        <vt:i4>69</vt:i4>
      </vt:variant>
      <vt:variant>
        <vt:i4>0</vt:i4>
      </vt:variant>
      <vt:variant>
        <vt:i4>5</vt:i4>
      </vt:variant>
      <vt:variant>
        <vt:lpwstr>https://uwaterloo.ca/canadian-index-wellbeing/</vt:lpwstr>
      </vt:variant>
      <vt:variant>
        <vt:lpwstr/>
      </vt:variant>
      <vt:variant>
        <vt:i4>5373959</vt:i4>
      </vt:variant>
      <vt:variant>
        <vt:i4>66</vt:i4>
      </vt:variant>
      <vt:variant>
        <vt:i4>0</vt:i4>
      </vt:variant>
      <vt:variant>
        <vt:i4>5</vt:i4>
      </vt:variant>
      <vt:variant>
        <vt:lpwstr>http://en.unesco.org/creativity/cdis</vt:lpwstr>
      </vt:variant>
      <vt:variant>
        <vt:lpwstr/>
      </vt:variant>
      <vt:variant>
        <vt:i4>2162690</vt:i4>
      </vt:variant>
      <vt:variant>
        <vt:i4>63</vt:i4>
      </vt:variant>
      <vt:variant>
        <vt:i4>0</vt:i4>
      </vt:variant>
      <vt:variant>
        <vt:i4>5</vt:i4>
      </vt:variant>
      <vt:variant>
        <vt:lpwstr>http://www.unesco.org/culture/ich/doc/src/ICH-Operational_Directives-6.GA-ZH.docx</vt:lpwstr>
      </vt:variant>
      <vt:variant>
        <vt:lpwstr/>
      </vt:variant>
      <vt:variant>
        <vt:i4>3866649</vt:i4>
      </vt:variant>
      <vt:variant>
        <vt:i4>60</vt:i4>
      </vt:variant>
      <vt:variant>
        <vt:i4>0</vt:i4>
      </vt:variant>
      <vt:variant>
        <vt:i4>5</vt:i4>
      </vt:variant>
      <vt:variant>
        <vt:lpwstr>http://www.unesco.org/culture/ich/doc/src/ICH-Operational_Directives-6.GA-AR.docx</vt:lpwstr>
      </vt:variant>
      <vt:variant>
        <vt:lpwstr/>
      </vt:variant>
      <vt:variant>
        <vt:i4>3932170</vt:i4>
      </vt:variant>
      <vt:variant>
        <vt:i4>57</vt:i4>
      </vt:variant>
      <vt:variant>
        <vt:i4>0</vt:i4>
      </vt:variant>
      <vt:variant>
        <vt:i4>5</vt:i4>
      </vt:variant>
      <vt:variant>
        <vt:lpwstr>http://www.unesco.org/culture/ich/doc/src/ICH-Operational_Directives-6.GA-RU.doc</vt:lpwstr>
      </vt:variant>
      <vt:variant>
        <vt:lpwstr/>
      </vt:variant>
      <vt:variant>
        <vt:i4>3801117</vt:i4>
      </vt:variant>
      <vt:variant>
        <vt:i4>54</vt:i4>
      </vt:variant>
      <vt:variant>
        <vt:i4>0</vt:i4>
      </vt:variant>
      <vt:variant>
        <vt:i4>5</vt:i4>
      </vt:variant>
      <vt:variant>
        <vt:lpwstr>http://www.unesco.org/culture/ich/doc/src/ICH-Operational_Directives-6.GA-ES.doc</vt:lpwstr>
      </vt:variant>
      <vt:variant>
        <vt:lpwstr/>
      </vt:variant>
      <vt:variant>
        <vt:i4>6488067</vt:i4>
      </vt:variant>
      <vt:variant>
        <vt:i4>51</vt:i4>
      </vt:variant>
      <vt:variant>
        <vt:i4>0</vt:i4>
      </vt:variant>
      <vt:variant>
        <vt:i4>5</vt:i4>
      </vt:variant>
      <vt:variant>
        <vt:lpwstr>http://www.unesco.org/culture/ich/doc/src/ICH-Operational_Directives-6.GA-PDF-FR.pdf</vt:lpwstr>
      </vt:variant>
      <vt:variant>
        <vt:lpwstr/>
      </vt:variant>
      <vt:variant>
        <vt:i4>8323072</vt:i4>
      </vt:variant>
      <vt:variant>
        <vt:i4>48</vt:i4>
      </vt:variant>
      <vt:variant>
        <vt:i4>0</vt:i4>
      </vt:variant>
      <vt:variant>
        <vt:i4>5</vt:i4>
      </vt:variant>
      <vt:variant>
        <vt:lpwstr>http://www.unesco.org/culture/ich/doc/src/ICH-Operational_Directives-6.GA-PDF-EN.pdf</vt:lpwstr>
      </vt:variant>
      <vt:variant>
        <vt:lpwstr/>
      </vt:variant>
      <vt:variant>
        <vt:i4>131158</vt:i4>
      </vt:variant>
      <vt:variant>
        <vt:i4>45</vt:i4>
      </vt:variant>
      <vt:variant>
        <vt:i4>0</vt:i4>
      </vt:variant>
      <vt:variant>
        <vt:i4>5</vt:i4>
      </vt:variant>
      <vt:variant>
        <vt:lpwstr>http://www.unesco.org/culture/ich/doc/src/2003_Convention-Ethical_principles-ZH.pdf</vt:lpwstr>
      </vt:variant>
      <vt:variant>
        <vt:lpwstr/>
      </vt:variant>
      <vt:variant>
        <vt:i4>1638476</vt:i4>
      </vt:variant>
      <vt:variant>
        <vt:i4>42</vt:i4>
      </vt:variant>
      <vt:variant>
        <vt:i4>0</vt:i4>
      </vt:variant>
      <vt:variant>
        <vt:i4>5</vt:i4>
      </vt:variant>
      <vt:variant>
        <vt:lpwstr>http://www.unesco.org/culture/ich/doc/src/2003_Convention-Ethical_principles-AR.pdf</vt:lpwstr>
      </vt:variant>
      <vt:variant>
        <vt:lpwstr/>
      </vt:variant>
      <vt:variant>
        <vt:i4>655435</vt:i4>
      </vt:variant>
      <vt:variant>
        <vt:i4>39</vt:i4>
      </vt:variant>
      <vt:variant>
        <vt:i4>0</vt:i4>
      </vt:variant>
      <vt:variant>
        <vt:i4>5</vt:i4>
      </vt:variant>
      <vt:variant>
        <vt:lpwstr>http://www.unesco.org/culture/ich/doc/src/2003_Convention-Ethical_principles-RU.pdf</vt:lpwstr>
      </vt:variant>
      <vt:variant>
        <vt:lpwstr/>
      </vt:variant>
      <vt:variant>
        <vt:i4>1900621</vt:i4>
      </vt:variant>
      <vt:variant>
        <vt:i4>36</vt:i4>
      </vt:variant>
      <vt:variant>
        <vt:i4>0</vt:i4>
      </vt:variant>
      <vt:variant>
        <vt:i4>5</vt:i4>
      </vt:variant>
      <vt:variant>
        <vt:lpwstr>http://www.unesco.org/culture/ich/doc/src/2003_Convention-Ethical_principles-ES.pdf</vt:lpwstr>
      </vt:variant>
      <vt:variant>
        <vt:lpwstr/>
      </vt:variant>
      <vt:variant>
        <vt:i4>7143483</vt:i4>
      </vt:variant>
      <vt:variant>
        <vt:i4>33</vt:i4>
      </vt:variant>
      <vt:variant>
        <vt:i4>0</vt:i4>
      </vt:variant>
      <vt:variant>
        <vt:i4>5</vt:i4>
      </vt:variant>
      <vt:variant>
        <vt:lpwstr>http://www.unesco.org/culture/ich/doc/src/2003_Convention-Ethical_principles-FR.docx</vt:lpwstr>
      </vt:variant>
      <vt:variant>
        <vt:lpwstr/>
      </vt:variant>
      <vt:variant>
        <vt:i4>7208999</vt:i4>
      </vt:variant>
      <vt:variant>
        <vt:i4>30</vt:i4>
      </vt:variant>
      <vt:variant>
        <vt:i4>0</vt:i4>
      </vt:variant>
      <vt:variant>
        <vt:i4>5</vt:i4>
      </vt:variant>
      <vt:variant>
        <vt:lpwstr>http://www.unesco.org/culture/ich/doc/src/2003_Convention-Ethical_principles-EN.docx</vt:lpwstr>
      </vt:variant>
      <vt:variant>
        <vt:lpwstr/>
      </vt:variant>
      <vt:variant>
        <vt:i4>3539067</vt:i4>
      </vt:variant>
      <vt:variant>
        <vt:i4>27</vt:i4>
      </vt:variant>
      <vt:variant>
        <vt:i4>0</vt:i4>
      </vt:variant>
      <vt:variant>
        <vt:i4>5</vt:i4>
      </vt:variant>
      <vt:variant>
        <vt:lpwstr>http://www.unesco.org/culture/ich/en/Decisions/10.COM/15.a</vt:lpwstr>
      </vt:variant>
      <vt:variant>
        <vt:lpwstr/>
      </vt:variant>
      <vt:variant>
        <vt:i4>7995491</vt:i4>
      </vt:variant>
      <vt:variant>
        <vt:i4>24</vt:i4>
      </vt:variant>
      <vt:variant>
        <vt:i4>0</vt:i4>
      </vt:variant>
      <vt:variant>
        <vt:i4>5</vt:i4>
      </vt:variant>
      <vt:variant>
        <vt:lpwstr>https://undg.org/wp-content/uploads/2015/01/UNDG-RBM-Handbook-2012.pdf</vt:lpwstr>
      </vt:variant>
      <vt:variant>
        <vt:lpwstr/>
      </vt:variant>
      <vt:variant>
        <vt:i4>7602278</vt:i4>
      </vt:variant>
      <vt:variant>
        <vt:i4>21</vt:i4>
      </vt:variant>
      <vt:variant>
        <vt:i4>0</vt:i4>
      </vt:variant>
      <vt:variant>
        <vt:i4>5</vt:i4>
      </vt:variant>
      <vt:variant>
        <vt:lpwstr>http://www.uneval.org/document/detail/1484</vt:lpwstr>
      </vt:variant>
      <vt:variant>
        <vt:lpwstr/>
      </vt:variant>
      <vt:variant>
        <vt:i4>6750304</vt:i4>
      </vt:variant>
      <vt:variant>
        <vt:i4>18</vt:i4>
      </vt:variant>
      <vt:variant>
        <vt:i4>0</vt:i4>
      </vt:variant>
      <vt:variant>
        <vt:i4>5</vt:i4>
      </vt:variant>
      <vt:variant>
        <vt:lpwstr>http://www.unesco.org/culture/ich/en/events/expert-meeting-on-developing-an-overall-results-framework-for-the-2003-convention-00581</vt:lpwstr>
      </vt:variant>
      <vt:variant>
        <vt:lpwstr/>
      </vt:variant>
      <vt:variant>
        <vt:i4>3604591</vt:i4>
      </vt:variant>
      <vt:variant>
        <vt:i4>15</vt:i4>
      </vt:variant>
      <vt:variant>
        <vt:i4>0</vt:i4>
      </vt:variant>
      <vt:variant>
        <vt:i4>5</vt:i4>
      </vt:variant>
      <vt:variant>
        <vt:lpwstr>http://www.unesco.org/culture/ich/doc/src/ITH-16-EXP-3_Rev.2__EN_FR.docx</vt:lpwstr>
      </vt:variant>
      <vt:variant>
        <vt:lpwstr/>
      </vt:variant>
      <vt:variant>
        <vt:i4>3604591</vt:i4>
      </vt:variant>
      <vt:variant>
        <vt:i4>12</vt:i4>
      </vt:variant>
      <vt:variant>
        <vt:i4>0</vt:i4>
      </vt:variant>
      <vt:variant>
        <vt:i4>5</vt:i4>
      </vt:variant>
      <vt:variant>
        <vt:lpwstr>http://www.unesco.org/culture/ich/doc/src/ITH-16-EXP-3_Rev.2__EN_FR.docx</vt:lpwstr>
      </vt:variant>
      <vt:variant>
        <vt:lpwstr/>
      </vt:variant>
      <vt:variant>
        <vt:i4>1376268</vt:i4>
      </vt:variant>
      <vt:variant>
        <vt:i4>9</vt:i4>
      </vt:variant>
      <vt:variant>
        <vt:i4>0</vt:i4>
      </vt:variant>
      <vt:variant>
        <vt:i4>5</vt:i4>
      </vt:variant>
      <vt:variant>
        <vt:lpwstr>http://unesdoc.unesco.org/images/0022/002230/223095a.pdf</vt:lpwstr>
      </vt:variant>
      <vt:variant>
        <vt:lpwstr/>
      </vt:variant>
      <vt:variant>
        <vt:i4>458764</vt:i4>
      </vt:variant>
      <vt:variant>
        <vt:i4>6</vt:i4>
      </vt:variant>
      <vt:variant>
        <vt:i4>0</vt:i4>
      </vt:variant>
      <vt:variant>
        <vt:i4>5</vt:i4>
      </vt:variant>
      <vt:variant>
        <vt:lpwstr>http://unesdoc.unesco.org/images/0022/002230/223095s.pdf</vt:lpwstr>
      </vt:variant>
      <vt:variant>
        <vt:lpwstr/>
      </vt:variant>
      <vt:variant>
        <vt:i4>1179660</vt:i4>
      </vt:variant>
      <vt:variant>
        <vt:i4>3</vt:i4>
      </vt:variant>
      <vt:variant>
        <vt:i4>0</vt:i4>
      </vt:variant>
      <vt:variant>
        <vt:i4>5</vt:i4>
      </vt:variant>
      <vt:variant>
        <vt:lpwstr>http://unesdoc.unesco.org/images/0022/002230/223095f.pdf</vt:lpwstr>
      </vt:variant>
      <vt:variant>
        <vt:lpwstr/>
      </vt:variant>
      <vt:variant>
        <vt:i4>1114124</vt:i4>
      </vt:variant>
      <vt:variant>
        <vt:i4>0</vt:i4>
      </vt:variant>
      <vt:variant>
        <vt:i4>0</vt:i4>
      </vt:variant>
      <vt:variant>
        <vt:i4>5</vt:i4>
      </vt:variant>
      <vt:variant>
        <vt:lpwstr>http://unesdoc.unesco.org/images/0022/002230/223095e.pdf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7</cp:revision>
  <cp:lastPrinted>2018-04-05T16:39:00Z</cp:lastPrinted>
  <dcterms:created xsi:type="dcterms:W3CDTF">2018-05-03T17:17:00Z</dcterms:created>
  <dcterms:modified xsi:type="dcterms:W3CDTF">2018-05-04T16:11:00Z</dcterms:modified>
</cp:coreProperties>
</file>