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98DEB" w14:textId="0879F361" w:rsidR="00655736" w:rsidRPr="00731336" w:rsidRDefault="00655736" w:rsidP="0041353C">
      <w:pPr>
        <w:spacing w:before="1440"/>
        <w:jc w:val="center"/>
        <w:rPr>
          <w:rFonts w:ascii="Arial" w:hAnsi="Arial" w:cs="Arial"/>
          <w:b/>
          <w:sz w:val="22"/>
          <w:szCs w:val="22"/>
          <w:lang w:val="es-ES"/>
        </w:rPr>
      </w:pPr>
      <w:r>
        <w:rPr>
          <w:rFonts w:ascii="Arial" w:hAnsi="Arial" w:cs="Arial"/>
          <w:b/>
          <w:bCs/>
          <w:sz w:val="22"/>
          <w:szCs w:val="22"/>
          <w:lang w:val="es"/>
        </w:rPr>
        <w:t>CONVENCIÓN PARA LA SALVAGUARD</w:t>
      </w:r>
      <w:r w:rsidR="00A76610">
        <w:rPr>
          <w:rFonts w:ascii="Arial" w:hAnsi="Arial" w:cs="Arial"/>
          <w:b/>
          <w:bCs/>
          <w:sz w:val="22"/>
          <w:szCs w:val="22"/>
          <w:lang w:val="es"/>
        </w:rPr>
        <w:t>I</w:t>
      </w:r>
      <w:r>
        <w:rPr>
          <w:rFonts w:ascii="Arial" w:hAnsi="Arial" w:cs="Arial"/>
          <w:b/>
          <w:bCs/>
          <w:sz w:val="22"/>
          <w:szCs w:val="22"/>
          <w:lang w:val="es"/>
        </w:rPr>
        <w:t>A DEL</w:t>
      </w:r>
      <w:r>
        <w:rPr>
          <w:rFonts w:ascii="Arial" w:hAnsi="Arial" w:cs="Arial"/>
          <w:sz w:val="22"/>
          <w:szCs w:val="22"/>
          <w:lang w:val="es"/>
        </w:rPr>
        <w:br/>
      </w:r>
      <w:r>
        <w:rPr>
          <w:rFonts w:ascii="Arial" w:hAnsi="Arial" w:cs="Arial"/>
          <w:b/>
          <w:bCs/>
          <w:sz w:val="22"/>
          <w:szCs w:val="22"/>
          <w:lang w:val="es"/>
        </w:rPr>
        <w:t>PATRIMONIO CULTURAL INMATERIAL</w:t>
      </w:r>
    </w:p>
    <w:p w14:paraId="5DE657EC" w14:textId="77777777" w:rsidR="00655736" w:rsidRPr="00731336" w:rsidRDefault="00D95C4C" w:rsidP="00655736">
      <w:pPr>
        <w:spacing w:before="1200"/>
        <w:jc w:val="center"/>
        <w:rPr>
          <w:rFonts w:ascii="Arial" w:hAnsi="Arial" w:cs="Arial"/>
          <w:b/>
          <w:sz w:val="22"/>
          <w:szCs w:val="22"/>
          <w:lang w:val="es-ES"/>
        </w:rPr>
      </w:pPr>
      <w:r>
        <w:rPr>
          <w:rFonts w:ascii="Arial" w:hAnsi="Arial" w:cs="Arial"/>
          <w:b/>
          <w:bCs/>
          <w:sz w:val="22"/>
          <w:szCs w:val="22"/>
          <w:lang w:val="es"/>
        </w:rPr>
        <w:t>ASAMBLEA GENERAL DE LOS ESTADOS PARTES EN LA CONVENCIÓN</w:t>
      </w:r>
    </w:p>
    <w:p w14:paraId="68C7D39F" w14:textId="77777777" w:rsidR="00D95C4C" w:rsidRPr="00731336" w:rsidRDefault="006F41B4" w:rsidP="00D95C4C">
      <w:pPr>
        <w:spacing w:before="840"/>
        <w:jc w:val="center"/>
        <w:rPr>
          <w:rFonts w:ascii="Arial" w:hAnsi="Arial" w:cs="Arial"/>
          <w:b/>
          <w:sz w:val="22"/>
          <w:szCs w:val="22"/>
          <w:lang w:val="es-ES"/>
        </w:rPr>
      </w:pPr>
      <w:r>
        <w:rPr>
          <w:rFonts w:ascii="Arial" w:hAnsi="Arial" w:cs="Arial"/>
          <w:b/>
          <w:bCs/>
          <w:sz w:val="22"/>
          <w:szCs w:val="22"/>
          <w:lang w:val="es"/>
        </w:rPr>
        <w:t>Octava reunión</w:t>
      </w:r>
    </w:p>
    <w:p w14:paraId="550E6143" w14:textId="77777777" w:rsidR="00D95C4C" w:rsidRPr="00731336" w:rsidRDefault="00D95C4C" w:rsidP="00D95C4C">
      <w:pPr>
        <w:jc w:val="center"/>
        <w:rPr>
          <w:rFonts w:ascii="Arial" w:hAnsi="Arial" w:cs="Arial"/>
          <w:b/>
          <w:sz w:val="22"/>
          <w:szCs w:val="22"/>
          <w:lang w:val="es-ES"/>
        </w:rPr>
      </w:pPr>
      <w:r>
        <w:rPr>
          <w:rFonts w:ascii="Arial" w:hAnsi="Arial" w:cs="Arial"/>
          <w:b/>
          <w:bCs/>
          <w:sz w:val="22"/>
          <w:szCs w:val="22"/>
          <w:lang w:val="es"/>
        </w:rPr>
        <w:t>Sede de la UNESCO, Sala I</w:t>
      </w:r>
    </w:p>
    <w:p w14:paraId="23B633C3" w14:textId="55E28E15" w:rsidR="00655736" w:rsidRPr="00731336" w:rsidRDefault="00B05E9F" w:rsidP="00D95C4C">
      <w:pPr>
        <w:jc w:val="center"/>
        <w:rPr>
          <w:rFonts w:ascii="Arial" w:hAnsi="Arial" w:cs="Arial"/>
          <w:b/>
          <w:sz w:val="22"/>
          <w:szCs w:val="22"/>
          <w:lang w:val="es-ES"/>
        </w:rPr>
      </w:pPr>
      <w:r>
        <w:rPr>
          <w:rFonts w:ascii="Arial" w:hAnsi="Arial" w:cs="Arial"/>
          <w:b/>
          <w:bCs/>
          <w:sz w:val="22"/>
          <w:szCs w:val="22"/>
          <w:lang w:val="es"/>
        </w:rPr>
        <w:t>8 al 10 de septiembre de 2020</w:t>
      </w:r>
    </w:p>
    <w:p w14:paraId="1FEC9350" w14:textId="126EEFC0" w:rsidR="00655736" w:rsidRPr="00731336" w:rsidRDefault="00C26539" w:rsidP="00655736">
      <w:pPr>
        <w:pStyle w:val="Sansinterligne2"/>
        <w:spacing w:before="1200"/>
        <w:jc w:val="center"/>
        <w:rPr>
          <w:rFonts w:ascii="Arial" w:hAnsi="Arial" w:cs="Arial"/>
          <w:b/>
          <w:sz w:val="22"/>
          <w:szCs w:val="22"/>
          <w:lang w:val="es-ES"/>
        </w:rPr>
      </w:pPr>
      <w:r>
        <w:rPr>
          <w:rFonts w:ascii="Arial" w:hAnsi="Arial" w:cs="Arial"/>
          <w:b/>
          <w:bCs/>
          <w:sz w:val="22"/>
          <w:szCs w:val="22"/>
          <w:u w:val="single"/>
          <w:lang w:val="es"/>
        </w:rPr>
        <w:t>Punto</w:t>
      </w:r>
      <w:r w:rsidR="00655736">
        <w:rPr>
          <w:rFonts w:ascii="Arial" w:hAnsi="Arial" w:cs="Arial"/>
          <w:b/>
          <w:bCs/>
          <w:sz w:val="22"/>
          <w:szCs w:val="22"/>
          <w:u w:val="single"/>
          <w:lang w:val="es"/>
        </w:rPr>
        <w:t xml:space="preserve"> </w:t>
      </w:r>
      <w:r w:rsidR="002D6402">
        <w:rPr>
          <w:rFonts w:ascii="Arial" w:hAnsi="Arial" w:cs="Arial"/>
          <w:b/>
          <w:bCs/>
          <w:sz w:val="22"/>
          <w:szCs w:val="22"/>
          <w:u w:val="single"/>
          <w:lang w:val="es"/>
        </w:rPr>
        <w:t xml:space="preserve">10 </w:t>
      </w:r>
      <w:r w:rsidR="00655736">
        <w:rPr>
          <w:rFonts w:ascii="Arial" w:hAnsi="Arial" w:cs="Arial"/>
          <w:b/>
          <w:bCs/>
          <w:sz w:val="22"/>
          <w:szCs w:val="22"/>
          <w:u w:val="single"/>
          <w:lang w:val="es"/>
        </w:rPr>
        <w:t xml:space="preserve">del </w:t>
      </w:r>
      <w:r w:rsidR="0047587F">
        <w:rPr>
          <w:rFonts w:ascii="Arial" w:hAnsi="Arial" w:cs="Arial"/>
          <w:b/>
          <w:bCs/>
          <w:sz w:val="22"/>
          <w:szCs w:val="22"/>
          <w:u w:val="single"/>
          <w:lang w:val="es"/>
        </w:rPr>
        <w:t>orden del día</w:t>
      </w:r>
      <w:r w:rsidR="00655736">
        <w:rPr>
          <w:rFonts w:ascii="Arial" w:hAnsi="Arial" w:cs="Arial"/>
          <w:b/>
          <w:bCs/>
          <w:sz w:val="22"/>
          <w:szCs w:val="22"/>
          <w:u w:val="single"/>
          <w:lang w:val="es"/>
        </w:rPr>
        <w:t xml:space="preserve"> provisional:</w:t>
      </w:r>
    </w:p>
    <w:p w14:paraId="51DC24E0" w14:textId="04D43B54" w:rsidR="002F312A" w:rsidRPr="00731336" w:rsidRDefault="00A85654" w:rsidP="002F312A">
      <w:pPr>
        <w:pStyle w:val="Sansinterligne2"/>
        <w:spacing w:after="1200"/>
        <w:jc w:val="center"/>
        <w:rPr>
          <w:rFonts w:ascii="Arial" w:hAnsi="Arial" w:cs="Arial"/>
          <w:b/>
          <w:sz w:val="22"/>
          <w:szCs w:val="22"/>
          <w:lang w:val="es-ES"/>
        </w:rPr>
      </w:pPr>
      <w:r>
        <w:rPr>
          <w:rFonts w:ascii="Arial" w:hAnsi="Arial" w:cs="Arial"/>
          <w:b/>
          <w:bCs/>
          <w:sz w:val="22"/>
          <w:szCs w:val="22"/>
          <w:lang w:val="es"/>
        </w:rPr>
        <w:t>Revisión de las Directrices Operativas para la aplicación de la Convención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6051DD" w14:paraId="284D9D1C" w14:textId="77777777" w:rsidTr="002F312A">
        <w:trPr>
          <w:jc w:val="center"/>
        </w:trPr>
        <w:tc>
          <w:tcPr>
            <w:tcW w:w="5670" w:type="dxa"/>
            <w:vAlign w:val="center"/>
          </w:tcPr>
          <w:p w14:paraId="057F83CA" w14:textId="77777777" w:rsidR="00CE3C7F" w:rsidRPr="00731336" w:rsidRDefault="00CE3C7F" w:rsidP="00CE3C7F">
            <w:pPr>
              <w:pStyle w:val="Sansinterligne1"/>
              <w:spacing w:before="200" w:after="200"/>
              <w:jc w:val="center"/>
              <w:rPr>
                <w:rFonts w:ascii="Arial" w:hAnsi="Arial" w:cs="Arial"/>
                <w:b/>
                <w:sz w:val="22"/>
                <w:szCs w:val="22"/>
                <w:lang w:val="es-ES"/>
              </w:rPr>
            </w:pPr>
            <w:r>
              <w:rPr>
                <w:rFonts w:ascii="Arial" w:hAnsi="Arial" w:cs="Arial"/>
                <w:b/>
                <w:bCs/>
                <w:sz w:val="22"/>
                <w:szCs w:val="22"/>
                <w:lang w:val="es"/>
              </w:rPr>
              <w:t>Resumen</w:t>
            </w:r>
          </w:p>
          <w:p w14:paraId="07EF8AC4" w14:textId="563F218A" w:rsidR="00CE3C7F" w:rsidRPr="00731336" w:rsidRDefault="00494F3D" w:rsidP="00CE3C7F">
            <w:pPr>
              <w:pStyle w:val="Sansinterligne1"/>
              <w:jc w:val="both"/>
              <w:rPr>
                <w:rFonts w:ascii="Arial" w:hAnsi="Arial" w:cs="Arial"/>
                <w:bCs/>
                <w:sz w:val="22"/>
                <w:szCs w:val="22"/>
                <w:lang w:val="es-ES"/>
              </w:rPr>
            </w:pPr>
            <w:r>
              <w:rPr>
                <w:rFonts w:ascii="Arial" w:hAnsi="Arial" w:cstheme="minorBidi"/>
                <w:sz w:val="22"/>
                <w:szCs w:val="22"/>
                <w:lang w:val="es"/>
              </w:rPr>
              <w:t xml:space="preserve">En </w:t>
            </w:r>
            <w:r w:rsidR="00CE3C7F">
              <w:rPr>
                <w:rFonts w:ascii="Arial" w:hAnsi="Arial" w:cstheme="minorBidi"/>
                <w:sz w:val="22"/>
                <w:szCs w:val="22"/>
                <w:lang w:val="es"/>
              </w:rPr>
              <w:t>su decimocuarta reunión, el Comité Intergubernamental hizo un balance del proceso de diálogo provisional iniciado para el ciclo de presentación de candidaturas de 2019 con carácter experimental. El Comité reconoció la experiencia positiva que este mecanismo aportó al proceso de evaluación e inscripción y recomendó que la Asamblea General revisara las Directrices Operativas para la aplicación de la Convención a fin de formalizar el proceso de diálogo (</w:t>
            </w:r>
            <w:hyperlink r:id="rId8" w:history="1">
              <w:r w:rsidR="00CE3C7F">
                <w:rPr>
                  <w:rFonts w:asciiTheme="minorBidi" w:hAnsiTheme="minorBidi" w:cstheme="minorBidi"/>
                  <w:color w:val="0000FF"/>
                  <w:sz w:val="22"/>
                  <w:szCs w:val="22"/>
                  <w:u w:val="single"/>
                  <w:lang w:val="es"/>
                </w:rPr>
                <w:t>Decisión 14.COM 14</w:t>
              </w:r>
            </w:hyperlink>
            <w:r w:rsidR="00CE3C7F">
              <w:rPr>
                <w:rFonts w:ascii="Arial" w:hAnsi="Arial" w:cstheme="minorBidi"/>
                <w:sz w:val="22"/>
                <w:szCs w:val="22"/>
                <w:lang w:val="es"/>
              </w:rPr>
              <w:t>) que figuran en el anexo del presente documento.</w:t>
            </w:r>
          </w:p>
          <w:p w14:paraId="4491CC0B" w14:textId="44ED006D" w:rsidR="00655736" w:rsidRPr="00414643" w:rsidRDefault="00FB6630" w:rsidP="003B1E7C">
            <w:pPr>
              <w:pStyle w:val="Sansinterligne2"/>
              <w:spacing w:before="200" w:after="120"/>
              <w:jc w:val="both"/>
              <w:rPr>
                <w:rFonts w:ascii="Arial" w:hAnsi="Arial" w:cs="Arial"/>
                <w:b/>
                <w:sz w:val="22"/>
                <w:szCs w:val="22"/>
              </w:rPr>
            </w:pPr>
            <w:r>
              <w:rPr>
                <w:rFonts w:ascii="Arial" w:hAnsi="Arial" w:cs="Arial"/>
                <w:b/>
                <w:bCs/>
                <w:sz w:val="22"/>
                <w:szCs w:val="22"/>
                <w:lang w:val="es"/>
              </w:rPr>
              <w:t xml:space="preserve">Decisión requerida: </w:t>
            </w:r>
            <w:r>
              <w:rPr>
                <w:rFonts w:ascii="Arial" w:hAnsi="Arial" w:cs="Arial"/>
                <w:sz w:val="22"/>
                <w:szCs w:val="22"/>
                <w:lang w:val="es"/>
              </w:rPr>
              <w:t>párrafo 7</w:t>
            </w:r>
          </w:p>
        </w:tc>
      </w:tr>
    </w:tbl>
    <w:p w14:paraId="44911037" w14:textId="77777777" w:rsidR="00176720" w:rsidRDefault="00655736" w:rsidP="00176720">
      <w:pPr>
        <w:pStyle w:val="GAPara"/>
        <w:numPr>
          <w:ilvl w:val="0"/>
          <w:numId w:val="0"/>
        </w:numPr>
        <w:jc w:val="both"/>
      </w:pPr>
      <w:r>
        <w:rPr>
          <w:lang w:val="es"/>
        </w:rPr>
        <w:br w:type="page"/>
      </w:r>
    </w:p>
    <w:p w14:paraId="6871D7B3" w14:textId="106C56B0" w:rsidR="00B05E9F" w:rsidRPr="00731336" w:rsidRDefault="00B3014F" w:rsidP="0052740E">
      <w:pPr>
        <w:pStyle w:val="COMPara"/>
        <w:numPr>
          <w:ilvl w:val="0"/>
          <w:numId w:val="19"/>
        </w:numPr>
        <w:ind w:left="540" w:hanging="540"/>
        <w:jc w:val="both"/>
        <w:rPr>
          <w:lang w:val="es-ES"/>
        </w:rPr>
      </w:pPr>
      <w:r>
        <w:rPr>
          <w:lang w:val="es"/>
        </w:rPr>
        <w:lastRenderedPageBreak/>
        <w:t xml:space="preserve">El Comité reconoció, en su undécima reunión, celebrada en 2016, la necesidad de incluir una etapa adicional en el ciclo de presentación de candidaturas para permitir el diálogo entre el Órgano de </w:t>
      </w:r>
      <w:r w:rsidRPr="00D02231">
        <w:rPr>
          <w:lang w:val="es-ES"/>
        </w:rPr>
        <w:t>Evaluación</w:t>
      </w:r>
      <w:r>
        <w:rPr>
          <w:lang w:val="es"/>
        </w:rPr>
        <w:t xml:space="preserve"> y los Estados que las presentan. El Comité pidió que la Secretaría propusiera un procedimiento apropiado a este respecto y al mismo tiempo estableció un grupo de trabajo especial para examinar la cuestión (</w:t>
      </w:r>
      <w:hyperlink r:id="rId9" w:history="1">
        <w:r>
          <w:rPr>
            <w:rStyle w:val="Hyperlink"/>
            <w:lang w:val="es"/>
          </w:rPr>
          <w:t>Decisión 11.COM 10</w:t>
        </w:r>
      </w:hyperlink>
      <w:r>
        <w:rPr>
          <w:lang w:val="es"/>
        </w:rPr>
        <w:t>). Esta decisión se tomó en el contexto de un número sin precedentes de decisiones adoptadas por el Comité para revocar las recomendaciones del Órgano de Evaluación sobre las candidaturas, propuestas y solicitudes. La intención del proceso de diálogo es ofrecer a los Estados Partes cuyos expedientes se hubieran remitido debido a aspectos técnicos menores la oportunidad de abordarlos durante el ciclo de presentación de candidaturas, en lugar de tener que esperar dos años más antes de que el Comité pueda examinar de nuevo sus expedientes.</w:t>
      </w:r>
    </w:p>
    <w:p w14:paraId="0DADEA6B" w14:textId="257466C1" w:rsidR="0078250F" w:rsidRPr="00731336" w:rsidRDefault="00B55055" w:rsidP="0052740E">
      <w:pPr>
        <w:pStyle w:val="COMPara"/>
        <w:numPr>
          <w:ilvl w:val="0"/>
          <w:numId w:val="19"/>
        </w:numPr>
        <w:ind w:left="540" w:hanging="540"/>
        <w:jc w:val="both"/>
        <w:rPr>
          <w:lang w:val="es-ES"/>
        </w:rPr>
      </w:pPr>
      <w:r>
        <w:rPr>
          <w:lang w:val="es"/>
        </w:rPr>
        <w:t>La posición del Comité (</w:t>
      </w:r>
      <w:hyperlink r:id="rId10" w:history="1">
        <w:r>
          <w:rPr>
            <w:rStyle w:val="Hyperlink"/>
            <w:lang w:val="es"/>
          </w:rPr>
          <w:t>Decisión 12.COM 13</w:t>
        </w:r>
      </w:hyperlink>
      <w:r>
        <w:rPr>
          <w:lang w:val="es"/>
        </w:rPr>
        <w:t xml:space="preserve">) en su duodécima reunión, en 2017, iba a tomar más tiempo para que entraran en vigor una serie de ajustes introducidos en la metodología de evaluación (en particular en lo que respecta a las preguntas orientadoras para algunos de los criterios de los formularios de designación), antes de establecer un proceso oficial de </w:t>
      </w:r>
      <w:r w:rsidR="0084030E">
        <w:rPr>
          <w:lang w:val="es"/>
        </w:rPr>
        <w:t>“</w:t>
      </w:r>
      <w:r>
        <w:rPr>
          <w:lang w:val="es"/>
        </w:rPr>
        <w:t>diálogo</w:t>
      </w:r>
      <w:r w:rsidR="0084030E">
        <w:rPr>
          <w:lang w:val="es"/>
        </w:rPr>
        <w:t>”</w:t>
      </w:r>
      <w:r>
        <w:rPr>
          <w:lang w:val="es"/>
        </w:rPr>
        <w:t xml:space="preserve">. En esa misma ocasión, el Comité decidió mantener el grupo de trabajo especial hasta 2018, abriéndolo a todos los Estados Partes. Como parte de su mandato, se pidió al grupo que siguiera reflexionando sobre un mecanismo apropiado de </w:t>
      </w:r>
      <w:r w:rsidR="0084030E">
        <w:rPr>
          <w:lang w:val="es"/>
        </w:rPr>
        <w:t>“</w:t>
      </w:r>
      <w:r>
        <w:rPr>
          <w:lang w:val="es"/>
        </w:rPr>
        <w:t>diálogo</w:t>
      </w:r>
      <w:r w:rsidR="0084030E">
        <w:rPr>
          <w:lang w:val="es"/>
        </w:rPr>
        <w:t>”</w:t>
      </w:r>
      <w:r>
        <w:rPr>
          <w:lang w:val="es"/>
        </w:rPr>
        <w:t xml:space="preserve"> en consulta con el Órgano de Evaluación y teniendo en cuenta las resoluciones respectivas antes de la séptima reunión de la Asamblea General en junio de 2018. En esa misma reunión, la Asamblea General reconoció plenamente la importancia del diálogo para reforzar la transparencia y la credibilidad del proceso de evaluación y pidió que el grupo de trabajo presentara sus deliberaciones y recomendaciones al Comité en su decimotercera reunión, en noviembre/diciembre de 2018 </w:t>
      </w:r>
      <w:r>
        <w:rPr>
          <w:color w:val="000000" w:themeColor="text1"/>
          <w:lang w:val="es"/>
        </w:rPr>
        <w:t>(</w:t>
      </w:r>
      <w:hyperlink r:id="rId11" w:history="1">
        <w:r>
          <w:rPr>
            <w:rStyle w:val="Hyperlink"/>
            <w:lang w:val="es"/>
          </w:rPr>
          <w:t>Resolución 7.GA 6</w:t>
        </w:r>
      </w:hyperlink>
      <w:r>
        <w:rPr>
          <w:color w:val="000000" w:themeColor="text1"/>
          <w:lang w:val="es"/>
        </w:rPr>
        <w:t>)</w:t>
      </w:r>
      <w:r>
        <w:rPr>
          <w:lang w:val="es"/>
        </w:rPr>
        <w:t>.</w:t>
      </w:r>
    </w:p>
    <w:p w14:paraId="6A838D35" w14:textId="1271AD3E" w:rsidR="00F20D64" w:rsidRPr="00731336" w:rsidRDefault="00921F31" w:rsidP="0052740E">
      <w:pPr>
        <w:pStyle w:val="COMPara"/>
        <w:numPr>
          <w:ilvl w:val="0"/>
          <w:numId w:val="19"/>
        </w:numPr>
        <w:ind w:left="540" w:hanging="540"/>
        <w:jc w:val="both"/>
        <w:rPr>
          <w:lang w:val="es-ES"/>
        </w:rPr>
      </w:pPr>
      <w:r>
        <w:rPr>
          <w:lang w:val="es"/>
        </w:rPr>
        <w:t xml:space="preserve">En su decimotercera reunión, tras el examen de varias candidaturas remitidas tras largas deliberaciones, el Comité reiteró su deseo de que se mejoraran los procedimientos de evaluación y toma de decisiones en relación con la inscripción, selección y aprobación de los expedientes presentados. Por una parte, el Comité decidió iniciar una reflexión </w:t>
      </w:r>
      <w:r w:rsidR="004654D8">
        <w:rPr>
          <w:lang w:val="es"/>
        </w:rPr>
        <w:t xml:space="preserve">global </w:t>
      </w:r>
      <w:r>
        <w:rPr>
          <w:lang w:val="es"/>
        </w:rPr>
        <w:t xml:space="preserve">a largo plazo -que duraría por lo menos hasta 2022- sobre la inclusión de mecanismos en la lista con el apoyo financiero del Japón (véase el </w:t>
      </w:r>
      <w:hyperlink r:id="rId12" w:history="1">
        <w:r w:rsidRPr="0052740E">
          <w:rPr>
            <w:rStyle w:val="Hyperlink"/>
            <w:lang w:val="es"/>
          </w:rPr>
          <w:t>documento LHE/20/8.GA/</w:t>
        </w:r>
        <w:r w:rsidR="002D6402" w:rsidRPr="0052740E">
          <w:rPr>
            <w:rStyle w:val="Hyperlink"/>
            <w:lang w:val="es"/>
          </w:rPr>
          <w:t>11</w:t>
        </w:r>
      </w:hyperlink>
      <w:r>
        <w:rPr>
          <w:lang w:val="es"/>
        </w:rPr>
        <w:t xml:space="preserve">). Por otra parte, el Comité deseaba experimentar un posible proceso de diálogo para el ciclo siguiente como parte de un </w:t>
      </w:r>
      <w:r w:rsidR="004654D8">
        <w:rPr>
          <w:lang w:val="es"/>
        </w:rPr>
        <w:t>“</w:t>
      </w:r>
      <w:r>
        <w:rPr>
          <w:lang w:val="es"/>
        </w:rPr>
        <w:t>conjunto de medidas de recolección temprana</w:t>
      </w:r>
      <w:r w:rsidR="004654D8">
        <w:rPr>
          <w:lang w:val="es"/>
        </w:rPr>
        <w:t>”</w:t>
      </w:r>
      <w:r>
        <w:rPr>
          <w:lang w:val="es"/>
        </w:rPr>
        <w:t xml:space="preserve"> para la reflexión global, que podría reflejarse en una enmienda a las Directrices Operativas para su aprobación por la Asamblea General en su octava reunión (</w:t>
      </w:r>
      <w:hyperlink r:id="rId13" w:history="1">
        <w:r>
          <w:rPr>
            <w:rStyle w:val="Hyperlink"/>
            <w:lang w:val="es"/>
          </w:rPr>
          <w:t>Decisión 13.COM 10</w:t>
        </w:r>
      </w:hyperlink>
      <w:r>
        <w:rPr>
          <w:lang w:val="es"/>
        </w:rPr>
        <w:t xml:space="preserve">: párrafos 14 a 18). Al mismo tiempo, el mandato del grupo de trabajo especial  de composición abierta se prorrogó de nuevo, hasta 2019, para que también </w:t>
      </w:r>
      <w:r w:rsidR="00AF4CC2">
        <w:rPr>
          <w:lang w:val="es"/>
        </w:rPr>
        <w:t>«</w:t>
      </w:r>
      <w:r>
        <w:rPr>
          <w:lang w:val="es"/>
        </w:rPr>
        <w:t>intercambiara con la Secretaría y el Órgano de Evaluación información sobre la aplicación del mecanismo de diálogo experimental</w:t>
      </w:r>
      <w:r w:rsidR="00AF4CC2">
        <w:rPr>
          <w:lang w:val="es"/>
        </w:rPr>
        <w:t>»</w:t>
      </w:r>
      <w:r>
        <w:rPr>
          <w:lang w:val="es"/>
        </w:rPr>
        <w:t xml:space="preserve"> (</w:t>
      </w:r>
      <w:hyperlink r:id="rId14" w:history="1">
        <w:r>
          <w:rPr>
            <w:rStyle w:val="Hyperlink"/>
            <w:lang w:val="es"/>
          </w:rPr>
          <w:t>Decisión 13.COM 16</w:t>
        </w:r>
      </w:hyperlink>
      <w:r>
        <w:rPr>
          <w:lang w:val="es"/>
        </w:rPr>
        <w:t>).</w:t>
      </w:r>
    </w:p>
    <w:p w14:paraId="01093AC5" w14:textId="73F19E28" w:rsidR="00B55055" w:rsidRPr="00731336" w:rsidRDefault="00C71E58" w:rsidP="0052740E">
      <w:pPr>
        <w:pStyle w:val="COMPara"/>
        <w:numPr>
          <w:ilvl w:val="0"/>
          <w:numId w:val="19"/>
        </w:numPr>
        <w:ind w:left="540" w:hanging="540"/>
        <w:jc w:val="both"/>
        <w:rPr>
          <w:lang w:val="es-ES"/>
        </w:rPr>
      </w:pPr>
      <w:r>
        <w:rPr>
          <w:lang w:val="es"/>
        </w:rPr>
        <w:t>Concretamente, se dio al Órgano de Evaluación el mandato de llevar a cabo un diálogo provisional (</w:t>
      </w:r>
      <w:hyperlink r:id="rId15" w:history="1">
        <w:r>
          <w:rPr>
            <w:rStyle w:val="Hyperlink"/>
            <w:lang w:val="es"/>
          </w:rPr>
          <w:t>Decisión 13.COM 14</w:t>
        </w:r>
      </w:hyperlink>
      <w:r>
        <w:rPr>
          <w:lang w:val="es"/>
        </w:rPr>
        <w:t xml:space="preserve">; véase el párrafo 6 del anexo) mediante su evaluación de los expedientes presentados para el ciclo de 2019. El Órgano inició el proceso cuando consideró que, aunque la información incluida en un expediente no es suficiente para evaluar si se cumple un criterio (remisión), un breve proceso de preguntas y respuestas con el Estado o Estados que lo presentan podría influir en el resultado de su evaluación. Se pidió a la Secretaría que transmitiera las preguntas del Órgano de Evaluación a los Estados Partes interesados después de la segunda reunión del Órgano de Evaluación en 2019. Se pidió a los Estados partes interesados que presentaran aclaraciones antes de la tercera reunión del Órgano de Evaluación en 2019. </w:t>
      </w:r>
      <w:r>
        <w:rPr>
          <w:color w:val="000000" w:themeColor="text1"/>
          <w:lang w:val="es"/>
        </w:rPr>
        <w:t>Por consiguiente,</w:t>
      </w:r>
      <w:r w:rsidR="00C26539">
        <w:rPr>
          <w:color w:val="000000" w:themeColor="text1"/>
          <w:lang w:val="es"/>
        </w:rPr>
        <w:t xml:space="preserve"> </w:t>
      </w:r>
      <w:r>
        <w:rPr>
          <w:rStyle w:val="Hyperlink"/>
          <w:color w:val="000000" w:themeColor="text1"/>
          <w:u w:val="none"/>
          <w:lang w:val="es"/>
        </w:rPr>
        <w:t>el</w:t>
      </w:r>
      <w:r w:rsidR="00C26539">
        <w:rPr>
          <w:rStyle w:val="Hyperlink"/>
          <w:color w:val="000000" w:themeColor="text1"/>
          <w:u w:val="none"/>
          <w:lang w:val="es"/>
        </w:rPr>
        <w:t xml:space="preserve"> </w:t>
      </w:r>
      <w:r>
        <w:rPr>
          <w:rStyle w:val="Hyperlink"/>
          <w:color w:val="000000" w:themeColor="text1"/>
          <w:u w:val="none"/>
          <w:lang w:val="es"/>
        </w:rPr>
        <w:t>Órgano de Evaluación aplicó</w:t>
      </w:r>
      <w:r w:rsidR="00C11C11">
        <w:rPr>
          <w:rStyle w:val="Hyperlink"/>
          <w:color w:val="000000" w:themeColor="text1"/>
          <w:u w:val="none"/>
          <w:lang w:val="es"/>
        </w:rPr>
        <w:t xml:space="preserve"> </w:t>
      </w:r>
      <w:r>
        <w:rPr>
          <w:color w:val="000000" w:themeColor="text1"/>
          <w:lang w:val="es"/>
        </w:rPr>
        <w:t>el procedimiento provisional de diálogo previo para seis candidaturas en el ciclo de 2019.</w:t>
      </w:r>
    </w:p>
    <w:p w14:paraId="403A36D2" w14:textId="1F595032" w:rsidR="00D028C1" w:rsidRPr="00731336" w:rsidRDefault="001E1C51" w:rsidP="0052740E">
      <w:pPr>
        <w:pStyle w:val="COMPara"/>
        <w:numPr>
          <w:ilvl w:val="0"/>
          <w:numId w:val="19"/>
        </w:numPr>
        <w:ind w:left="540" w:hanging="540"/>
        <w:jc w:val="both"/>
        <w:rPr>
          <w:lang w:val="es-ES"/>
        </w:rPr>
      </w:pPr>
      <w:r>
        <w:rPr>
          <w:lang w:val="es"/>
        </w:rPr>
        <w:t xml:space="preserve">Teniendo presente el carácter provisional del diálogo previo y para garantizar el cumplimiento de las Directrices Operativas, en particular el párrafo 55, se utilizó una metodología específica que se presentó a los Estados Partes en una sesión de información e intercambio que tuvo lugar el 1 de marzo de 2019. Dado que la conclusión de la segunda reunión del Órgano, celebrada en junio, se consideró definitiva, la opinión del Órgano de Evaluación de 2019 sobre </w:t>
      </w:r>
      <w:r>
        <w:rPr>
          <w:lang w:val="es"/>
        </w:rPr>
        <w:lastRenderedPageBreak/>
        <w:t>los casos de diálogo se publicó como documento de información, separadamente de las recomendaciones sobre las candidaturas individuales.</w:t>
      </w:r>
      <w:r>
        <w:rPr>
          <w:color w:val="000000" w:themeColor="text1"/>
          <w:lang w:val="es"/>
        </w:rPr>
        <w:t xml:space="preserve">De este modo, el Comité podría beneficiarse de la opinión del Órgano de Evaluación sobre los casos de diálogo, incluso después de que este hubiera finalizado su evaluación en junio de 2019. </w:t>
      </w:r>
      <w:r>
        <w:rPr>
          <w:lang w:val="es"/>
        </w:rPr>
        <w:t>El Órgano de Evaluación consideró que el proceso de diálogo le había dado más confianza en sus decisiones. A su vez, se aseguró al Comité que las candidaturas que se beneficiaban del proceso de diálogo no tenían que esperar necesariamente un período adicional de dos años para ser reevaluadas</w:t>
      </w:r>
      <w:bookmarkStart w:id="0" w:name="_GoBack"/>
      <w:bookmarkEnd w:id="0"/>
      <w:r>
        <w:rPr>
          <w:lang w:val="es"/>
        </w:rPr>
        <w:t>.</w:t>
      </w:r>
    </w:p>
    <w:p w14:paraId="27B2A42D" w14:textId="1683AF34" w:rsidR="007B47CD" w:rsidRPr="00731336" w:rsidRDefault="007B47CD" w:rsidP="0052740E">
      <w:pPr>
        <w:pStyle w:val="COMPara"/>
        <w:numPr>
          <w:ilvl w:val="0"/>
          <w:numId w:val="19"/>
        </w:numPr>
        <w:ind w:left="540" w:hanging="540"/>
        <w:jc w:val="both"/>
        <w:rPr>
          <w:color w:val="000000" w:themeColor="text1"/>
          <w:lang w:val="es-ES"/>
        </w:rPr>
      </w:pPr>
      <w:r>
        <w:rPr>
          <w:lang w:val="es"/>
        </w:rPr>
        <w:t xml:space="preserve">Sobre la base de la experiencia positiva del ciclo de 2019 en lo que respecta al proceso de diálogo, en su decimocuarta reunión el Comité decidió </w:t>
      </w:r>
      <w:r>
        <w:rPr>
          <w:color w:val="000000" w:themeColor="text1"/>
          <w:lang w:val="es"/>
        </w:rPr>
        <w:t>proponer a la Asamblea General, en su octava reunión, un conjunto de enmiendas al Capítulo I.15 de las Directrices Operativas que figuran en el anexo del proyecto de resolución (</w:t>
      </w:r>
      <w:hyperlink r:id="rId16" w:history="1">
        <w:r>
          <w:rPr>
            <w:rStyle w:val="Hyperlink"/>
            <w:lang w:val="es"/>
          </w:rPr>
          <w:t>Decisión 14.COM 14</w:t>
        </w:r>
      </w:hyperlink>
      <w:r w:rsidR="0052740E" w:rsidRPr="0052740E">
        <w:rPr>
          <w:rStyle w:val="Hyperlink"/>
          <w:u w:val="none"/>
          <w:lang w:val="es"/>
        </w:rPr>
        <w:t xml:space="preserve"> </w:t>
      </w:r>
      <w:r>
        <w:rPr>
          <w:color w:val="000000" w:themeColor="text1"/>
          <w:lang w:val="es"/>
        </w:rPr>
        <w:t xml:space="preserve">y </w:t>
      </w:r>
      <w:hyperlink r:id="rId17" w:history="1">
        <w:r>
          <w:rPr>
            <w:rStyle w:val="Hyperlink"/>
            <w:lang w:val="es"/>
          </w:rPr>
          <w:t>Decisión 14.COM 16</w:t>
        </w:r>
      </w:hyperlink>
      <w:r>
        <w:rPr>
          <w:color w:val="000000" w:themeColor="text1"/>
          <w:lang w:val="es"/>
        </w:rPr>
        <w:t xml:space="preserve">). La </w:t>
      </w:r>
      <w:r w:rsidRPr="0052740E">
        <w:rPr>
          <w:lang w:val="es"/>
        </w:rPr>
        <w:t>inclusión</w:t>
      </w:r>
      <w:r>
        <w:rPr>
          <w:color w:val="000000" w:themeColor="text1"/>
          <w:lang w:val="es"/>
        </w:rPr>
        <w:t xml:space="preserve"> de esta etapa intermedia en el ciclo de evaluación permitirá que el Órgano de Evaluación modifique y finalice sus recomendaciones sobre los expedientes afectados por el proceso de diálogo durante su tercera y última reunión. No obstante, en lo que respecta a los expedientes no afectados por el proceso de diálogo, el Órgano de Evaluación seguirá aplicando el procedimiento y el calendario de evaluación existentes y finalizará su evaluación durante su segunda reunión.</w:t>
      </w:r>
    </w:p>
    <w:p w14:paraId="42C2EE80" w14:textId="77777777" w:rsidR="007B47CD" w:rsidRPr="00731336" w:rsidRDefault="007B47CD" w:rsidP="007B47CD">
      <w:pPr>
        <w:pStyle w:val="GAPara"/>
        <w:numPr>
          <w:ilvl w:val="0"/>
          <w:numId w:val="19"/>
        </w:numPr>
        <w:ind w:left="567" w:hanging="567"/>
        <w:jc w:val="both"/>
        <w:rPr>
          <w:lang w:val="es-ES"/>
        </w:rPr>
      </w:pPr>
      <w:r>
        <w:rPr>
          <w:lang w:val="es"/>
        </w:rPr>
        <w:t>La Asamblea General podría aprobar la siguiente resolución:</w:t>
      </w:r>
    </w:p>
    <w:p w14:paraId="59DFC4B9" w14:textId="2E0FDFFE" w:rsidR="008A1ED4" w:rsidRPr="00731336" w:rsidRDefault="00F010E0" w:rsidP="008A1ED4">
      <w:pPr>
        <w:pStyle w:val="GATitleResolution"/>
        <w:rPr>
          <w:lang w:val="es-ES"/>
        </w:rPr>
      </w:pPr>
      <w:r>
        <w:rPr>
          <w:bCs/>
          <w:lang w:val="es"/>
        </w:rPr>
        <w:t xml:space="preserve">PROPUESTA DE RESOLUCIÓN 8.GA </w:t>
      </w:r>
      <w:r w:rsidR="002D6402">
        <w:rPr>
          <w:bCs/>
          <w:lang w:val="es"/>
        </w:rPr>
        <w:t>10</w:t>
      </w:r>
    </w:p>
    <w:p w14:paraId="788AE34A" w14:textId="77777777" w:rsidR="008A1ED4" w:rsidRPr="00731336" w:rsidRDefault="008A1ED4" w:rsidP="008A1ED4">
      <w:pPr>
        <w:pStyle w:val="GAPreambulaResolution"/>
        <w:rPr>
          <w:rFonts w:eastAsia="SimSun"/>
          <w:lang w:val="es-ES"/>
        </w:rPr>
      </w:pPr>
      <w:r>
        <w:rPr>
          <w:lang w:val="es"/>
        </w:rPr>
        <w:t>La Asamblea General,</w:t>
      </w:r>
    </w:p>
    <w:p w14:paraId="033E9848" w14:textId="3210DD27" w:rsidR="008A1ED4" w:rsidRPr="00731336" w:rsidRDefault="008A1ED4" w:rsidP="008A1ED4">
      <w:pPr>
        <w:pStyle w:val="COMParaDecision"/>
        <w:numPr>
          <w:ilvl w:val="0"/>
          <w:numId w:val="10"/>
        </w:numPr>
        <w:ind w:left="1134" w:hanging="567"/>
        <w:jc w:val="left"/>
        <w:rPr>
          <w:color w:val="000000" w:themeColor="text1"/>
          <w:lang w:val="es-ES"/>
        </w:rPr>
      </w:pPr>
      <w:r>
        <w:rPr>
          <w:color w:val="000000" w:themeColor="text1"/>
          <w:lang w:val="es"/>
        </w:rPr>
        <w:t>Habiendo examinado</w:t>
      </w:r>
      <w:r>
        <w:rPr>
          <w:color w:val="000000" w:themeColor="text1"/>
          <w:u w:val="none"/>
          <w:lang w:val="es"/>
        </w:rPr>
        <w:t xml:space="preserve"> el documento LHE/20/8.GA/</w:t>
      </w:r>
      <w:r w:rsidR="002D6402">
        <w:rPr>
          <w:color w:val="000000" w:themeColor="text1"/>
          <w:u w:val="none"/>
          <w:lang w:val="es"/>
        </w:rPr>
        <w:t>10</w:t>
      </w:r>
      <w:r>
        <w:rPr>
          <w:color w:val="000000" w:themeColor="text1"/>
          <w:u w:val="none"/>
          <w:lang w:val="es"/>
        </w:rPr>
        <w:t>,</w:t>
      </w:r>
    </w:p>
    <w:p w14:paraId="0FD7AA6C" w14:textId="5D3A06EE" w:rsidR="00B26DB9" w:rsidRPr="00731336" w:rsidRDefault="00CE6410" w:rsidP="00E5318D">
      <w:pPr>
        <w:pStyle w:val="COMParaDecision"/>
        <w:numPr>
          <w:ilvl w:val="0"/>
          <w:numId w:val="10"/>
        </w:numPr>
        <w:ind w:left="1134" w:hanging="567"/>
        <w:rPr>
          <w:color w:val="000000" w:themeColor="text1"/>
          <w:u w:val="none"/>
          <w:lang w:val="es-ES"/>
        </w:rPr>
      </w:pPr>
      <w:r>
        <w:rPr>
          <w:color w:val="000000" w:themeColor="text1"/>
          <w:lang w:val="es"/>
        </w:rPr>
        <w:t>Reconoce</w:t>
      </w:r>
      <w:r>
        <w:rPr>
          <w:color w:val="000000" w:themeColor="text1"/>
          <w:u w:val="none"/>
          <w:lang w:val="es"/>
        </w:rPr>
        <w:t xml:space="preserve"> la experiencia positiva que el proceso de </w:t>
      </w:r>
      <w:r w:rsidR="00C11C11">
        <w:rPr>
          <w:color w:val="000000" w:themeColor="text1"/>
          <w:u w:val="none"/>
          <w:lang w:val="es"/>
        </w:rPr>
        <w:t>“</w:t>
      </w:r>
      <w:r>
        <w:rPr>
          <w:color w:val="000000" w:themeColor="text1"/>
          <w:u w:val="none"/>
          <w:lang w:val="es"/>
        </w:rPr>
        <w:t>diálogo provisional previo</w:t>
      </w:r>
      <w:r w:rsidR="00C11C11">
        <w:rPr>
          <w:color w:val="000000" w:themeColor="text1"/>
          <w:u w:val="none"/>
          <w:lang w:val="es"/>
        </w:rPr>
        <w:t>”</w:t>
      </w:r>
      <w:r>
        <w:rPr>
          <w:color w:val="000000" w:themeColor="text1"/>
          <w:u w:val="none"/>
          <w:lang w:val="es"/>
        </w:rPr>
        <w:t xml:space="preserve"> del ciclo de 2019 aportó al proceso de evaluación e inscripción y </w:t>
      </w:r>
      <w:r w:rsidRPr="00D96FD4">
        <w:rPr>
          <w:color w:val="000000" w:themeColor="text1"/>
          <w:lang w:val="es"/>
        </w:rPr>
        <w:t>respalda</w:t>
      </w:r>
      <w:r>
        <w:rPr>
          <w:color w:val="000000" w:themeColor="text1"/>
          <w:u w:val="none"/>
          <w:lang w:val="es"/>
        </w:rPr>
        <w:t xml:space="preserve"> la propuesta de incluir un proceso adicional de diálogo intermedio en el ciclo de presentación de candidaturas;</w:t>
      </w:r>
    </w:p>
    <w:p w14:paraId="784EE453" w14:textId="3D598803" w:rsidR="008A1ED4" w:rsidRPr="00731336" w:rsidRDefault="00A85654" w:rsidP="00B26DB9">
      <w:pPr>
        <w:pStyle w:val="COMParaDecision"/>
        <w:numPr>
          <w:ilvl w:val="0"/>
          <w:numId w:val="10"/>
        </w:numPr>
        <w:ind w:left="1134" w:hanging="567"/>
        <w:jc w:val="left"/>
        <w:rPr>
          <w:color w:val="000000" w:themeColor="text1"/>
          <w:lang w:val="es-ES"/>
        </w:rPr>
      </w:pPr>
      <w:r>
        <w:rPr>
          <w:color w:val="000000" w:themeColor="text1"/>
          <w:lang w:val="es"/>
        </w:rPr>
        <w:t>Aprueba</w:t>
      </w:r>
      <w:r>
        <w:rPr>
          <w:color w:val="000000" w:themeColor="text1"/>
          <w:u w:val="none"/>
          <w:lang w:val="es"/>
        </w:rPr>
        <w:t xml:space="preserve"> las enmiendas a las Directrices Operativas que figuran en el anexo de la presente resolución.</w:t>
      </w:r>
    </w:p>
    <w:p w14:paraId="0635372A" w14:textId="77777777" w:rsidR="008A1ED4" w:rsidRPr="00731336" w:rsidRDefault="008A1ED4" w:rsidP="008A1ED4">
      <w:pPr>
        <w:spacing w:after="120"/>
        <w:jc w:val="both"/>
        <w:rPr>
          <w:rFonts w:ascii="Arial" w:hAnsi="Arial" w:cs="Arial"/>
          <w:snapToGrid w:val="0"/>
          <w:sz w:val="22"/>
          <w:szCs w:val="22"/>
          <w:lang w:val="es-ES"/>
        </w:rPr>
      </w:pPr>
    </w:p>
    <w:p w14:paraId="4291E893" w14:textId="77777777" w:rsidR="00510637" w:rsidRPr="00731336" w:rsidRDefault="00510637" w:rsidP="008A1ED4">
      <w:pPr>
        <w:spacing w:after="120"/>
        <w:jc w:val="both"/>
        <w:rPr>
          <w:rFonts w:ascii="Arial" w:hAnsi="Arial" w:cs="Arial"/>
          <w:snapToGrid w:val="0"/>
          <w:sz w:val="22"/>
          <w:szCs w:val="22"/>
          <w:lang w:val="es-ES"/>
        </w:rPr>
        <w:sectPr w:rsidR="00510637" w:rsidRPr="00731336" w:rsidSect="0041353C">
          <w:headerReference w:type="even" r:id="rId18"/>
          <w:headerReference w:type="default" r:id="rId19"/>
          <w:headerReference w:type="first" r:id="rId20"/>
          <w:pgSz w:w="11906" w:h="16838" w:code="9"/>
          <w:pgMar w:top="1620" w:right="1134" w:bottom="1134" w:left="1134" w:header="397" w:footer="284" w:gutter="0"/>
          <w:cols w:space="708"/>
          <w:titlePg/>
          <w:docGrid w:linePitch="360"/>
        </w:sectPr>
      </w:pPr>
    </w:p>
    <w:p w14:paraId="7C9B2DAE" w14:textId="4326596A" w:rsidR="00510637" w:rsidRPr="00731336" w:rsidRDefault="00F70F3C" w:rsidP="00D86914">
      <w:pPr>
        <w:pStyle w:val="Marge"/>
        <w:spacing w:before="480" w:after="480"/>
        <w:jc w:val="center"/>
        <w:rPr>
          <w:rFonts w:cs="Arial"/>
          <w:iCs/>
          <w:szCs w:val="22"/>
          <w:lang w:val="es-ES"/>
        </w:rPr>
      </w:pPr>
      <w:r>
        <w:rPr>
          <w:b/>
          <w:bCs/>
          <w:lang w:val="es"/>
        </w:rPr>
        <w:lastRenderedPageBreak/>
        <w:t>ANEXO</w:t>
      </w:r>
      <w:r>
        <w:rPr>
          <w:lang w:val="es"/>
        </w:rPr>
        <w:br/>
      </w:r>
      <w:r>
        <w:rPr>
          <w:szCs w:val="22"/>
          <w:lang w:val="es"/>
        </w:rPr>
        <w:t>Enmiendas propuestas a las Directrices Operativas para la aplicación de la Convención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990"/>
        <w:gridCol w:w="4585"/>
        <w:gridCol w:w="597"/>
        <w:gridCol w:w="2113"/>
        <w:gridCol w:w="4357"/>
      </w:tblGrid>
      <w:tr w:rsidR="00510637" w:rsidRPr="00510637" w14:paraId="5BE265E8" w14:textId="77777777" w:rsidTr="008C5F63">
        <w:tc>
          <w:tcPr>
            <w:tcW w:w="222" w:type="pct"/>
            <w:shd w:val="clear" w:color="auto" w:fill="BFBFBF" w:themeFill="background1" w:themeFillShade="BF"/>
          </w:tcPr>
          <w:p w14:paraId="3C19484F" w14:textId="77777777" w:rsidR="00510637" w:rsidRPr="00731336" w:rsidRDefault="00510637" w:rsidP="00510637">
            <w:pPr>
              <w:spacing w:after="120"/>
              <w:jc w:val="both"/>
              <w:rPr>
                <w:rFonts w:ascii="Arial" w:hAnsi="Arial" w:cs="Arial"/>
                <w:b/>
                <w:snapToGrid w:val="0"/>
                <w:sz w:val="22"/>
                <w:szCs w:val="22"/>
                <w:lang w:val="es-ES"/>
              </w:rPr>
            </w:pPr>
          </w:p>
        </w:tc>
        <w:tc>
          <w:tcPr>
            <w:tcW w:w="2303" w:type="pct"/>
            <w:gridSpan w:val="2"/>
            <w:shd w:val="clear" w:color="auto" w:fill="BFBFBF" w:themeFill="background1" w:themeFillShade="BF"/>
          </w:tcPr>
          <w:p w14:paraId="30F7DE4F" w14:textId="77777777" w:rsidR="00510637" w:rsidRPr="00510637" w:rsidRDefault="00510637" w:rsidP="00510637">
            <w:pPr>
              <w:spacing w:after="120"/>
              <w:jc w:val="both"/>
              <w:rPr>
                <w:rFonts w:ascii="Arial" w:hAnsi="Arial" w:cs="Arial"/>
                <w:b/>
                <w:snapToGrid w:val="0"/>
                <w:sz w:val="22"/>
                <w:szCs w:val="22"/>
              </w:rPr>
            </w:pPr>
            <w:r>
              <w:rPr>
                <w:rFonts w:ascii="Arial" w:hAnsi="Arial" w:cs="Arial"/>
                <w:b/>
                <w:bCs/>
                <w:snapToGrid w:val="0"/>
                <w:sz w:val="22"/>
                <w:szCs w:val="22"/>
                <w:u w:val="single"/>
                <w:lang w:val="es"/>
              </w:rPr>
              <w:t>Directrices Operativas</w:t>
            </w:r>
          </w:p>
        </w:tc>
        <w:tc>
          <w:tcPr>
            <w:tcW w:w="209" w:type="pct"/>
            <w:shd w:val="clear" w:color="auto" w:fill="BFBFBF" w:themeFill="background1" w:themeFillShade="BF"/>
          </w:tcPr>
          <w:p w14:paraId="30184DD9" w14:textId="77777777" w:rsidR="00510637" w:rsidRPr="00510637" w:rsidRDefault="00510637" w:rsidP="00510637">
            <w:pPr>
              <w:spacing w:after="120"/>
              <w:jc w:val="both"/>
              <w:rPr>
                <w:rFonts w:ascii="Arial" w:hAnsi="Arial" w:cs="Arial"/>
                <w:b/>
                <w:snapToGrid w:val="0"/>
                <w:sz w:val="22"/>
                <w:szCs w:val="22"/>
              </w:rPr>
            </w:pPr>
          </w:p>
        </w:tc>
        <w:tc>
          <w:tcPr>
            <w:tcW w:w="2266" w:type="pct"/>
            <w:gridSpan w:val="2"/>
            <w:shd w:val="clear" w:color="auto" w:fill="BFBFBF" w:themeFill="background1" w:themeFillShade="BF"/>
          </w:tcPr>
          <w:p w14:paraId="2F6F4CCF" w14:textId="77777777" w:rsidR="00510637" w:rsidRPr="00510637" w:rsidRDefault="00510637" w:rsidP="00510637">
            <w:pPr>
              <w:spacing w:after="120"/>
              <w:jc w:val="both"/>
              <w:rPr>
                <w:rFonts w:ascii="Arial" w:hAnsi="Arial" w:cs="Arial"/>
                <w:b/>
                <w:snapToGrid w:val="0"/>
                <w:sz w:val="22"/>
                <w:szCs w:val="22"/>
              </w:rPr>
            </w:pPr>
            <w:r>
              <w:rPr>
                <w:rFonts w:ascii="Arial" w:hAnsi="Arial" w:cs="Arial"/>
                <w:b/>
                <w:bCs/>
                <w:snapToGrid w:val="0"/>
                <w:sz w:val="22"/>
                <w:szCs w:val="22"/>
                <w:u w:val="single"/>
                <w:lang w:val="es"/>
              </w:rPr>
              <w:t>Enmiendas propuestas</w:t>
            </w:r>
          </w:p>
        </w:tc>
      </w:tr>
      <w:tr w:rsidR="00510637" w:rsidRPr="00510637" w14:paraId="2A8981A6" w14:textId="77777777" w:rsidTr="008C5F63">
        <w:tc>
          <w:tcPr>
            <w:tcW w:w="222" w:type="pct"/>
          </w:tcPr>
          <w:p w14:paraId="176C64C7" w14:textId="77777777" w:rsidR="00510637" w:rsidRPr="00510637" w:rsidRDefault="00510637" w:rsidP="00510637">
            <w:pPr>
              <w:spacing w:after="120"/>
              <w:jc w:val="both"/>
              <w:rPr>
                <w:rFonts w:ascii="Arial" w:hAnsi="Arial" w:cs="Arial"/>
                <w:b/>
                <w:snapToGrid w:val="0"/>
                <w:sz w:val="22"/>
                <w:szCs w:val="22"/>
              </w:rPr>
            </w:pPr>
            <w:r>
              <w:rPr>
                <w:rFonts w:ascii="Arial" w:hAnsi="Arial" w:cs="Arial"/>
                <w:b/>
                <w:bCs/>
                <w:snapToGrid w:val="0"/>
                <w:sz w:val="22"/>
                <w:szCs w:val="22"/>
                <w:lang w:val="es"/>
              </w:rPr>
              <w:t>I.15</w:t>
            </w:r>
          </w:p>
        </w:tc>
        <w:tc>
          <w:tcPr>
            <w:tcW w:w="2303" w:type="pct"/>
            <w:gridSpan w:val="2"/>
          </w:tcPr>
          <w:p w14:paraId="3462E48F" w14:textId="77777777" w:rsidR="00510637" w:rsidRPr="00731336" w:rsidRDefault="00510637" w:rsidP="00510637">
            <w:pPr>
              <w:spacing w:after="120"/>
              <w:jc w:val="both"/>
              <w:rPr>
                <w:rFonts w:ascii="Arial" w:hAnsi="Arial" w:cs="Arial"/>
                <w:b/>
                <w:snapToGrid w:val="0"/>
                <w:sz w:val="22"/>
                <w:szCs w:val="22"/>
                <w:lang w:val="es-ES"/>
              </w:rPr>
            </w:pPr>
            <w:r>
              <w:rPr>
                <w:rFonts w:ascii="Arial" w:hAnsi="Arial" w:cs="Arial"/>
                <w:b/>
                <w:bCs/>
                <w:snapToGrid w:val="0"/>
                <w:sz w:val="22"/>
                <w:szCs w:val="22"/>
                <w:lang w:val="es"/>
              </w:rPr>
              <w:t>Calendario - Sinopsis de los procedimientos</w:t>
            </w:r>
          </w:p>
        </w:tc>
        <w:tc>
          <w:tcPr>
            <w:tcW w:w="209" w:type="pct"/>
          </w:tcPr>
          <w:p w14:paraId="50E7199D" w14:textId="77777777" w:rsidR="00510637" w:rsidRPr="00510637" w:rsidRDefault="00510637" w:rsidP="00510637">
            <w:pPr>
              <w:spacing w:after="120"/>
              <w:jc w:val="both"/>
              <w:rPr>
                <w:rFonts w:ascii="Arial" w:hAnsi="Arial" w:cs="Arial"/>
                <w:b/>
                <w:snapToGrid w:val="0"/>
                <w:sz w:val="22"/>
                <w:szCs w:val="22"/>
              </w:rPr>
            </w:pPr>
            <w:r>
              <w:rPr>
                <w:rFonts w:ascii="Arial" w:hAnsi="Arial" w:cs="Arial"/>
                <w:b/>
                <w:bCs/>
                <w:snapToGrid w:val="0"/>
                <w:sz w:val="22"/>
                <w:szCs w:val="22"/>
                <w:lang w:val="es"/>
              </w:rPr>
              <w:t>I.15</w:t>
            </w:r>
          </w:p>
        </w:tc>
        <w:tc>
          <w:tcPr>
            <w:tcW w:w="2266" w:type="pct"/>
            <w:gridSpan w:val="2"/>
          </w:tcPr>
          <w:p w14:paraId="4CCE89CE" w14:textId="77777777" w:rsidR="00510637" w:rsidRPr="00510637" w:rsidRDefault="00510637" w:rsidP="00510637">
            <w:pPr>
              <w:spacing w:after="120"/>
              <w:jc w:val="both"/>
              <w:rPr>
                <w:rFonts w:ascii="Arial" w:hAnsi="Arial" w:cs="Arial"/>
                <w:b/>
                <w:snapToGrid w:val="0"/>
                <w:sz w:val="22"/>
                <w:szCs w:val="22"/>
                <w:u w:val="single"/>
              </w:rPr>
            </w:pPr>
            <w:r>
              <w:rPr>
                <w:rFonts w:ascii="Arial" w:hAnsi="Arial" w:cs="Arial"/>
                <w:snapToGrid w:val="0"/>
                <w:sz w:val="22"/>
                <w:szCs w:val="22"/>
                <w:lang w:val="es"/>
              </w:rPr>
              <w:t>[No hay cambios.]</w:t>
            </w:r>
          </w:p>
        </w:tc>
      </w:tr>
      <w:tr w:rsidR="00510637" w:rsidRPr="00510637" w14:paraId="448D2F0B" w14:textId="77777777" w:rsidTr="008C5F63">
        <w:tc>
          <w:tcPr>
            <w:tcW w:w="222" w:type="pct"/>
          </w:tcPr>
          <w:p w14:paraId="783F80AA" w14:textId="77777777" w:rsidR="00510637" w:rsidRPr="00510637" w:rsidRDefault="00510637" w:rsidP="00510637">
            <w:pPr>
              <w:spacing w:after="120"/>
              <w:jc w:val="both"/>
              <w:rPr>
                <w:rFonts w:ascii="Arial" w:hAnsi="Arial" w:cs="Arial"/>
                <w:snapToGrid w:val="0"/>
                <w:sz w:val="22"/>
                <w:szCs w:val="22"/>
              </w:rPr>
            </w:pPr>
          </w:p>
        </w:tc>
        <w:tc>
          <w:tcPr>
            <w:tcW w:w="697" w:type="pct"/>
          </w:tcPr>
          <w:p w14:paraId="3737DEE9" w14:textId="77777777" w:rsidR="00510637" w:rsidRPr="00510637" w:rsidRDefault="00510637" w:rsidP="00510637">
            <w:pPr>
              <w:spacing w:after="120"/>
              <w:jc w:val="both"/>
              <w:rPr>
                <w:rFonts w:ascii="Arial" w:hAnsi="Arial" w:cs="Arial"/>
                <w:snapToGrid w:val="0"/>
                <w:sz w:val="22"/>
                <w:szCs w:val="22"/>
              </w:rPr>
            </w:pPr>
          </w:p>
        </w:tc>
        <w:tc>
          <w:tcPr>
            <w:tcW w:w="1606" w:type="pct"/>
          </w:tcPr>
          <w:p w14:paraId="756F72DF" w14:textId="77777777" w:rsidR="00510637" w:rsidRPr="00510637" w:rsidRDefault="00510637" w:rsidP="00510637">
            <w:pPr>
              <w:spacing w:after="120"/>
              <w:jc w:val="both"/>
              <w:rPr>
                <w:rFonts w:ascii="Arial" w:hAnsi="Arial" w:cs="Arial"/>
                <w:snapToGrid w:val="0"/>
                <w:sz w:val="22"/>
                <w:szCs w:val="22"/>
              </w:rPr>
            </w:pPr>
          </w:p>
        </w:tc>
        <w:tc>
          <w:tcPr>
            <w:tcW w:w="209" w:type="pct"/>
          </w:tcPr>
          <w:p w14:paraId="4F96DA3C"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54.</w:t>
            </w:r>
          </w:p>
        </w:tc>
        <w:tc>
          <w:tcPr>
            <w:tcW w:w="740" w:type="pct"/>
          </w:tcPr>
          <w:p w14:paraId="693F0823"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[No hay cambios.]</w:t>
            </w:r>
          </w:p>
        </w:tc>
        <w:tc>
          <w:tcPr>
            <w:tcW w:w="1526" w:type="pct"/>
          </w:tcPr>
          <w:p w14:paraId="32280679" w14:textId="77777777" w:rsidR="00510637" w:rsidRPr="00510637" w:rsidRDefault="00510637" w:rsidP="00510637">
            <w:pPr>
              <w:spacing w:after="120"/>
              <w:jc w:val="both"/>
              <w:rPr>
                <w:rFonts w:ascii="Arial" w:hAnsi="Arial" w:cs="Arial"/>
                <w:snapToGrid w:val="0"/>
                <w:sz w:val="22"/>
                <w:szCs w:val="22"/>
              </w:rPr>
            </w:pPr>
          </w:p>
        </w:tc>
      </w:tr>
      <w:tr w:rsidR="00510637" w:rsidRPr="00510637" w14:paraId="28578F13" w14:textId="77777777" w:rsidTr="008C5F63">
        <w:tc>
          <w:tcPr>
            <w:tcW w:w="222" w:type="pct"/>
          </w:tcPr>
          <w:p w14:paraId="77527FBA"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55.</w:t>
            </w:r>
          </w:p>
        </w:tc>
        <w:tc>
          <w:tcPr>
            <w:tcW w:w="697" w:type="pct"/>
          </w:tcPr>
          <w:p w14:paraId="32FAEE65"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Fase 2:</w:t>
            </w:r>
          </w:p>
        </w:tc>
        <w:tc>
          <w:tcPr>
            <w:tcW w:w="1606" w:type="pct"/>
          </w:tcPr>
          <w:p w14:paraId="5F985ADA"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Evaluación</w:t>
            </w:r>
          </w:p>
        </w:tc>
        <w:tc>
          <w:tcPr>
            <w:tcW w:w="209" w:type="pct"/>
          </w:tcPr>
          <w:p w14:paraId="72E245F1"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55.</w:t>
            </w:r>
          </w:p>
        </w:tc>
        <w:tc>
          <w:tcPr>
            <w:tcW w:w="740" w:type="pct"/>
          </w:tcPr>
          <w:p w14:paraId="6DA22C34"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Fase 2:</w:t>
            </w:r>
          </w:p>
        </w:tc>
        <w:tc>
          <w:tcPr>
            <w:tcW w:w="1526" w:type="pct"/>
          </w:tcPr>
          <w:p w14:paraId="0186B843"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Evaluación</w:t>
            </w:r>
          </w:p>
        </w:tc>
      </w:tr>
      <w:tr w:rsidR="00510637" w:rsidRPr="00D96FD4" w14:paraId="1AF9B55F" w14:textId="77777777" w:rsidTr="008C5F63">
        <w:tc>
          <w:tcPr>
            <w:tcW w:w="222" w:type="pct"/>
          </w:tcPr>
          <w:p w14:paraId="4218903D" w14:textId="77777777" w:rsidR="00510637" w:rsidRPr="00510637" w:rsidRDefault="00510637" w:rsidP="00510637">
            <w:pPr>
              <w:spacing w:after="120"/>
              <w:jc w:val="both"/>
              <w:rPr>
                <w:rFonts w:ascii="Arial" w:hAnsi="Arial" w:cs="Arial"/>
                <w:snapToGrid w:val="0"/>
                <w:sz w:val="22"/>
                <w:szCs w:val="22"/>
              </w:rPr>
            </w:pPr>
          </w:p>
        </w:tc>
        <w:tc>
          <w:tcPr>
            <w:tcW w:w="697" w:type="pct"/>
          </w:tcPr>
          <w:p w14:paraId="43624C50" w14:textId="35D95CC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Diciembre del año 1</w:t>
            </w:r>
            <w:r w:rsidR="00C11C11">
              <w:rPr>
                <w:rFonts w:ascii="Arial" w:hAnsi="Arial" w:cs="Arial"/>
                <w:snapToGrid w:val="0"/>
                <w:sz w:val="22"/>
                <w:szCs w:val="22"/>
                <w:lang w:val="es"/>
              </w:rPr>
              <w:t xml:space="preserve"> </w:t>
            </w:r>
            <w:r>
              <w:rPr>
                <w:rFonts w:ascii="Arial" w:hAnsi="Arial" w:cs="Arial"/>
                <w:snapToGrid w:val="0"/>
                <w:sz w:val="22"/>
                <w:szCs w:val="22"/>
                <w:lang w:val="es"/>
              </w:rPr>
              <w:t>a mayo del año 2</w:t>
            </w:r>
          </w:p>
        </w:tc>
        <w:tc>
          <w:tcPr>
            <w:tcW w:w="1606" w:type="pct"/>
          </w:tcPr>
          <w:p w14:paraId="2D167A9F" w14:textId="7777777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Evaluación de los expedientes por el Órgano de Evaluación.</w:t>
            </w:r>
          </w:p>
        </w:tc>
        <w:tc>
          <w:tcPr>
            <w:tcW w:w="209" w:type="pct"/>
          </w:tcPr>
          <w:p w14:paraId="526AEC45" w14:textId="77777777" w:rsidR="00510637" w:rsidRPr="00731336" w:rsidRDefault="00510637" w:rsidP="00510637">
            <w:pPr>
              <w:spacing w:after="120"/>
              <w:jc w:val="both"/>
              <w:rPr>
                <w:rFonts w:ascii="Arial" w:hAnsi="Arial" w:cs="Arial"/>
                <w:snapToGrid w:val="0"/>
                <w:sz w:val="22"/>
                <w:szCs w:val="22"/>
                <w:lang w:val="es-ES"/>
              </w:rPr>
            </w:pPr>
          </w:p>
        </w:tc>
        <w:tc>
          <w:tcPr>
            <w:tcW w:w="740" w:type="pct"/>
          </w:tcPr>
          <w:p w14:paraId="6AF6E9FB" w14:textId="6EC919C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Diciembre del año 1</w:t>
            </w:r>
            <w:r w:rsidR="00C11C11">
              <w:rPr>
                <w:rFonts w:ascii="Arial" w:hAnsi="Arial" w:cs="Arial"/>
                <w:snapToGrid w:val="0"/>
                <w:sz w:val="22"/>
                <w:szCs w:val="22"/>
                <w:lang w:val="es"/>
              </w:rPr>
              <w:t xml:space="preserve"> </w:t>
            </w:r>
            <w:r>
              <w:rPr>
                <w:rFonts w:ascii="Arial" w:hAnsi="Arial" w:cs="Arial"/>
                <w:snapToGrid w:val="0"/>
                <w:sz w:val="22"/>
                <w:szCs w:val="22"/>
                <w:lang w:val="es"/>
              </w:rPr>
              <w:t>a mayo del año 2</w:t>
            </w:r>
          </w:p>
        </w:tc>
        <w:tc>
          <w:tcPr>
            <w:tcW w:w="1526" w:type="pct"/>
          </w:tcPr>
          <w:p w14:paraId="1D7B3700" w14:textId="7777777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Evaluación</w:t>
            </w:r>
            <w:r>
              <w:rPr>
                <w:rFonts w:ascii="Arial" w:hAnsi="Arial" w:cs="Arial"/>
                <w:b/>
                <w:bCs/>
                <w:snapToGrid w:val="0"/>
                <w:sz w:val="22"/>
                <w:szCs w:val="22"/>
                <w:lang w:val="es"/>
              </w:rPr>
              <w:t xml:space="preserve"> </w:t>
            </w:r>
            <w:r>
              <w:rPr>
                <w:rFonts w:ascii="Arial" w:hAnsi="Arial" w:cs="Arial"/>
                <w:b/>
                <w:bCs/>
                <w:snapToGrid w:val="0"/>
                <w:sz w:val="22"/>
                <w:szCs w:val="22"/>
                <w:u w:val="single"/>
                <w:lang w:val="es"/>
              </w:rPr>
              <w:t>individual</w:t>
            </w:r>
            <w:r>
              <w:rPr>
                <w:rFonts w:ascii="Arial" w:hAnsi="Arial" w:cs="Arial"/>
                <w:b/>
                <w:bCs/>
                <w:snapToGrid w:val="0"/>
                <w:sz w:val="22"/>
                <w:szCs w:val="22"/>
                <w:lang w:val="es"/>
              </w:rPr>
              <w:t xml:space="preserve"> </w:t>
            </w:r>
            <w:r>
              <w:rPr>
                <w:rFonts w:ascii="Arial" w:hAnsi="Arial" w:cs="Arial"/>
                <w:snapToGrid w:val="0"/>
                <w:sz w:val="22"/>
                <w:szCs w:val="22"/>
                <w:lang w:val="es"/>
              </w:rPr>
              <w:t xml:space="preserve">de los expedientes por los </w:t>
            </w:r>
            <w:r>
              <w:rPr>
                <w:rFonts w:ascii="Arial" w:hAnsi="Arial" w:cs="Arial"/>
                <w:b/>
                <w:bCs/>
                <w:snapToGrid w:val="0"/>
                <w:sz w:val="22"/>
                <w:szCs w:val="22"/>
                <w:u w:val="single"/>
                <w:lang w:val="es"/>
              </w:rPr>
              <w:t>miembros</w:t>
            </w:r>
            <w:r>
              <w:rPr>
                <w:rFonts w:ascii="Arial" w:hAnsi="Arial" w:cs="Arial"/>
                <w:snapToGrid w:val="0"/>
                <w:sz w:val="22"/>
                <w:szCs w:val="22"/>
                <w:lang w:val="es"/>
              </w:rPr>
              <w:t xml:space="preserve"> del Órgano de Evaluación.</w:t>
            </w:r>
          </w:p>
        </w:tc>
      </w:tr>
      <w:tr w:rsidR="00510637" w:rsidRPr="00D96FD4" w14:paraId="76C1B158" w14:textId="77777777" w:rsidTr="008C5F63">
        <w:tc>
          <w:tcPr>
            <w:tcW w:w="222" w:type="pct"/>
          </w:tcPr>
          <w:p w14:paraId="78AFC417" w14:textId="77777777" w:rsidR="00510637" w:rsidRPr="00731336" w:rsidRDefault="00510637" w:rsidP="00510637">
            <w:pPr>
              <w:spacing w:after="120"/>
              <w:jc w:val="both"/>
              <w:rPr>
                <w:rFonts w:ascii="Arial" w:hAnsi="Arial" w:cs="Arial"/>
                <w:snapToGrid w:val="0"/>
                <w:sz w:val="22"/>
                <w:szCs w:val="22"/>
                <w:lang w:val="es-ES"/>
              </w:rPr>
            </w:pPr>
          </w:p>
        </w:tc>
        <w:tc>
          <w:tcPr>
            <w:tcW w:w="697" w:type="pct"/>
          </w:tcPr>
          <w:p w14:paraId="0A02AA9C"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Abril - Junio</w:t>
            </w:r>
            <w:r>
              <w:rPr>
                <w:rFonts w:ascii="Arial" w:hAnsi="Arial" w:cs="Arial"/>
                <w:snapToGrid w:val="0"/>
                <w:sz w:val="22"/>
                <w:szCs w:val="22"/>
                <w:lang w:val="es"/>
              </w:rPr>
              <w:br/>
              <w:t>Año 2</w:t>
            </w:r>
          </w:p>
        </w:tc>
        <w:tc>
          <w:tcPr>
            <w:tcW w:w="1606" w:type="pct"/>
          </w:tcPr>
          <w:p w14:paraId="2357C6B7" w14:textId="7777777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Reunión para la evaluación final por el Órgano de Evaluación.</w:t>
            </w:r>
          </w:p>
        </w:tc>
        <w:tc>
          <w:tcPr>
            <w:tcW w:w="209" w:type="pct"/>
          </w:tcPr>
          <w:p w14:paraId="796F1C1D" w14:textId="77777777" w:rsidR="00510637" w:rsidRPr="00731336" w:rsidRDefault="00510637" w:rsidP="00510637">
            <w:pPr>
              <w:spacing w:after="120"/>
              <w:jc w:val="both"/>
              <w:rPr>
                <w:rFonts w:ascii="Arial" w:hAnsi="Arial" w:cs="Arial"/>
                <w:snapToGrid w:val="0"/>
                <w:sz w:val="22"/>
                <w:szCs w:val="22"/>
                <w:lang w:val="es-ES"/>
              </w:rPr>
            </w:pPr>
          </w:p>
        </w:tc>
        <w:tc>
          <w:tcPr>
            <w:tcW w:w="740" w:type="pct"/>
          </w:tcPr>
          <w:p w14:paraId="3696893C"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Junio</w:t>
            </w:r>
            <w:r>
              <w:rPr>
                <w:rFonts w:ascii="Arial" w:hAnsi="Arial" w:cs="Arial"/>
                <w:snapToGrid w:val="0"/>
                <w:sz w:val="22"/>
                <w:szCs w:val="22"/>
                <w:lang w:val="es"/>
              </w:rPr>
              <w:br/>
              <w:t>Año 2</w:t>
            </w:r>
          </w:p>
        </w:tc>
        <w:tc>
          <w:tcPr>
            <w:tcW w:w="1526" w:type="pct"/>
          </w:tcPr>
          <w:p w14:paraId="481B90A6" w14:textId="77777777" w:rsidR="00510637" w:rsidRPr="00731336" w:rsidRDefault="00510637" w:rsidP="00510637">
            <w:pPr>
              <w:spacing w:after="120"/>
              <w:jc w:val="both"/>
              <w:rPr>
                <w:rFonts w:ascii="Arial" w:hAnsi="Arial" w:cs="Arial"/>
                <w:b/>
                <w:snapToGrid w:val="0"/>
                <w:sz w:val="22"/>
                <w:szCs w:val="22"/>
                <w:u w:val="single"/>
                <w:lang w:val="es-ES"/>
              </w:rPr>
            </w:pPr>
            <w:r>
              <w:rPr>
                <w:rFonts w:ascii="Arial" w:hAnsi="Arial" w:cs="Arial"/>
                <w:snapToGrid w:val="0"/>
                <w:sz w:val="22"/>
                <w:szCs w:val="22"/>
                <w:lang w:val="es"/>
              </w:rPr>
              <w:t>Reunión</w:t>
            </w:r>
            <w:r>
              <w:rPr>
                <w:rFonts w:ascii="Arial" w:hAnsi="Arial" w:cs="Arial"/>
                <w:b/>
                <w:bCs/>
                <w:snapToGrid w:val="0"/>
                <w:sz w:val="22"/>
                <w:szCs w:val="22"/>
                <w:lang w:val="es"/>
              </w:rPr>
              <w:t xml:space="preserve"> </w:t>
            </w:r>
            <w:r>
              <w:rPr>
                <w:rFonts w:ascii="Arial" w:hAnsi="Arial" w:cs="Arial"/>
                <w:strike/>
                <w:snapToGrid w:val="0"/>
                <w:sz w:val="22"/>
                <w:szCs w:val="22"/>
                <w:lang w:val="es"/>
              </w:rPr>
              <w:t>para la evaluación final por el Órgano de Evaluación</w:t>
            </w:r>
            <w:r>
              <w:rPr>
                <w:rFonts w:ascii="Arial" w:hAnsi="Arial" w:cs="Arial"/>
                <w:b/>
                <w:bCs/>
                <w:snapToGrid w:val="0"/>
                <w:sz w:val="22"/>
                <w:szCs w:val="22"/>
                <w:lang w:val="es"/>
              </w:rPr>
              <w:t xml:space="preserve"> </w:t>
            </w:r>
            <w:r>
              <w:rPr>
                <w:rFonts w:ascii="Arial" w:hAnsi="Arial" w:cs="Arial"/>
                <w:b/>
                <w:bCs/>
                <w:snapToGrid w:val="0"/>
                <w:sz w:val="22"/>
                <w:szCs w:val="22"/>
                <w:u w:val="single"/>
                <w:lang w:val="es"/>
              </w:rPr>
              <w:t>en el que el Órgano de Evaluación finaliza colectivamente su evaluación de los expedientes y decide qué expedientes se incluirán en el proceso de diálogo. Solo la evaluación de los expedientes incluidos en el proceso de diálogo quedará pendiente hasta la reunión final del Órgano de Evaluación.</w:t>
            </w:r>
          </w:p>
          <w:p w14:paraId="6488FF94" w14:textId="77777777" w:rsidR="00510637" w:rsidRPr="00731336" w:rsidRDefault="00510637" w:rsidP="00510637">
            <w:pPr>
              <w:spacing w:after="120"/>
              <w:jc w:val="both"/>
              <w:rPr>
                <w:rFonts w:ascii="Arial" w:hAnsi="Arial" w:cs="Arial"/>
                <w:b/>
                <w:snapToGrid w:val="0"/>
                <w:sz w:val="22"/>
                <w:szCs w:val="22"/>
                <w:lang w:val="es-ES"/>
              </w:rPr>
            </w:pPr>
            <w:r>
              <w:rPr>
                <w:rFonts w:ascii="Arial" w:hAnsi="Arial" w:cs="Arial"/>
                <w:b/>
                <w:bCs/>
                <w:snapToGrid w:val="0"/>
                <w:sz w:val="22"/>
                <w:szCs w:val="22"/>
                <w:u w:val="single"/>
                <w:lang w:val="es"/>
              </w:rPr>
              <w:t>El proceso de diálogo se inicia cuando el Órgano de Evaluación considera que un breve proceso de preguntas y respuestas con el Estado o los Estados que presentan las candidaturas, realizado por escrito a través de la Secretaría, podría influir en el resultado de su evaluación.</w:t>
            </w:r>
          </w:p>
        </w:tc>
      </w:tr>
      <w:tr w:rsidR="00510637" w:rsidRPr="00D96FD4" w14:paraId="42AC5739" w14:textId="77777777" w:rsidTr="008C5F63">
        <w:tc>
          <w:tcPr>
            <w:tcW w:w="222" w:type="pct"/>
          </w:tcPr>
          <w:p w14:paraId="7FBD8256" w14:textId="77777777" w:rsidR="00510637" w:rsidRPr="00731336" w:rsidRDefault="00510637" w:rsidP="00510637">
            <w:pPr>
              <w:spacing w:after="120"/>
              <w:jc w:val="both"/>
              <w:rPr>
                <w:rFonts w:ascii="Arial" w:hAnsi="Arial" w:cs="Arial"/>
                <w:snapToGrid w:val="0"/>
                <w:sz w:val="22"/>
                <w:szCs w:val="22"/>
                <w:lang w:val="es-ES"/>
              </w:rPr>
            </w:pPr>
          </w:p>
        </w:tc>
        <w:tc>
          <w:tcPr>
            <w:tcW w:w="697" w:type="pct"/>
          </w:tcPr>
          <w:p w14:paraId="243E29BC" w14:textId="77777777" w:rsidR="00510637" w:rsidRPr="00731336" w:rsidRDefault="00510637" w:rsidP="00510637">
            <w:pPr>
              <w:spacing w:after="120"/>
              <w:jc w:val="both"/>
              <w:rPr>
                <w:rFonts w:ascii="Arial" w:hAnsi="Arial" w:cs="Arial"/>
                <w:snapToGrid w:val="0"/>
                <w:sz w:val="22"/>
                <w:szCs w:val="22"/>
                <w:lang w:val="es-ES"/>
              </w:rPr>
            </w:pPr>
          </w:p>
        </w:tc>
        <w:tc>
          <w:tcPr>
            <w:tcW w:w="1606" w:type="pct"/>
          </w:tcPr>
          <w:p w14:paraId="7FD3DAF3" w14:textId="77777777" w:rsidR="00510637" w:rsidRPr="00731336" w:rsidRDefault="00510637" w:rsidP="00510637">
            <w:pPr>
              <w:spacing w:after="120"/>
              <w:jc w:val="both"/>
              <w:rPr>
                <w:rFonts w:ascii="Arial" w:hAnsi="Arial" w:cs="Arial"/>
                <w:snapToGrid w:val="0"/>
                <w:sz w:val="22"/>
                <w:szCs w:val="22"/>
                <w:lang w:val="es-ES"/>
              </w:rPr>
            </w:pPr>
          </w:p>
        </w:tc>
        <w:tc>
          <w:tcPr>
            <w:tcW w:w="209" w:type="pct"/>
          </w:tcPr>
          <w:p w14:paraId="7D838B51" w14:textId="77777777" w:rsidR="00510637" w:rsidRPr="00731336" w:rsidRDefault="00510637" w:rsidP="00510637">
            <w:pPr>
              <w:spacing w:after="120"/>
              <w:jc w:val="both"/>
              <w:rPr>
                <w:rFonts w:ascii="Arial" w:hAnsi="Arial" w:cs="Arial"/>
                <w:snapToGrid w:val="0"/>
                <w:sz w:val="22"/>
                <w:szCs w:val="22"/>
                <w:lang w:val="es-ES"/>
              </w:rPr>
            </w:pPr>
          </w:p>
        </w:tc>
        <w:tc>
          <w:tcPr>
            <w:tcW w:w="740" w:type="pct"/>
          </w:tcPr>
          <w:p w14:paraId="3A84AA1F" w14:textId="77777777" w:rsidR="00510637" w:rsidRPr="00731336" w:rsidRDefault="00510637" w:rsidP="00510637">
            <w:pPr>
              <w:spacing w:after="120"/>
              <w:jc w:val="both"/>
              <w:rPr>
                <w:rFonts w:ascii="Arial" w:hAnsi="Arial" w:cs="Arial"/>
                <w:b/>
                <w:snapToGrid w:val="0"/>
                <w:sz w:val="22"/>
                <w:szCs w:val="22"/>
                <w:u w:val="single"/>
                <w:lang w:val="es-ES"/>
              </w:rPr>
            </w:pPr>
            <w:r>
              <w:rPr>
                <w:rFonts w:ascii="Arial" w:hAnsi="Arial" w:cs="Arial"/>
                <w:b/>
                <w:bCs/>
                <w:snapToGrid w:val="0"/>
                <w:sz w:val="22"/>
                <w:szCs w:val="22"/>
                <w:u w:val="single"/>
                <w:lang w:val="es"/>
              </w:rPr>
              <w:t xml:space="preserve">Dos semanas después de la </w:t>
            </w:r>
            <w:r>
              <w:rPr>
                <w:rFonts w:ascii="Arial" w:hAnsi="Arial" w:cs="Arial"/>
                <w:b/>
                <w:bCs/>
                <w:snapToGrid w:val="0"/>
                <w:sz w:val="22"/>
                <w:szCs w:val="22"/>
                <w:u w:val="single"/>
                <w:lang w:val="es"/>
              </w:rPr>
              <w:lastRenderedPageBreak/>
              <w:t xml:space="preserve">reunión de junio </w:t>
            </w:r>
            <w:r>
              <w:rPr>
                <w:rFonts w:ascii="Arial" w:hAnsi="Arial" w:cs="Arial"/>
                <w:snapToGrid w:val="0"/>
                <w:sz w:val="22"/>
                <w:szCs w:val="22"/>
                <w:lang w:val="es"/>
              </w:rPr>
              <w:br/>
            </w:r>
            <w:r>
              <w:rPr>
                <w:rFonts w:ascii="Arial" w:hAnsi="Arial" w:cs="Arial"/>
                <w:b/>
                <w:bCs/>
                <w:snapToGrid w:val="0"/>
                <w:sz w:val="22"/>
                <w:szCs w:val="22"/>
                <w:u w:val="single"/>
                <w:lang w:val="es"/>
              </w:rPr>
              <w:t>Año 2</w:t>
            </w:r>
          </w:p>
        </w:tc>
        <w:tc>
          <w:tcPr>
            <w:tcW w:w="1526" w:type="pct"/>
          </w:tcPr>
          <w:p w14:paraId="0E7F3F4E" w14:textId="77777777" w:rsidR="00510637" w:rsidRPr="00731336" w:rsidRDefault="00510637" w:rsidP="00510637">
            <w:pPr>
              <w:spacing w:after="120"/>
              <w:jc w:val="both"/>
              <w:rPr>
                <w:rFonts w:ascii="Arial" w:hAnsi="Arial" w:cs="Arial"/>
                <w:b/>
                <w:snapToGrid w:val="0"/>
                <w:sz w:val="22"/>
                <w:szCs w:val="22"/>
                <w:u w:val="single"/>
                <w:lang w:val="es-ES"/>
              </w:rPr>
            </w:pPr>
            <w:r>
              <w:rPr>
                <w:rFonts w:ascii="Arial" w:hAnsi="Arial" w:cs="Arial"/>
                <w:b/>
                <w:bCs/>
                <w:snapToGrid w:val="0"/>
                <w:sz w:val="22"/>
                <w:szCs w:val="22"/>
                <w:u w:val="single"/>
                <w:lang w:val="es"/>
              </w:rPr>
              <w:lastRenderedPageBreak/>
              <w:t xml:space="preserve">Plazo en el que el Órgano de Evaluación deberá transmitir, por medio de la Secretaría, sus preguntas a los Estados Partes implicados en el proceso de </w:t>
            </w:r>
            <w:r>
              <w:rPr>
                <w:rFonts w:ascii="Arial" w:hAnsi="Arial" w:cs="Arial"/>
                <w:b/>
                <w:bCs/>
                <w:snapToGrid w:val="0"/>
                <w:sz w:val="22"/>
                <w:szCs w:val="22"/>
                <w:u w:val="single"/>
                <w:lang w:val="es"/>
              </w:rPr>
              <w:lastRenderedPageBreak/>
              <w:t>diálogo, en uno de los dos idiomas de trabajo de la Convención.</w:t>
            </w:r>
          </w:p>
        </w:tc>
      </w:tr>
      <w:tr w:rsidR="00510637" w:rsidRPr="00D96FD4" w14:paraId="6A551AA0" w14:textId="77777777" w:rsidTr="008C5F63">
        <w:tc>
          <w:tcPr>
            <w:tcW w:w="222" w:type="pct"/>
          </w:tcPr>
          <w:p w14:paraId="689AEEE9" w14:textId="77777777" w:rsidR="00510637" w:rsidRPr="00731336" w:rsidRDefault="00510637" w:rsidP="00510637">
            <w:pPr>
              <w:spacing w:after="120"/>
              <w:jc w:val="both"/>
              <w:rPr>
                <w:rFonts w:ascii="Arial" w:hAnsi="Arial" w:cs="Arial"/>
                <w:snapToGrid w:val="0"/>
                <w:sz w:val="22"/>
                <w:szCs w:val="22"/>
                <w:lang w:val="es-ES"/>
              </w:rPr>
            </w:pPr>
          </w:p>
        </w:tc>
        <w:tc>
          <w:tcPr>
            <w:tcW w:w="697" w:type="pct"/>
          </w:tcPr>
          <w:p w14:paraId="1ACC4C3F" w14:textId="77777777" w:rsidR="00510637" w:rsidRPr="00731336" w:rsidRDefault="00510637" w:rsidP="00510637">
            <w:pPr>
              <w:spacing w:after="120"/>
              <w:jc w:val="both"/>
              <w:rPr>
                <w:rFonts w:ascii="Arial" w:hAnsi="Arial" w:cs="Arial"/>
                <w:snapToGrid w:val="0"/>
                <w:sz w:val="22"/>
                <w:szCs w:val="22"/>
                <w:lang w:val="es-ES"/>
              </w:rPr>
            </w:pPr>
          </w:p>
        </w:tc>
        <w:tc>
          <w:tcPr>
            <w:tcW w:w="1606" w:type="pct"/>
          </w:tcPr>
          <w:p w14:paraId="2A95BA12" w14:textId="77777777" w:rsidR="00510637" w:rsidRPr="00731336" w:rsidRDefault="00510637" w:rsidP="00510637">
            <w:pPr>
              <w:spacing w:after="120"/>
              <w:jc w:val="both"/>
              <w:rPr>
                <w:rFonts w:ascii="Arial" w:hAnsi="Arial" w:cs="Arial"/>
                <w:snapToGrid w:val="0"/>
                <w:sz w:val="22"/>
                <w:szCs w:val="22"/>
                <w:lang w:val="es-ES"/>
              </w:rPr>
            </w:pPr>
          </w:p>
        </w:tc>
        <w:tc>
          <w:tcPr>
            <w:tcW w:w="209" w:type="pct"/>
          </w:tcPr>
          <w:p w14:paraId="4D100C52" w14:textId="77777777" w:rsidR="00510637" w:rsidRPr="00731336" w:rsidRDefault="00510637" w:rsidP="00510637">
            <w:pPr>
              <w:spacing w:after="120"/>
              <w:jc w:val="both"/>
              <w:rPr>
                <w:rFonts w:ascii="Arial" w:hAnsi="Arial" w:cs="Arial"/>
                <w:snapToGrid w:val="0"/>
                <w:sz w:val="22"/>
                <w:szCs w:val="22"/>
                <w:lang w:val="es-ES"/>
              </w:rPr>
            </w:pPr>
          </w:p>
        </w:tc>
        <w:tc>
          <w:tcPr>
            <w:tcW w:w="740" w:type="pct"/>
          </w:tcPr>
          <w:p w14:paraId="7BB58013" w14:textId="77777777" w:rsidR="00510637" w:rsidRPr="00731336" w:rsidRDefault="00510637" w:rsidP="00510637">
            <w:pPr>
              <w:spacing w:after="120"/>
              <w:jc w:val="both"/>
              <w:rPr>
                <w:rFonts w:ascii="Arial" w:hAnsi="Arial" w:cs="Arial"/>
                <w:b/>
                <w:snapToGrid w:val="0"/>
                <w:sz w:val="22"/>
                <w:szCs w:val="22"/>
                <w:u w:val="single"/>
                <w:lang w:val="es-ES"/>
              </w:rPr>
            </w:pPr>
          </w:p>
        </w:tc>
        <w:tc>
          <w:tcPr>
            <w:tcW w:w="1526" w:type="pct"/>
          </w:tcPr>
          <w:p w14:paraId="7CFF5461" w14:textId="77777777" w:rsidR="00510637" w:rsidRPr="00731336" w:rsidRDefault="00510637" w:rsidP="00510637">
            <w:pPr>
              <w:spacing w:after="120"/>
              <w:jc w:val="both"/>
              <w:rPr>
                <w:rFonts w:ascii="Arial" w:hAnsi="Arial" w:cs="Arial"/>
                <w:b/>
                <w:snapToGrid w:val="0"/>
                <w:sz w:val="22"/>
                <w:szCs w:val="22"/>
                <w:u w:val="single"/>
                <w:lang w:val="es-ES"/>
              </w:rPr>
            </w:pPr>
            <w:r>
              <w:rPr>
                <w:rFonts w:ascii="Arial" w:hAnsi="Arial" w:cs="Arial"/>
                <w:b/>
                <w:bCs/>
                <w:snapToGrid w:val="0"/>
                <w:sz w:val="22"/>
                <w:szCs w:val="22"/>
                <w:u w:val="single"/>
                <w:lang w:val="es"/>
              </w:rPr>
              <w:t>Los Estados Partes deberán responder a las solicitudes del Órgano de Evaluación, por medio de la Secretaría, en un plazo de cuatro semanas a partir de la recepción de la carta, en los dos idiomas de trabajo de la Convención.</w:t>
            </w:r>
          </w:p>
        </w:tc>
      </w:tr>
      <w:tr w:rsidR="00510637" w:rsidRPr="00D96FD4" w14:paraId="396BC94C" w14:textId="77777777" w:rsidTr="008C5F63">
        <w:tc>
          <w:tcPr>
            <w:tcW w:w="222" w:type="pct"/>
          </w:tcPr>
          <w:p w14:paraId="5DEB6309" w14:textId="77777777" w:rsidR="00510637" w:rsidRPr="00731336" w:rsidRDefault="00510637" w:rsidP="00510637">
            <w:pPr>
              <w:spacing w:after="120"/>
              <w:jc w:val="both"/>
              <w:rPr>
                <w:rFonts w:ascii="Arial" w:hAnsi="Arial" w:cs="Arial"/>
                <w:snapToGrid w:val="0"/>
                <w:sz w:val="22"/>
                <w:szCs w:val="22"/>
                <w:lang w:val="es-ES"/>
              </w:rPr>
            </w:pPr>
          </w:p>
        </w:tc>
        <w:tc>
          <w:tcPr>
            <w:tcW w:w="697" w:type="pct"/>
          </w:tcPr>
          <w:p w14:paraId="2A43343A" w14:textId="77777777" w:rsidR="00510637" w:rsidRPr="00731336" w:rsidRDefault="00510637" w:rsidP="00510637">
            <w:pPr>
              <w:spacing w:after="120"/>
              <w:jc w:val="both"/>
              <w:rPr>
                <w:rFonts w:ascii="Arial" w:hAnsi="Arial" w:cs="Arial"/>
                <w:snapToGrid w:val="0"/>
                <w:sz w:val="22"/>
                <w:szCs w:val="22"/>
                <w:lang w:val="es-ES"/>
              </w:rPr>
            </w:pPr>
          </w:p>
        </w:tc>
        <w:tc>
          <w:tcPr>
            <w:tcW w:w="1606" w:type="pct"/>
          </w:tcPr>
          <w:p w14:paraId="6F375462" w14:textId="77777777" w:rsidR="00510637" w:rsidRPr="00731336" w:rsidRDefault="00510637" w:rsidP="00510637">
            <w:pPr>
              <w:spacing w:after="120"/>
              <w:jc w:val="both"/>
              <w:rPr>
                <w:rFonts w:ascii="Arial" w:hAnsi="Arial" w:cs="Arial"/>
                <w:snapToGrid w:val="0"/>
                <w:sz w:val="22"/>
                <w:szCs w:val="22"/>
                <w:lang w:val="es-ES"/>
              </w:rPr>
            </w:pPr>
          </w:p>
        </w:tc>
        <w:tc>
          <w:tcPr>
            <w:tcW w:w="209" w:type="pct"/>
          </w:tcPr>
          <w:p w14:paraId="38AD2019" w14:textId="77777777" w:rsidR="00510637" w:rsidRPr="00731336" w:rsidRDefault="00510637" w:rsidP="00510637">
            <w:pPr>
              <w:spacing w:after="120"/>
              <w:jc w:val="both"/>
              <w:rPr>
                <w:rFonts w:ascii="Arial" w:hAnsi="Arial" w:cs="Arial"/>
                <w:snapToGrid w:val="0"/>
                <w:sz w:val="22"/>
                <w:szCs w:val="22"/>
                <w:lang w:val="es-ES"/>
              </w:rPr>
            </w:pPr>
          </w:p>
        </w:tc>
        <w:tc>
          <w:tcPr>
            <w:tcW w:w="740" w:type="pct"/>
          </w:tcPr>
          <w:p w14:paraId="64B53985" w14:textId="77777777" w:rsidR="00510637" w:rsidRPr="00731336" w:rsidRDefault="00510637" w:rsidP="00FF5F61">
            <w:pPr>
              <w:spacing w:after="120"/>
              <w:rPr>
                <w:rFonts w:ascii="Arial" w:hAnsi="Arial" w:cs="Arial"/>
                <w:b/>
                <w:snapToGrid w:val="0"/>
                <w:sz w:val="22"/>
                <w:szCs w:val="22"/>
                <w:u w:val="single"/>
                <w:lang w:val="es-ES"/>
              </w:rPr>
            </w:pPr>
            <w:r>
              <w:rPr>
                <w:rFonts w:ascii="Arial" w:hAnsi="Arial" w:cs="Arial"/>
                <w:b/>
                <w:bCs/>
                <w:snapToGrid w:val="0"/>
                <w:sz w:val="22"/>
                <w:szCs w:val="22"/>
                <w:u w:val="single"/>
                <w:lang w:val="es"/>
              </w:rPr>
              <w:t>A más tardar para septiembre del año 2</w:t>
            </w:r>
          </w:p>
        </w:tc>
        <w:tc>
          <w:tcPr>
            <w:tcW w:w="1526" w:type="pct"/>
          </w:tcPr>
          <w:p w14:paraId="176C8660" w14:textId="77777777" w:rsidR="00510637" w:rsidRPr="00731336" w:rsidRDefault="00510637" w:rsidP="00510637">
            <w:pPr>
              <w:spacing w:after="120"/>
              <w:jc w:val="both"/>
              <w:rPr>
                <w:rFonts w:ascii="Arial" w:hAnsi="Arial" w:cs="Arial"/>
                <w:b/>
                <w:snapToGrid w:val="0"/>
                <w:sz w:val="22"/>
                <w:szCs w:val="22"/>
                <w:u w:val="single"/>
                <w:lang w:val="es-ES"/>
              </w:rPr>
            </w:pPr>
            <w:r>
              <w:rPr>
                <w:rFonts w:ascii="Arial" w:hAnsi="Arial" w:cs="Arial"/>
                <w:b/>
                <w:bCs/>
                <w:snapToGrid w:val="0"/>
                <w:sz w:val="22"/>
                <w:szCs w:val="22"/>
                <w:u w:val="single"/>
                <w:lang w:val="es"/>
              </w:rPr>
              <w:t>Reunión en la que el Órgano de Evaluación finaliza su evaluación de los expedientes afectados por el proceso de diálogo y su informe sobre la evaluación de todos los expedientes.</w:t>
            </w:r>
          </w:p>
        </w:tc>
      </w:tr>
      <w:tr w:rsidR="00510637" w:rsidRPr="00D96FD4" w14:paraId="490A7B15" w14:textId="77777777" w:rsidTr="008C5F63">
        <w:tc>
          <w:tcPr>
            <w:tcW w:w="222" w:type="pct"/>
          </w:tcPr>
          <w:p w14:paraId="771639D4" w14:textId="77777777" w:rsidR="00510637" w:rsidRPr="00731336" w:rsidRDefault="00510637" w:rsidP="00510637">
            <w:pPr>
              <w:spacing w:after="120"/>
              <w:jc w:val="both"/>
              <w:rPr>
                <w:rFonts w:ascii="Arial" w:hAnsi="Arial" w:cs="Arial"/>
                <w:snapToGrid w:val="0"/>
                <w:sz w:val="22"/>
                <w:szCs w:val="22"/>
                <w:lang w:val="es-ES"/>
              </w:rPr>
            </w:pPr>
          </w:p>
        </w:tc>
        <w:tc>
          <w:tcPr>
            <w:tcW w:w="697" w:type="pct"/>
          </w:tcPr>
          <w:p w14:paraId="2AB57653" w14:textId="7777777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Cuatro semanas antes de la reunión del Comité</w:t>
            </w:r>
          </w:p>
        </w:tc>
        <w:tc>
          <w:tcPr>
            <w:tcW w:w="1606" w:type="pct"/>
          </w:tcPr>
          <w:p w14:paraId="0E890ED2" w14:textId="11BCD0F3"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La Secretaría transmite los informes de evaluación a los miembros del Comité y los pone a disposición en línea para su consulta.</w:t>
            </w:r>
          </w:p>
        </w:tc>
        <w:tc>
          <w:tcPr>
            <w:tcW w:w="209" w:type="pct"/>
          </w:tcPr>
          <w:p w14:paraId="3B0A3866" w14:textId="77777777" w:rsidR="00510637" w:rsidRPr="00731336" w:rsidRDefault="00510637" w:rsidP="00510637">
            <w:pPr>
              <w:spacing w:after="120"/>
              <w:jc w:val="both"/>
              <w:rPr>
                <w:rFonts w:ascii="Arial" w:hAnsi="Arial" w:cs="Arial"/>
                <w:snapToGrid w:val="0"/>
                <w:sz w:val="22"/>
                <w:szCs w:val="22"/>
                <w:lang w:val="es-ES"/>
              </w:rPr>
            </w:pPr>
          </w:p>
        </w:tc>
        <w:tc>
          <w:tcPr>
            <w:tcW w:w="740" w:type="pct"/>
          </w:tcPr>
          <w:p w14:paraId="12227E0B" w14:textId="7777777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Cuatro semanas antes de la reunión del Comité</w:t>
            </w:r>
          </w:p>
        </w:tc>
        <w:tc>
          <w:tcPr>
            <w:tcW w:w="1526" w:type="pct"/>
          </w:tcPr>
          <w:p w14:paraId="504A2F6E" w14:textId="77777777" w:rsidR="00510637" w:rsidRPr="00731336" w:rsidRDefault="00510637" w:rsidP="00510637">
            <w:pPr>
              <w:spacing w:after="120"/>
              <w:jc w:val="both"/>
              <w:rPr>
                <w:rFonts w:ascii="Arial" w:hAnsi="Arial" w:cs="Arial"/>
                <w:snapToGrid w:val="0"/>
                <w:sz w:val="22"/>
                <w:szCs w:val="22"/>
                <w:lang w:val="es-ES"/>
              </w:rPr>
            </w:pPr>
            <w:r>
              <w:rPr>
                <w:rFonts w:ascii="Arial" w:hAnsi="Arial" w:cs="Arial"/>
                <w:snapToGrid w:val="0"/>
                <w:sz w:val="22"/>
                <w:szCs w:val="22"/>
                <w:lang w:val="es"/>
              </w:rPr>
              <w:t>La Secretaría transmite los informes de evaluación a los miembros del Comité y los pone a disposición en línea para su consulta.</w:t>
            </w:r>
          </w:p>
        </w:tc>
      </w:tr>
      <w:tr w:rsidR="00510637" w:rsidRPr="00510637" w14:paraId="54989A33" w14:textId="77777777" w:rsidTr="008C5F63">
        <w:tc>
          <w:tcPr>
            <w:tcW w:w="222" w:type="pct"/>
          </w:tcPr>
          <w:p w14:paraId="3220B297"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56.</w:t>
            </w:r>
          </w:p>
        </w:tc>
        <w:tc>
          <w:tcPr>
            <w:tcW w:w="697" w:type="pct"/>
          </w:tcPr>
          <w:p w14:paraId="2B701C27"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Fase 3:</w:t>
            </w:r>
          </w:p>
        </w:tc>
        <w:tc>
          <w:tcPr>
            <w:tcW w:w="1606" w:type="pct"/>
          </w:tcPr>
          <w:p w14:paraId="06F4E115"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Examen</w:t>
            </w:r>
          </w:p>
        </w:tc>
        <w:tc>
          <w:tcPr>
            <w:tcW w:w="209" w:type="pct"/>
          </w:tcPr>
          <w:p w14:paraId="7B6B9F18"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56.</w:t>
            </w:r>
          </w:p>
        </w:tc>
        <w:tc>
          <w:tcPr>
            <w:tcW w:w="740" w:type="pct"/>
          </w:tcPr>
          <w:p w14:paraId="6AC34BF6" w14:textId="77777777" w:rsidR="00510637" w:rsidRPr="00510637" w:rsidRDefault="00510637" w:rsidP="00510637">
            <w:pPr>
              <w:spacing w:after="120"/>
              <w:jc w:val="both"/>
              <w:rPr>
                <w:rFonts w:ascii="Arial" w:hAnsi="Arial" w:cs="Arial"/>
                <w:snapToGrid w:val="0"/>
                <w:sz w:val="22"/>
                <w:szCs w:val="22"/>
              </w:rPr>
            </w:pPr>
            <w:r>
              <w:rPr>
                <w:rFonts w:ascii="Arial" w:hAnsi="Arial" w:cs="Arial"/>
                <w:snapToGrid w:val="0"/>
                <w:sz w:val="22"/>
                <w:szCs w:val="22"/>
                <w:lang w:val="es"/>
              </w:rPr>
              <w:t>[No hay cambios.]</w:t>
            </w:r>
          </w:p>
        </w:tc>
        <w:tc>
          <w:tcPr>
            <w:tcW w:w="1526" w:type="pct"/>
          </w:tcPr>
          <w:p w14:paraId="6145FA1A" w14:textId="77777777" w:rsidR="00510637" w:rsidRPr="00510637" w:rsidRDefault="00510637" w:rsidP="00510637">
            <w:pPr>
              <w:spacing w:after="120"/>
              <w:jc w:val="both"/>
              <w:rPr>
                <w:rFonts w:ascii="Arial" w:hAnsi="Arial" w:cs="Arial"/>
                <w:snapToGrid w:val="0"/>
                <w:sz w:val="22"/>
                <w:szCs w:val="22"/>
                <w:u w:val="single"/>
              </w:rPr>
            </w:pPr>
          </w:p>
        </w:tc>
      </w:tr>
    </w:tbl>
    <w:p w14:paraId="7A13BD2D" w14:textId="7F2AA6C1" w:rsidR="00510637" w:rsidRPr="008A1ED4" w:rsidRDefault="00510637" w:rsidP="008A1ED4">
      <w:pPr>
        <w:spacing w:after="120"/>
        <w:jc w:val="both"/>
        <w:rPr>
          <w:rFonts w:ascii="Arial" w:hAnsi="Arial" w:cs="Arial"/>
          <w:snapToGrid w:val="0"/>
          <w:sz w:val="22"/>
          <w:szCs w:val="22"/>
        </w:rPr>
      </w:pPr>
    </w:p>
    <w:sectPr w:rsidR="00510637" w:rsidRPr="008A1ED4" w:rsidSect="003F76A9">
      <w:headerReference w:type="first" r:id="rId21"/>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065AC" w14:textId="77777777" w:rsidR="009454C7" w:rsidRDefault="009454C7" w:rsidP="00655736">
      <w:r>
        <w:separator/>
      </w:r>
    </w:p>
  </w:endnote>
  <w:endnote w:type="continuationSeparator" w:id="0">
    <w:p w14:paraId="0DEE319F" w14:textId="77777777" w:rsidR="009454C7" w:rsidRDefault="009454C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0D9FF" w14:textId="77777777" w:rsidR="009454C7" w:rsidRDefault="009454C7" w:rsidP="00655736">
      <w:r>
        <w:separator/>
      </w:r>
    </w:p>
  </w:footnote>
  <w:footnote w:type="continuationSeparator" w:id="0">
    <w:p w14:paraId="777A9ED9" w14:textId="77777777" w:rsidR="009454C7" w:rsidRDefault="009454C7"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1918" w14:textId="55304752" w:rsidR="00956A8A" w:rsidRPr="00C23A97" w:rsidRDefault="00956A8A">
    <w:pPr>
      <w:pStyle w:val="Header"/>
      <w:rPr>
        <w:rFonts w:ascii="Arial" w:hAnsi="Arial" w:cs="Arial"/>
      </w:rPr>
    </w:pPr>
    <w:r>
      <w:rPr>
        <w:rFonts w:ascii="Arial" w:hAnsi="Arial" w:cs="Arial"/>
        <w:sz w:val="20"/>
        <w:szCs w:val="20"/>
        <w:lang w:val="es"/>
      </w:rPr>
      <w:t>LHE/20/8.GA/</w:t>
    </w:r>
    <w:r w:rsidR="002D6402">
      <w:rPr>
        <w:rFonts w:ascii="Arial" w:hAnsi="Arial" w:cs="Arial"/>
        <w:sz w:val="20"/>
        <w:szCs w:val="20"/>
        <w:lang w:val="es"/>
      </w:rPr>
      <w:t xml:space="preserve">10 </w:t>
    </w:r>
    <w:r w:rsidR="00D02231">
      <w:rPr>
        <w:rFonts w:ascii="Arial" w:hAnsi="Arial" w:cs="Arial"/>
        <w:sz w:val="20"/>
        <w:szCs w:val="20"/>
        <w:lang w:val="es"/>
      </w:rPr>
      <w:t>–</w:t>
    </w:r>
    <w:r>
      <w:rPr>
        <w:rFonts w:ascii="Arial" w:hAnsi="Arial" w:cs="Arial"/>
        <w:sz w:val="20"/>
        <w:szCs w:val="20"/>
        <w:lang w:val="es"/>
      </w:rPr>
      <w:t xml:space="preserve"> página </w:t>
    </w:r>
    <w:r>
      <w:rPr>
        <w:rStyle w:val="PageNumber"/>
        <w:rFonts w:ascii="Arial" w:hAnsi="Arial" w:cs="Arial"/>
        <w:sz w:val="20"/>
        <w:szCs w:val="20"/>
        <w:lang w:val="es"/>
      </w:rPr>
      <w:fldChar w:fldCharType="begin"/>
    </w:r>
    <w:r>
      <w:rPr>
        <w:rStyle w:val="PageNumber"/>
        <w:rFonts w:ascii="Arial" w:hAnsi="Arial" w:cs="Arial"/>
        <w:sz w:val="20"/>
        <w:szCs w:val="20"/>
        <w:lang w:val="es"/>
      </w:rPr>
      <w:instrText xml:space="preserve"> PAGE </w:instrText>
    </w:r>
    <w:r>
      <w:rPr>
        <w:rStyle w:val="PageNumber"/>
        <w:rFonts w:ascii="Arial" w:hAnsi="Arial" w:cs="Arial"/>
        <w:sz w:val="20"/>
        <w:szCs w:val="20"/>
        <w:lang w:val="es"/>
      </w:rPr>
      <w:fldChar w:fldCharType="separate"/>
    </w:r>
    <w:r w:rsidR="00D86914">
      <w:rPr>
        <w:rStyle w:val="PageNumber"/>
        <w:rFonts w:ascii="Arial" w:hAnsi="Arial" w:cs="Arial"/>
        <w:noProof/>
        <w:sz w:val="20"/>
        <w:szCs w:val="20"/>
        <w:lang w:val="es"/>
      </w:rPr>
      <w:t>4</w:t>
    </w:r>
    <w:r>
      <w:rPr>
        <w:rStyle w:val="PageNumber"/>
        <w:rFonts w:ascii="Arial" w:hAnsi="Arial" w:cs="Arial"/>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53EE" w14:textId="2DC01430" w:rsidR="00956A8A" w:rsidRPr="0063300C" w:rsidRDefault="00956A8A" w:rsidP="0063300C">
    <w:pPr>
      <w:pStyle w:val="Header"/>
      <w:jc w:val="right"/>
      <w:rPr>
        <w:rFonts w:ascii="Arial" w:hAnsi="Arial" w:cs="Arial"/>
      </w:rPr>
    </w:pPr>
    <w:r>
      <w:rPr>
        <w:rFonts w:ascii="Arial" w:hAnsi="Arial" w:cs="Arial"/>
        <w:sz w:val="20"/>
        <w:szCs w:val="20"/>
        <w:lang w:val="es"/>
      </w:rPr>
      <w:t>LHE/20/8.GA/</w:t>
    </w:r>
    <w:r w:rsidR="002D6402">
      <w:rPr>
        <w:rFonts w:ascii="Arial" w:hAnsi="Arial" w:cs="Arial"/>
        <w:sz w:val="20"/>
        <w:szCs w:val="20"/>
        <w:lang w:val="es"/>
      </w:rPr>
      <w:t xml:space="preserve">10 </w:t>
    </w:r>
    <w:r w:rsidR="00D02231">
      <w:rPr>
        <w:rFonts w:ascii="Arial" w:hAnsi="Arial" w:cs="Arial"/>
        <w:sz w:val="20"/>
        <w:szCs w:val="20"/>
        <w:lang w:val="es"/>
      </w:rPr>
      <w:t>–</w:t>
    </w:r>
    <w:r>
      <w:rPr>
        <w:rFonts w:ascii="Arial" w:hAnsi="Arial" w:cs="Arial"/>
        <w:sz w:val="20"/>
        <w:szCs w:val="20"/>
        <w:lang w:val="es"/>
      </w:rPr>
      <w:t xml:space="preserve"> página </w:t>
    </w:r>
    <w:r>
      <w:rPr>
        <w:rStyle w:val="PageNumber"/>
        <w:rFonts w:ascii="Arial" w:hAnsi="Arial" w:cs="Arial"/>
        <w:sz w:val="20"/>
        <w:szCs w:val="20"/>
        <w:lang w:val="es"/>
      </w:rPr>
      <w:fldChar w:fldCharType="begin"/>
    </w:r>
    <w:r>
      <w:rPr>
        <w:rStyle w:val="PageNumber"/>
        <w:rFonts w:ascii="Arial" w:hAnsi="Arial" w:cs="Arial"/>
        <w:sz w:val="20"/>
        <w:szCs w:val="20"/>
        <w:lang w:val="es"/>
      </w:rPr>
      <w:instrText xml:space="preserve"> PAGE </w:instrText>
    </w:r>
    <w:r>
      <w:rPr>
        <w:rStyle w:val="PageNumber"/>
        <w:rFonts w:ascii="Arial" w:hAnsi="Arial" w:cs="Arial"/>
        <w:sz w:val="20"/>
        <w:szCs w:val="20"/>
        <w:lang w:val="es"/>
      </w:rPr>
      <w:fldChar w:fldCharType="separate"/>
    </w:r>
    <w:r w:rsidR="00D86914">
      <w:rPr>
        <w:rStyle w:val="PageNumber"/>
        <w:rFonts w:ascii="Arial" w:hAnsi="Arial" w:cs="Arial"/>
        <w:noProof/>
        <w:sz w:val="20"/>
        <w:szCs w:val="20"/>
        <w:lang w:val="es"/>
      </w:rPr>
      <w:t>5</w:t>
    </w:r>
    <w:r>
      <w:rPr>
        <w:rStyle w:val="PageNumber"/>
        <w:rFonts w:ascii="Arial" w:hAnsi="Arial" w:cs="Arial"/>
        <w:sz w:val="20"/>
        <w:szCs w:val="20"/>
        <w:lang w:val="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0ACC" w14:textId="1FA80C5D" w:rsidR="00956A8A" w:rsidRPr="008724E5" w:rsidRDefault="0052740E">
    <w:pPr>
      <w:pStyle w:val="Header"/>
    </w:pPr>
    <w:r>
      <w:rPr>
        <w:noProof/>
      </w:rPr>
      <w:drawing>
        <wp:anchor distT="0" distB="0" distL="114300" distR="114300" simplePos="0" relativeHeight="251661824" behindDoc="1" locked="0" layoutInCell="1" allowOverlap="1" wp14:anchorId="3F08C775" wp14:editId="4CC9494E">
          <wp:simplePos x="0" y="0"/>
          <wp:positionH relativeFrom="page">
            <wp:posOffset>282159</wp:posOffset>
          </wp:positionH>
          <wp:positionV relativeFrom="page">
            <wp:posOffset>385445</wp:posOffset>
          </wp:positionV>
          <wp:extent cx="2109600" cy="1422000"/>
          <wp:effectExtent l="0" t="0" r="5080" b="6985"/>
          <wp:wrapNone/>
          <wp:docPr id="2" name="Image 1"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es"/>
                  <pic:cNvPicPr>
                    <a:picLocks noChangeAspect="1" noChangeArrowheads="1"/>
                  </pic:cNvPicPr>
                </pic:nvPicPr>
                <pic:blipFill>
                  <a:blip r:embed="rId1">
                    <a:extLst>
                      <a:ext uri="{28A0092B-C50C-407E-A947-70E740481C1C}">
                        <a14:useLocalDpi xmlns:a14="http://schemas.microsoft.com/office/drawing/2010/main" val="0"/>
                      </a:ext>
                    </a:extLst>
                  </a:blip>
                  <a:srcRect b="7323"/>
                  <a:stretch>
                    <a:fillRect/>
                  </a:stretch>
                </pic:blipFill>
                <pic:spPr bwMode="auto">
                  <a:xfrm>
                    <a:off x="0" y="0"/>
                    <a:ext cx="2109600" cy="14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EF0E0" w14:textId="27DB35B4" w:rsidR="00956A8A" w:rsidRPr="00B01C9A" w:rsidRDefault="00956A8A" w:rsidP="00655736">
    <w:pPr>
      <w:pStyle w:val="Header"/>
      <w:spacing w:after="520"/>
      <w:jc w:val="right"/>
      <w:rPr>
        <w:rFonts w:ascii="Arial" w:hAnsi="Arial" w:cs="Arial"/>
        <w:b/>
        <w:sz w:val="44"/>
        <w:szCs w:val="44"/>
        <w:lang w:val="pt-PT"/>
      </w:rPr>
    </w:pPr>
    <w:r w:rsidRPr="00B01C9A">
      <w:rPr>
        <w:rFonts w:ascii="Arial" w:hAnsi="Arial" w:cs="Arial"/>
        <w:b/>
        <w:bCs/>
        <w:sz w:val="44"/>
        <w:szCs w:val="44"/>
        <w:lang w:val="pt-PT"/>
      </w:rPr>
      <w:t>8 GA</w:t>
    </w:r>
  </w:p>
  <w:p w14:paraId="0EEBA722" w14:textId="5F8A28B9" w:rsidR="00956A8A" w:rsidRPr="00B01C9A" w:rsidRDefault="00956A8A" w:rsidP="00655736">
    <w:pPr>
      <w:jc w:val="right"/>
      <w:rPr>
        <w:rFonts w:ascii="Arial" w:hAnsi="Arial" w:cs="Arial"/>
        <w:b/>
        <w:sz w:val="22"/>
        <w:szCs w:val="22"/>
        <w:lang w:val="pt-PT"/>
      </w:rPr>
    </w:pPr>
    <w:r w:rsidRPr="00B01C9A">
      <w:rPr>
        <w:rFonts w:ascii="Arial" w:hAnsi="Arial" w:cs="Arial"/>
        <w:b/>
        <w:bCs/>
        <w:sz w:val="22"/>
        <w:szCs w:val="22"/>
        <w:lang w:val="pt-PT"/>
      </w:rPr>
      <w:t>LHE/20/8.GA/</w:t>
    </w:r>
    <w:r w:rsidR="002D6402" w:rsidRPr="00B01C9A">
      <w:rPr>
        <w:rFonts w:ascii="Arial" w:hAnsi="Arial" w:cs="Arial"/>
        <w:b/>
        <w:bCs/>
        <w:sz w:val="22"/>
        <w:szCs w:val="22"/>
        <w:lang w:val="pt-PT"/>
      </w:rPr>
      <w:t>10</w:t>
    </w:r>
  </w:p>
  <w:p w14:paraId="01776A18" w14:textId="16B66880" w:rsidR="00956A8A" w:rsidRPr="00B01C9A" w:rsidRDefault="00956A8A" w:rsidP="00655736">
    <w:pPr>
      <w:jc w:val="right"/>
      <w:rPr>
        <w:rFonts w:ascii="Arial" w:hAnsi="Arial" w:cs="Arial"/>
        <w:b/>
        <w:sz w:val="22"/>
        <w:szCs w:val="22"/>
        <w:lang w:val="pt-PT"/>
      </w:rPr>
    </w:pPr>
    <w:r w:rsidRPr="00B01C9A">
      <w:rPr>
        <w:rFonts w:ascii="Arial" w:hAnsi="Arial" w:cs="Arial"/>
        <w:b/>
        <w:bCs/>
        <w:sz w:val="22"/>
        <w:szCs w:val="22"/>
        <w:lang w:val="pt-PT"/>
      </w:rPr>
      <w:t>París, 7 de agosto de 2020</w:t>
    </w:r>
  </w:p>
  <w:p w14:paraId="5D2DCAAC" w14:textId="458CD150" w:rsidR="00956A8A" w:rsidRDefault="00956A8A" w:rsidP="00703FBF">
    <w:pPr>
      <w:jc w:val="right"/>
      <w:rPr>
        <w:rFonts w:ascii="Arial" w:hAnsi="Arial" w:cs="Arial"/>
        <w:b/>
        <w:sz w:val="22"/>
        <w:szCs w:val="22"/>
      </w:rPr>
    </w:pPr>
    <w:r>
      <w:rPr>
        <w:rFonts w:ascii="Arial" w:hAnsi="Arial" w:cs="Arial"/>
        <w:b/>
        <w:bCs/>
        <w:sz w:val="22"/>
        <w:szCs w:val="22"/>
        <w:lang w:val="es"/>
      </w:rPr>
      <w:t xml:space="preserve">Original: </w:t>
    </w:r>
    <w:proofErr w:type="gramStart"/>
    <w:r>
      <w:rPr>
        <w:rFonts w:ascii="Arial" w:hAnsi="Arial" w:cs="Arial"/>
        <w:b/>
        <w:bCs/>
        <w:sz w:val="22"/>
        <w:szCs w:val="22"/>
        <w:lang w:val="es"/>
      </w:rPr>
      <w:t>Inglés</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B046" w14:textId="77777777" w:rsidR="003F76A9" w:rsidRPr="008724E5" w:rsidRDefault="003F76A9">
    <w:pPr>
      <w:pStyle w:val="Header"/>
    </w:pPr>
    <w:r>
      <w:rPr>
        <w:noProof/>
      </w:rPr>
      <w:drawing>
        <wp:anchor distT="0" distB="0" distL="114300" distR="114300" simplePos="0" relativeHeight="251659776" behindDoc="0" locked="0" layoutInCell="1" allowOverlap="1" wp14:anchorId="05C8BE2D" wp14:editId="013476A1">
          <wp:simplePos x="0" y="0"/>
          <wp:positionH relativeFrom="column">
            <wp:posOffset>-567690</wp:posOffset>
          </wp:positionH>
          <wp:positionV relativeFrom="paragraph">
            <wp:posOffset>3810</wp:posOffset>
          </wp:positionV>
          <wp:extent cx="2228215" cy="1367790"/>
          <wp:effectExtent l="0" t="0" r="635" b="3810"/>
          <wp:wrapNone/>
          <wp:docPr id="1"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F3776" w14:textId="77777777" w:rsidR="003F76A9" w:rsidRPr="00731336" w:rsidRDefault="003F76A9" w:rsidP="00655736">
    <w:pPr>
      <w:pStyle w:val="Header"/>
      <w:spacing w:after="520"/>
      <w:jc w:val="right"/>
      <w:rPr>
        <w:rFonts w:ascii="Arial" w:hAnsi="Arial" w:cs="Arial"/>
        <w:b/>
        <w:sz w:val="44"/>
        <w:szCs w:val="44"/>
        <w:lang w:val="es-ES"/>
      </w:rPr>
    </w:pPr>
    <w:r>
      <w:rPr>
        <w:rFonts w:ascii="Arial" w:hAnsi="Arial" w:cs="Arial"/>
        <w:b/>
        <w:bCs/>
        <w:sz w:val="44"/>
        <w:szCs w:val="44"/>
        <w:lang w:val="es"/>
      </w:rPr>
      <w:t>8 GA</w:t>
    </w:r>
  </w:p>
  <w:p w14:paraId="6A8F6F06" w14:textId="77777777" w:rsidR="003F76A9" w:rsidRPr="00731336" w:rsidRDefault="003F76A9" w:rsidP="00655736">
    <w:pPr>
      <w:jc w:val="right"/>
      <w:rPr>
        <w:rFonts w:ascii="Arial" w:hAnsi="Arial" w:cs="Arial"/>
        <w:b/>
        <w:sz w:val="22"/>
        <w:szCs w:val="22"/>
        <w:lang w:val="es-ES"/>
      </w:rPr>
    </w:pPr>
    <w:r>
      <w:rPr>
        <w:rFonts w:ascii="Arial" w:hAnsi="Arial" w:cs="Arial"/>
        <w:b/>
        <w:bCs/>
        <w:sz w:val="22"/>
        <w:szCs w:val="22"/>
        <w:lang w:val="es"/>
      </w:rPr>
      <w:t>LHE/20/8.GA/11</w:t>
    </w:r>
  </w:p>
  <w:p w14:paraId="1BA32C1F" w14:textId="77777777" w:rsidR="003F76A9" w:rsidRPr="00731336" w:rsidRDefault="003F76A9" w:rsidP="00655736">
    <w:pPr>
      <w:jc w:val="right"/>
      <w:rPr>
        <w:rFonts w:ascii="Arial" w:hAnsi="Arial" w:cs="Arial"/>
        <w:b/>
        <w:sz w:val="22"/>
        <w:szCs w:val="22"/>
        <w:lang w:val="es-ES"/>
      </w:rPr>
    </w:pPr>
    <w:r>
      <w:rPr>
        <w:rFonts w:ascii="Arial" w:hAnsi="Arial" w:cs="Arial"/>
        <w:b/>
        <w:bCs/>
        <w:sz w:val="22"/>
        <w:szCs w:val="22"/>
        <w:lang w:val="es"/>
      </w:rPr>
      <w:t xml:space="preserve">París, </w:t>
    </w:r>
    <w:r>
      <w:rPr>
        <w:rFonts w:ascii="Arial" w:hAnsi="Arial" w:cs="Arial"/>
        <w:b/>
        <w:bCs/>
        <w:sz w:val="22"/>
        <w:szCs w:val="22"/>
        <w:highlight w:val="yellow"/>
        <w:lang w:val="es"/>
      </w:rPr>
      <w:t xml:space="preserve">xx </w:t>
    </w:r>
    <w:r>
      <w:rPr>
        <w:rFonts w:ascii="Arial" w:hAnsi="Arial" w:cs="Arial"/>
        <w:b/>
        <w:bCs/>
        <w:sz w:val="22"/>
        <w:szCs w:val="22"/>
        <w:lang w:val="es"/>
      </w:rPr>
      <w:t xml:space="preserve"> de mayo de 2020</w:t>
    </w:r>
  </w:p>
  <w:p w14:paraId="5DE06D2A" w14:textId="77777777" w:rsidR="003F76A9" w:rsidRDefault="003F76A9" w:rsidP="00703FBF">
    <w:pPr>
      <w:jc w:val="right"/>
      <w:rPr>
        <w:rFonts w:ascii="Arial" w:hAnsi="Arial" w:cs="Arial"/>
        <w:b/>
        <w:sz w:val="22"/>
        <w:szCs w:val="22"/>
      </w:rPr>
    </w:pPr>
    <w:r>
      <w:rPr>
        <w:rFonts w:ascii="Arial" w:hAnsi="Arial" w:cs="Arial"/>
        <w:b/>
        <w:bCs/>
        <w:sz w:val="22"/>
        <w:szCs w:val="22"/>
        <w:lang w:val="es"/>
      </w:rPr>
      <w:t>Original: Francés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7A4"/>
    <w:multiLevelType w:val="hybridMultilevel"/>
    <w:tmpl w:val="54025282"/>
    <w:lvl w:ilvl="0" w:tplc="AE986C5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853736"/>
    <w:multiLevelType w:val="multilevel"/>
    <w:tmpl w:val="8EF86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0369C7"/>
    <w:multiLevelType w:val="hybridMultilevel"/>
    <w:tmpl w:val="683661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2B68BA7C">
      <w:numFmt w:val="bullet"/>
      <w:lvlText w:val="•"/>
      <w:lvlJc w:val="left"/>
      <w:pPr>
        <w:ind w:left="2340" w:hanging="360"/>
      </w:pPr>
      <w:rPr>
        <w:rFonts w:ascii="Arial" w:eastAsiaTheme="minorHAnsi"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523271"/>
    <w:multiLevelType w:val="hybridMultilevel"/>
    <w:tmpl w:val="706A0242"/>
    <w:lvl w:ilvl="0" w:tplc="624C6F4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4CAB7CDD"/>
    <w:multiLevelType w:val="multilevel"/>
    <w:tmpl w:val="BEE007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SimSu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5A790D25"/>
    <w:multiLevelType w:val="hybridMultilevel"/>
    <w:tmpl w:val="C8842060"/>
    <w:lvl w:ilvl="0" w:tplc="BFCC9782">
      <w:start w:val="1"/>
      <w:numFmt w:val="decimal"/>
      <w:lvlText w:val="%1."/>
      <w:lvlJc w:val="left"/>
      <w:pPr>
        <w:ind w:left="567" w:hanging="567"/>
      </w:pPr>
    </w:lvl>
    <w:lvl w:ilvl="1" w:tplc="4B1A83FE">
      <w:start w:val="1"/>
      <w:numFmt w:val="lowerRoman"/>
      <w:lvlText w:val="%2."/>
      <w:lvlJc w:val="left"/>
      <w:pPr>
        <w:ind w:left="1440" w:hanging="360"/>
      </w:pPr>
      <w:rPr>
        <w:u w:color="000000" w:themeColor="text1"/>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27D1B3E"/>
    <w:multiLevelType w:val="hybridMultilevel"/>
    <w:tmpl w:val="A6FA64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2C32CF8"/>
    <w:multiLevelType w:val="hybridMultilevel"/>
    <w:tmpl w:val="59B86C74"/>
    <w:lvl w:ilvl="0" w:tplc="C1882B86">
      <w:start w:val="1"/>
      <w:numFmt w:val="upperLetter"/>
      <w:lvlText w:val="%1."/>
      <w:lvlJc w:val="left"/>
      <w:pPr>
        <w:ind w:left="720" w:hanging="360"/>
      </w:pPr>
      <w:rPr>
        <w:rFonts w:ascii="Malgun Gothic" w:eastAsia="Malgun Gothic" w:hAnsi="Malgun Gothic" w:cs="Malgun Gothic"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F13AA4"/>
    <w:multiLevelType w:val="hybridMultilevel"/>
    <w:tmpl w:val="49D01B22"/>
    <w:lvl w:ilvl="0" w:tplc="054C76D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8"/>
  </w:num>
  <w:num w:numId="3">
    <w:abstractNumId w:val="3"/>
  </w:num>
  <w:num w:numId="4">
    <w:abstractNumId w:val="23"/>
  </w:num>
  <w:num w:numId="5">
    <w:abstractNumId w:val="20"/>
  </w:num>
  <w:num w:numId="6">
    <w:abstractNumId w:val="1"/>
  </w:num>
  <w:num w:numId="7">
    <w:abstractNumId w:val="4"/>
  </w:num>
  <w:num w:numId="8">
    <w:abstractNumId w:val="12"/>
  </w:num>
  <w:num w:numId="9">
    <w:abstractNumId w:val="6"/>
  </w:num>
  <w:num w:numId="10">
    <w:abstractNumId w:val="9"/>
  </w:num>
  <w:num w:numId="11">
    <w:abstractNumId w:val="11"/>
  </w:num>
  <w:num w:numId="12">
    <w:abstractNumId w:val="10"/>
  </w:num>
  <w:num w:numId="13">
    <w:abstractNumId w:val="22"/>
  </w:num>
  <w:num w:numId="14">
    <w:abstractNumId w:val="14"/>
  </w:num>
  <w:num w:numId="15">
    <w:abstractNumId w:val="15"/>
  </w:num>
  <w:num w:numId="16">
    <w:abstractNumId w:val="9"/>
  </w:num>
  <w:num w:numId="17">
    <w:abstractNumId w:val="9"/>
  </w:num>
  <w:num w:numId="18">
    <w:abstractNumId w:val="9"/>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7"/>
  </w:num>
  <w:num w:numId="28">
    <w:abstractNumId w:val="6"/>
    <w:lvlOverride w:ilvl="0">
      <w:startOverride w:val="1"/>
    </w:lvlOverride>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s-ES_tradnl"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33CB"/>
    <w:rsid w:val="000048ED"/>
    <w:rsid w:val="00005F8C"/>
    <w:rsid w:val="000064E2"/>
    <w:rsid w:val="000132CE"/>
    <w:rsid w:val="000148EB"/>
    <w:rsid w:val="000240C1"/>
    <w:rsid w:val="0003210F"/>
    <w:rsid w:val="00037360"/>
    <w:rsid w:val="00041A66"/>
    <w:rsid w:val="00045960"/>
    <w:rsid w:val="0005176E"/>
    <w:rsid w:val="00070AD0"/>
    <w:rsid w:val="0007272E"/>
    <w:rsid w:val="000765F7"/>
    <w:rsid w:val="00077AB7"/>
    <w:rsid w:val="00080C4C"/>
    <w:rsid w:val="00081CD8"/>
    <w:rsid w:val="00082FD9"/>
    <w:rsid w:val="00083F03"/>
    <w:rsid w:val="00084866"/>
    <w:rsid w:val="00087E9B"/>
    <w:rsid w:val="00091532"/>
    <w:rsid w:val="00092E27"/>
    <w:rsid w:val="00095540"/>
    <w:rsid w:val="000A0163"/>
    <w:rsid w:val="000A1AC2"/>
    <w:rsid w:val="000A2CDF"/>
    <w:rsid w:val="000A7F0E"/>
    <w:rsid w:val="000C0D61"/>
    <w:rsid w:val="000C46EB"/>
    <w:rsid w:val="000C6B09"/>
    <w:rsid w:val="000D09FF"/>
    <w:rsid w:val="000D24C6"/>
    <w:rsid w:val="000E1611"/>
    <w:rsid w:val="000E2023"/>
    <w:rsid w:val="000E78AC"/>
    <w:rsid w:val="000F3A3F"/>
    <w:rsid w:val="000F73EB"/>
    <w:rsid w:val="00102557"/>
    <w:rsid w:val="0010482B"/>
    <w:rsid w:val="001151E9"/>
    <w:rsid w:val="00123A66"/>
    <w:rsid w:val="00141262"/>
    <w:rsid w:val="00146859"/>
    <w:rsid w:val="001550E1"/>
    <w:rsid w:val="001561BA"/>
    <w:rsid w:val="0016208F"/>
    <w:rsid w:val="0016494C"/>
    <w:rsid w:val="00164D56"/>
    <w:rsid w:val="00167B10"/>
    <w:rsid w:val="0017402F"/>
    <w:rsid w:val="00176720"/>
    <w:rsid w:val="00181A48"/>
    <w:rsid w:val="00185A18"/>
    <w:rsid w:val="00196C1B"/>
    <w:rsid w:val="001B0F73"/>
    <w:rsid w:val="001D369A"/>
    <w:rsid w:val="001D5C04"/>
    <w:rsid w:val="001E090A"/>
    <w:rsid w:val="001E1C51"/>
    <w:rsid w:val="001F3271"/>
    <w:rsid w:val="001F32F0"/>
    <w:rsid w:val="001F46C3"/>
    <w:rsid w:val="001F64F0"/>
    <w:rsid w:val="0020320D"/>
    <w:rsid w:val="00207F3A"/>
    <w:rsid w:val="00217734"/>
    <w:rsid w:val="00220D80"/>
    <w:rsid w:val="00221F99"/>
    <w:rsid w:val="00222A2D"/>
    <w:rsid w:val="00223029"/>
    <w:rsid w:val="002265A5"/>
    <w:rsid w:val="00234745"/>
    <w:rsid w:val="00240049"/>
    <w:rsid w:val="002407AF"/>
    <w:rsid w:val="0024123A"/>
    <w:rsid w:val="0025556E"/>
    <w:rsid w:val="00272207"/>
    <w:rsid w:val="00274E4B"/>
    <w:rsid w:val="00280FDB"/>
    <w:rsid w:val="00286D3D"/>
    <w:rsid w:val="00293026"/>
    <w:rsid w:val="002A41FD"/>
    <w:rsid w:val="002A4A46"/>
    <w:rsid w:val="002A535C"/>
    <w:rsid w:val="002C09E3"/>
    <w:rsid w:val="002C2474"/>
    <w:rsid w:val="002C3EFB"/>
    <w:rsid w:val="002D39A6"/>
    <w:rsid w:val="002D6402"/>
    <w:rsid w:val="002E2897"/>
    <w:rsid w:val="002E2EA4"/>
    <w:rsid w:val="002E4EBE"/>
    <w:rsid w:val="002E68F9"/>
    <w:rsid w:val="002F15D5"/>
    <w:rsid w:val="002F312A"/>
    <w:rsid w:val="002F3A0C"/>
    <w:rsid w:val="002F6A15"/>
    <w:rsid w:val="00300F5D"/>
    <w:rsid w:val="00310857"/>
    <w:rsid w:val="00312E71"/>
    <w:rsid w:val="00314B87"/>
    <w:rsid w:val="00317452"/>
    <w:rsid w:val="00327EA5"/>
    <w:rsid w:val="003338A0"/>
    <w:rsid w:val="00334906"/>
    <w:rsid w:val="003416E6"/>
    <w:rsid w:val="00341C92"/>
    <w:rsid w:val="00345CB4"/>
    <w:rsid w:val="0035306D"/>
    <w:rsid w:val="00353F1E"/>
    <w:rsid w:val="003549B8"/>
    <w:rsid w:val="0039148A"/>
    <w:rsid w:val="0039224A"/>
    <w:rsid w:val="003A44FC"/>
    <w:rsid w:val="003A59C5"/>
    <w:rsid w:val="003B1E7C"/>
    <w:rsid w:val="003C072B"/>
    <w:rsid w:val="003C3C6B"/>
    <w:rsid w:val="003C6C8B"/>
    <w:rsid w:val="003D069C"/>
    <w:rsid w:val="003D35E4"/>
    <w:rsid w:val="003D7646"/>
    <w:rsid w:val="003D7B04"/>
    <w:rsid w:val="003E6DD4"/>
    <w:rsid w:val="003F113A"/>
    <w:rsid w:val="003F472B"/>
    <w:rsid w:val="003F76A9"/>
    <w:rsid w:val="0040187A"/>
    <w:rsid w:val="0041353C"/>
    <w:rsid w:val="00414643"/>
    <w:rsid w:val="00415422"/>
    <w:rsid w:val="00423929"/>
    <w:rsid w:val="004421E5"/>
    <w:rsid w:val="00444E85"/>
    <w:rsid w:val="00452284"/>
    <w:rsid w:val="004654D8"/>
    <w:rsid w:val="0047167A"/>
    <w:rsid w:val="0047587F"/>
    <w:rsid w:val="004847FC"/>
    <w:rsid w:val="004856CA"/>
    <w:rsid w:val="00494F3D"/>
    <w:rsid w:val="0049705E"/>
    <w:rsid w:val="004A033C"/>
    <w:rsid w:val="004A0760"/>
    <w:rsid w:val="004A34A0"/>
    <w:rsid w:val="004A368B"/>
    <w:rsid w:val="004A70BA"/>
    <w:rsid w:val="004B3164"/>
    <w:rsid w:val="004B6F28"/>
    <w:rsid w:val="004C3909"/>
    <w:rsid w:val="004D03DE"/>
    <w:rsid w:val="004E6C94"/>
    <w:rsid w:val="004F374F"/>
    <w:rsid w:val="005056C0"/>
    <w:rsid w:val="00510637"/>
    <w:rsid w:val="00511604"/>
    <w:rsid w:val="00513723"/>
    <w:rsid w:val="00526B7B"/>
    <w:rsid w:val="00526EFF"/>
    <w:rsid w:val="0052740E"/>
    <w:rsid w:val="005308CE"/>
    <w:rsid w:val="00540FE0"/>
    <w:rsid w:val="005441AB"/>
    <w:rsid w:val="00544F58"/>
    <w:rsid w:val="0054724E"/>
    <w:rsid w:val="0055369C"/>
    <w:rsid w:val="00557307"/>
    <w:rsid w:val="00557B21"/>
    <w:rsid w:val="0056633F"/>
    <w:rsid w:val="0057439C"/>
    <w:rsid w:val="005A7F45"/>
    <w:rsid w:val="005B0127"/>
    <w:rsid w:val="005B0B46"/>
    <w:rsid w:val="005B7A35"/>
    <w:rsid w:val="005C0160"/>
    <w:rsid w:val="005C4B73"/>
    <w:rsid w:val="005E1D2B"/>
    <w:rsid w:val="00600D93"/>
    <w:rsid w:val="006051DD"/>
    <w:rsid w:val="006134D5"/>
    <w:rsid w:val="00621572"/>
    <w:rsid w:val="00627A48"/>
    <w:rsid w:val="0063300C"/>
    <w:rsid w:val="00655736"/>
    <w:rsid w:val="0066013E"/>
    <w:rsid w:val="00663B8D"/>
    <w:rsid w:val="00667DE5"/>
    <w:rsid w:val="00680D01"/>
    <w:rsid w:val="00696C8D"/>
    <w:rsid w:val="006A2AC2"/>
    <w:rsid w:val="006A2C53"/>
    <w:rsid w:val="006A3617"/>
    <w:rsid w:val="006A73F0"/>
    <w:rsid w:val="006C461D"/>
    <w:rsid w:val="006E46E4"/>
    <w:rsid w:val="006E69BE"/>
    <w:rsid w:val="006F41B4"/>
    <w:rsid w:val="006F4AC2"/>
    <w:rsid w:val="00700DD8"/>
    <w:rsid w:val="00703FBF"/>
    <w:rsid w:val="007075AD"/>
    <w:rsid w:val="00717DA5"/>
    <w:rsid w:val="00722B5F"/>
    <w:rsid w:val="0072613B"/>
    <w:rsid w:val="00731336"/>
    <w:rsid w:val="00741D4A"/>
    <w:rsid w:val="00744484"/>
    <w:rsid w:val="0075153F"/>
    <w:rsid w:val="00757724"/>
    <w:rsid w:val="00763A0D"/>
    <w:rsid w:val="00764295"/>
    <w:rsid w:val="00765692"/>
    <w:rsid w:val="00773188"/>
    <w:rsid w:val="00775A58"/>
    <w:rsid w:val="00781F19"/>
    <w:rsid w:val="0078250F"/>
    <w:rsid w:val="00783782"/>
    <w:rsid w:val="00784B8C"/>
    <w:rsid w:val="00793E63"/>
    <w:rsid w:val="007A2184"/>
    <w:rsid w:val="007A71D3"/>
    <w:rsid w:val="007B47CD"/>
    <w:rsid w:val="007B4B5E"/>
    <w:rsid w:val="007C7AA1"/>
    <w:rsid w:val="007D07D6"/>
    <w:rsid w:val="007F2A55"/>
    <w:rsid w:val="007F6962"/>
    <w:rsid w:val="00801E0C"/>
    <w:rsid w:val="00801F0C"/>
    <w:rsid w:val="00806FAD"/>
    <w:rsid w:val="008136A3"/>
    <w:rsid w:val="00814506"/>
    <w:rsid w:val="008169F2"/>
    <w:rsid w:val="00823A11"/>
    <w:rsid w:val="00837AAB"/>
    <w:rsid w:val="0084015B"/>
    <w:rsid w:val="0084030E"/>
    <w:rsid w:val="008457B4"/>
    <w:rsid w:val="00846F7B"/>
    <w:rsid w:val="00852866"/>
    <w:rsid w:val="0085414A"/>
    <w:rsid w:val="0085545C"/>
    <w:rsid w:val="00855DB2"/>
    <w:rsid w:val="00856A9C"/>
    <w:rsid w:val="0086269D"/>
    <w:rsid w:val="008643E0"/>
    <w:rsid w:val="0086543A"/>
    <w:rsid w:val="008656FA"/>
    <w:rsid w:val="00872450"/>
    <w:rsid w:val="008724E5"/>
    <w:rsid w:val="00873E2D"/>
    <w:rsid w:val="008740D1"/>
    <w:rsid w:val="0087578B"/>
    <w:rsid w:val="00876E9E"/>
    <w:rsid w:val="0088265D"/>
    <w:rsid w:val="00884A9D"/>
    <w:rsid w:val="0088512B"/>
    <w:rsid w:val="008902C1"/>
    <w:rsid w:val="00891110"/>
    <w:rsid w:val="00894765"/>
    <w:rsid w:val="008948AA"/>
    <w:rsid w:val="008951A0"/>
    <w:rsid w:val="008A1ED4"/>
    <w:rsid w:val="008A2B2D"/>
    <w:rsid w:val="008A4E1E"/>
    <w:rsid w:val="008A70F9"/>
    <w:rsid w:val="008A7FD2"/>
    <w:rsid w:val="008B4E5C"/>
    <w:rsid w:val="008C296C"/>
    <w:rsid w:val="008C5F63"/>
    <w:rsid w:val="008D4305"/>
    <w:rsid w:val="008F4F99"/>
    <w:rsid w:val="009001C7"/>
    <w:rsid w:val="00900C06"/>
    <w:rsid w:val="00905C14"/>
    <w:rsid w:val="0090601F"/>
    <w:rsid w:val="009068DE"/>
    <w:rsid w:val="0091009D"/>
    <w:rsid w:val="0091124E"/>
    <w:rsid w:val="009163A7"/>
    <w:rsid w:val="009177C5"/>
    <w:rsid w:val="00917D72"/>
    <w:rsid w:val="00921F31"/>
    <w:rsid w:val="00923FC6"/>
    <w:rsid w:val="009243AF"/>
    <w:rsid w:val="00933318"/>
    <w:rsid w:val="00935320"/>
    <w:rsid w:val="00935DA5"/>
    <w:rsid w:val="00935E67"/>
    <w:rsid w:val="009454C7"/>
    <w:rsid w:val="00946D0B"/>
    <w:rsid w:val="009551EC"/>
    <w:rsid w:val="00955DDC"/>
    <w:rsid w:val="00956A8A"/>
    <w:rsid w:val="0097101E"/>
    <w:rsid w:val="00972086"/>
    <w:rsid w:val="0097331A"/>
    <w:rsid w:val="009817F7"/>
    <w:rsid w:val="00993531"/>
    <w:rsid w:val="009A18CD"/>
    <w:rsid w:val="009A43B8"/>
    <w:rsid w:val="009A7384"/>
    <w:rsid w:val="009D548B"/>
    <w:rsid w:val="009E16DF"/>
    <w:rsid w:val="00A1214C"/>
    <w:rsid w:val="00A12558"/>
    <w:rsid w:val="00A13903"/>
    <w:rsid w:val="00A30CBD"/>
    <w:rsid w:val="00A34ED5"/>
    <w:rsid w:val="00A45DBF"/>
    <w:rsid w:val="00A472E0"/>
    <w:rsid w:val="00A474F4"/>
    <w:rsid w:val="00A551C1"/>
    <w:rsid w:val="00A63537"/>
    <w:rsid w:val="00A645DF"/>
    <w:rsid w:val="00A64F94"/>
    <w:rsid w:val="00A65775"/>
    <w:rsid w:val="00A65C29"/>
    <w:rsid w:val="00A74394"/>
    <w:rsid w:val="00A755A2"/>
    <w:rsid w:val="00A76522"/>
    <w:rsid w:val="00A76610"/>
    <w:rsid w:val="00A80945"/>
    <w:rsid w:val="00A84093"/>
    <w:rsid w:val="00A85654"/>
    <w:rsid w:val="00A85D54"/>
    <w:rsid w:val="00A8657F"/>
    <w:rsid w:val="00AA6660"/>
    <w:rsid w:val="00AB2C36"/>
    <w:rsid w:val="00AB70B6"/>
    <w:rsid w:val="00AC1396"/>
    <w:rsid w:val="00AC3A7F"/>
    <w:rsid w:val="00AC4B3C"/>
    <w:rsid w:val="00AC5A7D"/>
    <w:rsid w:val="00AD1A86"/>
    <w:rsid w:val="00AD5E36"/>
    <w:rsid w:val="00AD62F6"/>
    <w:rsid w:val="00AE103E"/>
    <w:rsid w:val="00AE1FC4"/>
    <w:rsid w:val="00AF0A07"/>
    <w:rsid w:val="00AF4AEC"/>
    <w:rsid w:val="00AF4CC2"/>
    <w:rsid w:val="00AF5308"/>
    <w:rsid w:val="00AF625E"/>
    <w:rsid w:val="00B01C9A"/>
    <w:rsid w:val="00B05E9F"/>
    <w:rsid w:val="00B15B76"/>
    <w:rsid w:val="00B2177D"/>
    <w:rsid w:val="00B2181F"/>
    <w:rsid w:val="00B21A9D"/>
    <w:rsid w:val="00B26DB9"/>
    <w:rsid w:val="00B3014F"/>
    <w:rsid w:val="00B3435F"/>
    <w:rsid w:val="00B35559"/>
    <w:rsid w:val="00B363F4"/>
    <w:rsid w:val="00B51385"/>
    <w:rsid w:val="00B519C7"/>
    <w:rsid w:val="00B55055"/>
    <w:rsid w:val="00B60F8B"/>
    <w:rsid w:val="00B6215D"/>
    <w:rsid w:val="00B669D5"/>
    <w:rsid w:val="00B66D23"/>
    <w:rsid w:val="00B67FA3"/>
    <w:rsid w:val="00B75DCD"/>
    <w:rsid w:val="00B76771"/>
    <w:rsid w:val="00B76CD0"/>
    <w:rsid w:val="00B80F46"/>
    <w:rsid w:val="00B84B3A"/>
    <w:rsid w:val="00B949DF"/>
    <w:rsid w:val="00B96B09"/>
    <w:rsid w:val="00BB04AF"/>
    <w:rsid w:val="00BB6956"/>
    <w:rsid w:val="00BC26F3"/>
    <w:rsid w:val="00BD0E68"/>
    <w:rsid w:val="00BD52C9"/>
    <w:rsid w:val="00BE6354"/>
    <w:rsid w:val="00C02434"/>
    <w:rsid w:val="00C03D24"/>
    <w:rsid w:val="00C04B18"/>
    <w:rsid w:val="00C11C11"/>
    <w:rsid w:val="00C13938"/>
    <w:rsid w:val="00C16967"/>
    <w:rsid w:val="00C23A97"/>
    <w:rsid w:val="00C25495"/>
    <w:rsid w:val="00C26539"/>
    <w:rsid w:val="00C300ED"/>
    <w:rsid w:val="00C307C0"/>
    <w:rsid w:val="00C334CC"/>
    <w:rsid w:val="00C335AD"/>
    <w:rsid w:val="00C34452"/>
    <w:rsid w:val="00C418B1"/>
    <w:rsid w:val="00C41C48"/>
    <w:rsid w:val="00C42C66"/>
    <w:rsid w:val="00C64C71"/>
    <w:rsid w:val="00C67F34"/>
    <w:rsid w:val="00C70A64"/>
    <w:rsid w:val="00C70EA7"/>
    <w:rsid w:val="00C71E58"/>
    <w:rsid w:val="00C7516E"/>
    <w:rsid w:val="00C75770"/>
    <w:rsid w:val="00C820A2"/>
    <w:rsid w:val="00C83ECF"/>
    <w:rsid w:val="00C90788"/>
    <w:rsid w:val="00C933CE"/>
    <w:rsid w:val="00CB5C7B"/>
    <w:rsid w:val="00CC1DBC"/>
    <w:rsid w:val="00CC7E40"/>
    <w:rsid w:val="00CD16A7"/>
    <w:rsid w:val="00CD78B8"/>
    <w:rsid w:val="00CE30FA"/>
    <w:rsid w:val="00CE3C7F"/>
    <w:rsid w:val="00CE6410"/>
    <w:rsid w:val="00CF1F75"/>
    <w:rsid w:val="00CF50B9"/>
    <w:rsid w:val="00D00B2B"/>
    <w:rsid w:val="00D02231"/>
    <w:rsid w:val="00D028C1"/>
    <w:rsid w:val="00D1575E"/>
    <w:rsid w:val="00D1659C"/>
    <w:rsid w:val="00D16AC0"/>
    <w:rsid w:val="00D24877"/>
    <w:rsid w:val="00D27A09"/>
    <w:rsid w:val="00D416E3"/>
    <w:rsid w:val="00D54F9F"/>
    <w:rsid w:val="00D67A8D"/>
    <w:rsid w:val="00D86914"/>
    <w:rsid w:val="00D95C4C"/>
    <w:rsid w:val="00D9656E"/>
    <w:rsid w:val="00D96FD4"/>
    <w:rsid w:val="00DA36ED"/>
    <w:rsid w:val="00DB1110"/>
    <w:rsid w:val="00DB1732"/>
    <w:rsid w:val="00DB39E3"/>
    <w:rsid w:val="00DB5492"/>
    <w:rsid w:val="00DC4DD3"/>
    <w:rsid w:val="00DD25F9"/>
    <w:rsid w:val="00DD3257"/>
    <w:rsid w:val="00DD49FE"/>
    <w:rsid w:val="00DD4BA0"/>
    <w:rsid w:val="00DD6FF7"/>
    <w:rsid w:val="00DD7A84"/>
    <w:rsid w:val="00DE34F1"/>
    <w:rsid w:val="00DF11BE"/>
    <w:rsid w:val="00DF4942"/>
    <w:rsid w:val="00E021B4"/>
    <w:rsid w:val="00E13D85"/>
    <w:rsid w:val="00E20C68"/>
    <w:rsid w:val="00E24A08"/>
    <w:rsid w:val="00E25E00"/>
    <w:rsid w:val="00E30F5C"/>
    <w:rsid w:val="00E4433F"/>
    <w:rsid w:val="00E5318D"/>
    <w:rsid w:val="00E627B1"/>
    <w:rsid w:val="00E75101"/>
    <w:rsid w:val="00E82CB7"/>
    <w:rsid w:val="00E923EF"/>
    <w:rsid w:val="00E9376C"/>
    <w:rsid w:val="00E940A7"/>
    <w:rsid w:val="00E96188"/>
    <w:rsid w:val="00EA1941"/>
    <w:rsid w:val="00EA335E"/>
    <w:rsid w:val="00EA4684"/>
    <w:rsid w:val="00EA528C"/>
    <w:rsid w:val="00EB4F27"/>
    <w:rsid w:val="00EB659C"/>
    <w:rsid w:val="00EC1B0A"/>
    <w:rsid w:val="00ED11F2"/>
    <w:rsid w:val="00ED5ADA"/>
    <w:rsid w:val="00ED603C"/>
    <w:rsid w:val="00ED79EA"/>
    <w:rsid w:val="00EF19A6"/>
    <w:rsid w:val="00EF34E2"/>
    <w:rsid w:val="00EF4DB2"/>
    <w:rsid w:val="00EF4F1F"/>
    <w:rsid w:val="00EF69E3"/>
    <w:rsid w:val="00EF76AB"/>
    <w:rsid w:val="00F010E0"/>
    <w:rsid w:val="00F03296"/>
    <w:rsid w:val="00F040B9"/>
    <w:rsid w:val="00F06FE0"/>
    <w:rsid w:val="00F141E5"/>
    <w:rsid w:val="00F20D64"/>
    <w:rsid w:val="00F20E20"/>
    <w:rsid w:val="00F25299"/>
    <w:rsid w:val="00F53DE9"/>
    <w:rsid w:val="00F55A09"/>
    <w:rsid w:val="00F576CB"/>
    <w:rsid w:val="00F57C25"/>
    <w:rsid w:val="00F61211"/>
    <w:rsid w:val="00F70F3C"/>
    <w:rsid w:val="00F70FB7"/>
    <w:rsid w:val="00F71A02"/>
    <w:rsid w:val="00F826E0"/>
    <w:rsid w:val="00F86884"/>
    <w:rsid w:val="00F91440"/>
    <w:rsid w:val="00F94C34"/>
    <w:rsid w:val="00FA1124"/>
    <w:rsid w:val="00FA1898"/>
    <w:rsid w:val="00FA53C0"/>
    <w:rsid w:val="00FA5EA0"/>
    <w:rsid w:val="00FB2302"/>
    <w:rsid w:val="00FB6630"/>
    <w:rsid w:val="00FD10DB"/>
    <w:rsid w:val="00FD1226"/>
    <w:rsid w:val="00FD6A5E"/>
    <w:rsid w:val="00FE2314"/>
    <w:rsid w:val="00FE5769"/>
    <w:rsid w:val="00FF2A43"/>
    <w:rsid w:val="00FF4830"/>
    <w:rsid w:val="00FF5F6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56C40A"/>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COMPara">
    <w:name w:val="COM Para"/>
    <w:qFormat/>
    <w:rsid w:val="006051DD"/>
    <w:pPr>
      <w:spacing w:after="120"/>
      <w:ind w:left="567" w:hanging="567"/>
    </w:pPr>
    <w:rPr>
      <w:rFonts w:ascii="Arial" w:eastAsia="Times New Roman" w:hAnsi="Arial" w:cs="Arial"/>
      <w:snapToGrid w:val="0"/>
      <w:sz w:val="22"/>
      <w:szCs w:val="22"/>
      <w:lang w:eastAsia="en-US"/>
    </w:rPr>
  </w:style>
  <w:style w:type="character" w:styleId="Hyperlink">
    <w:name w:val="Hyperlink"/>
    <w:basedOn w:val="DefaultParagraphFont"/>
    <w:uiPriority w:val="99"/>
    <w:unhideWhenUsed/>
    <w:rsid w:val="006051DD"/>
    <w:rPr>
      <w:color w:val="0563C1" w:themeColor="hyperlink"/>
      <w:u w:val="single"/>
    </w:rPr>
  </w:style>
  <w:style w:type="character" w:customStyle="1" w:styleId="Mencinsinresolver1">
    <w:name w:val="Mención sin resolver1"/>
    <w:basedOn w:val="DefaultParagraphFont"/>
    <w:uiPriority w:val="99"/>
    <w:semiHidden/>
    <w:unhideWhenUsed/>
    <w:rsid w:val="00B519C7"/>
    <w:rPr>
      <w:color w:val="605E5C"/>
      <w:shd w:val="clear" w:color="auto" w:fill="E1DFDD"/>
    </w:rPr>
  </w:style>
  <w:style w:type="paragraph" w:styleId="FootnoteText">
    <w:name w:val="footnote text"/>
    <w:basedOn w:val="Normal"/>
    <w:link w:val="FootnoteTextChar"/>
    <w:uiPriority w:val="99"/>
    <w:semiHidden/>
    <w:unhideWhenUsed/>
    <w:rsid w:val="00A64F94"/>
    <w:rPr>
      <w:sz w:val="20"/>
      <w:szCs w:val="20"/>
    </w:rPr>
  </w:style>
  <w:style w:type="character" w:customStyle="1" w:styleId="FootnoteTextChar">
    <w:name w:val="Footnote Text Char"/>
    <w:basedOn w:val="DefaultParagraphFont"/>
    <w:link w:val="FootnoteText"/>
    <w:uiPriority w:val="99"/>
    <w:semiHidden/>
    <w:rsid w:val="00A64F94"/>
    <w:rPr>
      <w:rFonts w:ascii="Times New Roman" w:eastAsia="Times New Roman" w:hAnsi="Times New Roman"/>
      <w:lang w:val="fr-FR" w:eastAsia="fr-FR"/>
    </w:rPr>
  </w:style>
  <w:style w:type="character" w:styleId="FootnoteReference">
    <w:name w:val="footnote reference"/>
    <w:basedOn w:val="DefaultParagraphFont"/>
    <w:uiPriority w:val="99"/>
    <w:unhideWhenUsed/>
    <w:rsid w:val="00A64F94"/>
    <w:rPr>
      <w:vertAlign w:val="superscript"/>
    </w:rPr>
  </w:style>
  <w:style w:type="paragraph" w:customStyle="1" w:styleId="1GAPara">
    <w:name w:val="1. GA Para"/>
    <w:qFormat/>
    <w:rsid w:val="00510637"/>
    <w:pPr>
      <w:spacing w:after="120"/>
      <w:ind w:left="720" w:hanging="360"/>
    </w:pPr>
    <w:rPr>
      <w:rFonts w:ascii="Arial" w:eastAsia="Times New Roman" w:hAnsi="Arial" w:cs="Arial"/>
      <w:snapToGrid w:val="0"/>
      <w:sz w:val="22"/>
      <w:szCs w:val="22"/>
      <w:lang w:eastAsia="en-US"/>
    </w:rPr>
  </w:style>
  <w:style w:type="paragraph" w:styleId="NormalWeb">
    <w:name w:val="Normal (Web)"/>
    <w:basedOn w:val="Normal"/>
    <w:uiPriority w:val="99"/>
    <w:unhideWhenUsed/>
    <w:rsid w:val="00510637"/>
    <w:rPr>
      <w:rFonts w:eastAsiaTheme="minorHAnsi"/>
    </w:rPr>
  </w:style>
  <w:style w:type="paragraph" w:customStyle="1" w:styleId="1gapara0">
    <w:name w:val="1gapara"/>
    <w:basedOn w:val="Normal"/>
    <w:uiPriority w:val="99"/>
    <w:semiHidden/>
    <w:rsid w:val="00510637"/>
    <w:rPr>
      <w:rFonts w:eastAsiaTheme="minorHAnsi"/>
    </w:rPr>
  </w:style>
  <w:style w:type="paragraph" w:customStyle="1" w:styleId="COMTitleDecision">
    <w:name w:val="COM Title Decision"/>
    <w:basedOn w:val="Normal"/>
    <w:qFormat/>
    <w:rsid w:val="00A85654"/>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A85654"/>
    <w:pPr>
      <w:keepNext/>
      <w:spacing w:after="120"/>
      <w:ind w:left="567"/>
      <w:jc w:val="both"/>
    </w:pPr>
    <w:rPr>
      <w:rFonts w:ascii="Arial" w:hAnsi="Arial" w:cs="Arial"/>
      <w:sz w:val="22"/>
      <w:szCs w:val="22"/>
      <w:lang w:val="en-GB"/>
    </w:rPr>
  </w:style>
  <w:style w:type="character" w:styleId="CommentReference">
    <w:name w:val="annotation reference"/>
    <w:basedOn w:val="DefaultParagraphFont"/>
    <w:uiPriority w:val="99"/>
    <w:semiHidden/>
    <w:unhideWhenUsed/>
    <w:rsid w:val="00B3014F"/>
    <w:rPr>
      <w:sz w:val="16"/>
      <w:szCs w:val="16"/>
    </w:rPr>
  </w:style>
  <w:style w:type="paragraph" w:styleId="CommentText">
    <w:name w:val="annotation text"/>
    <w:basedOn w:val="Normal"/>
    <w:link w:val="CommentTextChar"/>
    <w:uiPriority w:val="99"/>
    <w:semiHidden/>
    <w:unhideWhenUsed/>
    <w:rsid w:val="00B3014F"/>
    <w:rPr>
      <w:sz w:val="20"/>
      <w:szCs w:val="20"/>
    </w:rPr>
  </w:style>
  <w:style w:type="character" w:customStyle="1" w:styleId="CommentTextChar">
    <w:name w:val="Comment Text Char"/>
    <w:basedOn w:val="DefaultParagraphFont"/>
    <w:link w:val="CommentText"/>
    <w:uiPriority w:val="99"/>
    <w:semiHidden/>
    <w:rsid w:val="00B3014F"/>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B3014F"/>
    <w:rPr>
      <w:b/>
      <w:bCs/>
    </w:rPr>
  </w:style>
  <w:style w:type="character" w:customStyle="1" w:styleId="CommentSubjectChar">
    <w:name w:val="Comment Subject Char"/>
    <w:basedOn w:val="CommentTextChar"/>
    <w:link w:val="CommentSubject"/>
    <w:uiPriority w:val="99"/>
    <w:semiHidden/>
    <w:rsid w:val="00B3014F"/>
    <w:rPr>
      <w:rFonts w:ascii="Times New Roman" w:eastAsia="Times New Roman" w:hAnsi="Times New Roman"/>
      <w:b/>
      <w:bCs/>
      <w:lang w:val="fr-FR" w:eastAsia="fr-FR"/>
    </w:rPr>
  </w:style>
  <w:style w:type="paragraph" w:styleId="Revision">
    <w:name w:val="Revision"/>
    <w:hidden/>
    <w:uiPriority w:val="99"/>
    <w:semiHidden/>
    <w:rsid w:val="00B3014F"/>
    <w:rPr>
      <w:rFonts w:ascii="Times New Roman" w:eastAsia="Times New Roman" w:hAnsi="Times New Roman"/>
      <w:sz w:val="24"/>
      <w:szCs w:val="24"/>
      <w:lang w:val="fr-FR" w:eastAsia="fr-FR"/>
    </w:rPr>
  </w:style>
  <w:style w:type="character" w:styleId="FollowedHyperlink">
    <w:name w:val="FollowedHyperlink"/>
    <w:basedOn w:val="DefaultParagraphFont"/>
    <w:uiPriority w:val="99"/>
    <w:semiHidden/>
    <w:unhideWhenUsed/>
    <w:rsid w:val="0047167A"/>
    <w:rPr>
      <w:color w:val="954F72" w:themeColor="followedHyperlink"/>
      <w:u w:val="single"/>
    </w:rPr>
  </w:style>
  <w:style w:type="character" w:customStyle="1" w:styleId="UnresolvedMention1">
    <w:name w:val="Unresolved Mention1"/>
    <w:basedOn w:val="DefaultParagraphFont"/>
    <w:uiPriority w:val="99"/>
    <w:semiHidden/>
    <w:unhideWhenUsed/>
    <w:rsid w:val="00527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1893">
      <w:bodyDiv w:val="1"/>
      <w:marLeft w:val="0"/>
      <w:marRight w:val="0"/>
      <w:marTop w:val="0"/>
      <w:marBottom w:val="0"/>
      <w:divBdr>
        <w:top w:val="none" w:sz="0" w:space="0" w:color="auto"/>
        <w:left w:val="none" w:sz="0" w:space="0" w:color="auto"/>
        <w:bottom w:val="none" w:sz="0" w:space="0" w:color="auto"/>
        <w:right w:val="none" w:sz="0" w:space="0" w:color="auto"/>
      </w:divBdr>
    </w:div>
    <w:div w:id="427391051">
      <w:bodyDiv w:val="1"/>
      <w:marLeft w:val="0"/>
      <w:marRight w:val="0"/>
      <w:marTop w:val="0"/>
      <w:marBottom w:val="0"/>
      <w:divBdr>
        <w:top w:val="none" w:sz="0" w:space="0" w:color="auto"/>
        <w:left w:val="none" w:sz="0" w:space="0" w:color="auto"/>
        <w:bottom w:val="none" w:sz="0" w:space="0" w:color="auto"/>
        <w:right w:val="none" w:sz="0" w:space="0" w:color="auto"/>
      </w:divBdr>
    </w:div>
    <w:div w:id="468329297">
      <w:bodyDiv w:val="1"/>
      <w:marLeft w:val="0"/>
      <w:marRight w:val="0"/>
      <w:marTop w:val="0"/>
      <w:marBottom w:val="0"/>
      <w:divBdr>
        <w:top w:val="none" w:sz="0" w:space="0" w:color="auto"/>
        <w:left w:val="none" w:sz="0" w:space="0" w:color="auto"/>
        <w:bottom w:val="none" w:sz="0" w:space="0" w:color="auto"/>
        <w:right w:val="none" w:sz="0" w:space="0" w:color="auto"/>
      </w:divBdr>
    </w:div>
    <w:div w:id="554394425">
      <w:bodyDiv w:val="1"/>
      <w:marLeft w:val="0"/>
      <w:marRight w:val="0"/>
      <w:marTop w:val="0"/>
      <w:marBottom w:val="0"/>
      <w:divBdr>
        <w:top w:val="none" w:sz="0" w:space="0" w:color="auto"/>
        <w:left w:val="none" w:sz="0" w:space="0" w:color="auto"/>
        <w:bottom w:val="none" w:sz="0" w:space="0" w:color="auto"/>
        <w:right w:val="none" w:sz="0" w:space="0" w:color="auto"/>
      </w:divBdr>
    </w:div>
    <w:div w:id="558631631">
      <w:bodyDiv w:val="1"/>
      <w:marLeft w:val="0"/>
      <w:marRight w:val="0"/>
      <w:marTop w:val="0"/>
      <w:marBottom w:val="0"/>
      <w:divBdr>
        <w:top w:val="none" w:sz="0" w:space="0" w:color="auto"/>
        <w:left w:val="none" w:sz="0" w:space="0" w:color="auto"/>
        <w:bottom w:val="none" w:sz="0" w:space="0" w:color="auto"/>
        <w:right w:val="none" w:sz="0" w:space="0" w:color="auto"/>
      </w:divBdr>
    </w:div>
    <w:div w:id="566497817">
      <w:bodyDiv w:val="1"/>
      <w:marLeft w:val="0"/>
      <w:marRight w:val="0"/>
      <w:marTop w:val="0"/>
      <w:marBottom w:val="0"/>
      <w:divBdr>
        <w:top w:val="none" w:sz="0" w:space="0" w:color="auto"/>
        <w:left w:val="none" w:sz="0" w:space="0" w:color="auto"/>
        <w:bottom w:val="none" w:sz="0" w:space="0" w:color="auto"/>
        <w:right w:val="none" w:sz="0" w:space="0" w:color="auto"/>
      </w:divBdr>
    </w:div>
    <w:div w:id="691764753">
      <w:bodyDiv w:val="1"/>
      <w:marLeft w:val="0"/>
      <w:marRight w:val="0"/>
      <w:marTop w:val="0"/>
      <w:marBottom w:val="0"/>
      <w:divBdr>
        <w:top w:val="none" w:sz="0" w:space="0" w:color="auto"/>
        <w:left w:val="none" w:sz="0" w:space="0" w:color="auto"/>
        <w:bottom w:val="none" w:sz="0" w:space="0" w:color="auto"/>
        <w:right w:val="none" w:sz="0" w:space="0" w:color="auto"/>
      </w:divBdr>
    </w:div>
    <w:div w:id="695078738">
      <w:bodyDiv w:val="1"/>
      <w:marLeft w:val="0"/>
      <w:marRight w:val="0"/>
      <w:marTop w:val="0"/>
      <w:marBottom w:val="0"/>
      <w:divBdr>
        <w:top w:val="none" w:sz="0" w:space="0" w:color="auto"/>
        <w:left w:val="none" w:sz="0" w:space="0" w:color="auto"/>
        <w:bottom w:val="none" w:sz="0" w:space="0" w:color="auto"/>
        <w:right w:val="none" w:sz="0" w:space="0" w:color="auto"/>
      </w:divBdr>
    </w:div>
    <w:div w:id="73486228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13791918">
      <w:bodyDiv w:val="1"/>
      <w:marLeft w:val="0"/>
      <w:marRight w:val="0"/>
      <w:marTop w:val="0"/>
      <w:marBottom w:val="0"/>
      <w:divBdr>
        <w:top w:val="none" w:sz="0" w:space="0" w:color="auto"/>
        <w:left w:val="none" w:sz="0" w:space="0" w:color="auto"/>
        <w:bottom w:val="none" w:sz="0" w:space="0" w:color="auto"/>
        <w:right w:val="none" w:sz="0" w:space="0" w:color="auto"/>
      </w:divBdr>
    </w:div>
    <w:div w:id="149016911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72436447">
      <w:bodyDiv w:val="1"/>
      <w:marLeft w:val="0"/>
      <w:marRight w:val="0"/>
      <w:marTop w:val="0"/>
      <w:marBottom w:val="0"/>
      <w:divBdr>
        <w:top w:val="none" w:sz="0" w:space="0" w:color="auto"/>
        <w:left w:val="none" w:sz="0" w:space="0" w:color="auto"/>
        <w:bottom w:val="none" w:sz="0" w:space="0" w:color="auto"/>
        <w:right w:val="none" w:sz="0" w:space="0" w:color="auto"/>
      </w:divBdr>
    </w:div>
    <w:div w:id="185113871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6580578">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94598199">
      <w:bodyDiv w:val="1"/>
      <w:marLeft w:val="0"/>
      <w:marRight w:val="0"/>
      <w:marTop w:val="0"/>
      <w:marBottom w:val="0"/>
      <w:divBdr>
        <w:top w:val="none" w:sz="0" w:space="0" w:color="auto"/>
        <w:left w:val="none" w:sz="0" w:space="0" w:color="auto"/>
        <w:bottom w:val="none" w:sz="0" w:space="0" w:color="auto"/>
        <w:right w:val="none" w:sz="0" w:space="0" w:color="auto"/>
      </w:divBdr>
    </w:div>
    <w:div w:id="2116245702">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4.COM/14" TargetMode="External"/><Relationship Id="rId13" Type="http://schemas.openxmlformats.org/officeDocument/2006/relationships/hyperlink" Target="https://ich.unesco.org/en/Decisions/13.COM/1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ch.unesco.org/doc/src/LHE-20-8.GA-11-SP.docx" TargetMode="External"/><Relationship Id="rId17" Type="http://schemas.openxmlformats.org/officeDocument/2006/relationships/hyperlink" Target="https://ich.unesco.org/en/Decisions/14.COM/16" TargetMode="External"/><Relationship Id="rId2" Type="http://schemas.openxmlformats.org/officeDocument/2006/relationships/numbering" Target="numbering.xml"/><Relationship Id="rId16" Type="http://schemas.openxmlformats.org/officeDocument/2006/relationships/hyperlink" Target="https://ich.unesco.org/en/Decisions/14.COM/1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7.GA/6" TargetMode="External"/><Relationship Id="rId5" Type="http://schemas.openxmlformats.org/officeDocument/2006/relationships/webSettings" Target="webSettings.xml"/><Relationship Id="rId15" Type="http://schemas.openxmlformats.org/officeDocument/2006/relationships/hyperlink" Target="https://ich.unesco.org/en/Decisions/13.COM/14" TargetMode="External"/><Relationship Id="rId23" Type="http://schemas.openxmlformats.org/officeDocument/2006/relationships/theme" Target="theme/theme1.xml"/><Relationship Id="rId10" Type="http://schemas.openxmlformats.org/officeDocument/2006/relationships/hyperlink" Target="https://ich.unesco.org/en/Decisions/12.COM/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en/Decisions/11.COM/10" TargetMode="External"/><Relationship Id="rId14" Type="http://schemas.openxmlformats.org/officeDocument/2006/relationships/hyperlink" Target="https://ich.unesco.org/en/Decisions/13.COM/16"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4A94-6F1A-4CD4-AD1A-A10FFAD0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1574</Words>
  <Characters>8978</Characters>
  <Application>Microsoft Office Word</Application>
  <DocSecurity>0</DocSecurity>
  <Lines>74</Lines>
  <Paragraphs>21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UNESCO</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Thibault, Alice</cp:lastModifiedBy>
  <cp:revision>11</cp:revision>
  <cp:lastPrinted>2020-07-09T07:56:00Z</cp:lastPrinted>
  <dcterms:created xsi:type="dcterms:W3CDTF">2020-07-31T10:49:00Z</dcterms:created>
  <dcterms:modified xsi:type="dcterms:W3CDTF">2020-08-07T08:34:00Z</dcterms:modified>
</cp:coreProperties>
</file>