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2EE3" w14:textId="0468564B" w:rsidR="00655736" w:rsidRPr="00414643" w:rsidRDefault="00655736" w:rsidP="00E5543C">
      <w:pPr>
        <w:spacing w:before="960"/>
        <w:jc w:val="center"/>
        <w:rPr>
          <w:rFonts w:ascii="Arial" w:hAnsi="Arial" w:cs="Arial"/>
          <w:b/>
          <w:sz w:val="22"/>
          <w:szCs w:val="22"/>
          <w:lang w:val="en-GB"/>
        </w:rPr>
      </w:pPr>
      <w:r w:rsidRPr="00414643">
        <w:rPr>
          <w:rFonts w:ascii="Arial" w:hAnsi="Arial" w:cs="Arial"/>
          <w:b/>
          <w:sz w:val="22"/>
          <w:szCs w:val="22"/>
          <w:lang w:val="en-GB"/>
        </w:rPr>
        <w:t>CONVENTION FOR THE SAFEGUARDING OF THE</w:t>
      </w:r>
      <w:r w:rsidRPr="00414643">
        <w:rPr>
          <w:rFonts w:ascii="Arial" w:hAnsi="Arial" w:cs="Arial"/>
          <w:b/>
          <w:sz w:val="22"/>
          <w:szCs w:val="22"/>
          <w:lang w:val="en-GB"/>
        </w:rPr>
        <w:br/>
        <w:t>INTANGIBLE CULTURAL HERITAGE</w:t>
      </w:r>
    </w:p>
    <w:p w14:paraId="512F90B5" w14:textId="77777777" w:rsidR="00655736" w:rsidRPr="00414643" w:rsidRDefault="00D95C4C" w:rsidP="00655736">
      <w:pPr>
        <w:spacing w:before="1200"/>
        <w:jc w:val="center"/>
        <w:rPr>
          <w:rFonts w:ascii="Arial" w:hAnsi="Arial" w:cs="Arial"/>
          <w:b/>
          <w:sz w:val="22"/>
          <w:szCs w:val="22"/>
          <w:lang w:val="en-GB"/>
        </w:rPr>
      </w:pPr>
      <w:r w:rsidRPr="00FD624F">
        <w:rPr>
          <w:rFonts w:ascii="Arial" w:hAnsi="Arial" w:cs="Arial"/>
          <w:b/>
          <w:sz w:val="22"/>
          <w:szCs w:val="22"/>
          <w:lang w:val="en-GB"/>
        </w:rPr>
        <w:t>GENERAL ASSEMBLY OF THE S</w:t>
      </w:r>
      <w:r w:rsidR="00C23A97">
        <w:rPr>
          <w:rFonts w:ascii="Arial" w:hAnsi="Arial" w:cs="Arial"/>
          <w:b/>
          <w:sz w:val="22"/>
          <w:szCs w:val="22"/>
          <w:lang w:val="en-GB"/>
        </w:rPr>
        <w:t>TATES PARTIES TO THE CONVENTION</w:t>
      </w:r>
    </w:p>
    <w:p w14:paraId="28CF4C38" w14:textId="77777777" w:rsidR="00D95C4C" w:rsidRPr="00FD624F" w:rsidRDefault="006F41B4" w:rsidP="00D95C4C">
      <w:pPr>
        <w:spacing w:before="840"/>
        <w:jc w:val="center"/>
        <w:rPr>
          <w:rFonts w:ascii="Arial" w:hAnsi="Arial" w:cs="Arial"/>
          <w:b/>
          <w:sz w:val="22"/>
          <w:szCs w:val="22"/>
          <w:lang w:val="en-GB"/>
        </w:rPr>
      </w:pPr>
      <w:r>
        <w:rPr>
          <w:rFonts w:ascii="Arial" w:hAnsi="Arial" w:cs="Arial"/>
          <w:b/>
          <w:sz w:val="22"/>
          <w:szCs w:val="22"/>
          <w:lang w:val="en-GB"/>
        </w:rPr>
        <w:t>Eighth</w:t>
      </w:r>
      <w:r w:rsidR="00D95C4C" w:rsidRPr="00FD624F">
        <w:rPr>
          <w:rFonts w:ascii="Arial" w:hAnsi="Arial" w:cs="Arial"/>
          <w:b/>
          <w:sz w:val="22"/>
          <w:szCs w:val="22"/>
          <w:lang w:val="en-GB"/>
        </w:rPr>
        <w:t xml:space="preserve"> session</w:t>
      </w:r>
    </w:p>
    <w:p w14:paraId="33ABB95E" w14:textId="77777777" w:rsidR="00D95C4C" w:rsidRPr="00FD624F" w:rsidRDefault="00D95C4C" w:rsidP="00D95C4C">
      <w:pPr>
        <w:jc w:val="center"/>
        <w:rPr>
          <w:rFonts w:ascii="Arial" w:hAnsi="Arial" w:cs="Arial"/>
          <w:b/>
          <w:sz w:val="22"/>
          <w:szCs w:val="22"/>
          <w:lang w:val="en-GB"/>
        </w:rPr>
      </w:pPr>
      <w:r w:rsidRPr="00FD624F">
        <w:rPr>
          <w:rFonts w:ascii="Arial" w:hAnsi="Arial" w:cs="Arial"/>
          <w:b/>
          <w:sz w:val="22"/>
          <w:szCs w:val="22"/>
          <w:lang w:val="en-GB"/>
        </w:rPr>
        <w:t xml:space="preserve">UNESCO Headquarters, </w:t>
      </w:r>
      <w:r>
        <w:rPr>
          <w:rFonts w:ascii="Arial" w:hAnsi="Arial" w:cs="Arial"/>
          <w:b/>
          <w:sz w:val="22"/>
          <w:szCs w:val="22"/>
          <w:lang w:val="en-GB"/>
        </w:rPr>
        <w:t>R</w:t>
      </w:r>
      <w:r w:rsidRPr="00FD624F">
        <w:rPr>
          <w:rFonts w:ascii="Arial" w:hAnsi="Arial" w:cs="Arial"/>
          <w:b/>
          <w:sz w:val="22"/>
          <w:szCs w:val="22"/>
          <w:lang w:val="en-GB"/>
        </w:rPr>
        <w:t xml:space="preserve">oom </w:t>
      </w:r>
      <w:r w:rsidR="006F41B4" w:rsidRPr="006F41B4">
        <w:rPr>
          <w:rFonts w:ascii="Arial" w:hAnsi="Arial" w:cs="Arial"/>
          <w:b/>
          <w:sz w:val="22"/>
          <w:szCs w:val="22"/>
          <w:lang w:val="en-GB"/>
        </w:rPr>
        <w:t>I</w:t>
      </w:r>
    </w:p>
    <w:p w14:paraId="5DF30764" w14:textId="77777777" w:rsidR="00655736" w:rsidRPr="00414643" w:rsidRDefault="00710677" w:rsidP="00D95C4C">
      <w:pPr>
        <w:jc w:val="center"/>
        <w:rPr>
          <w:rFonts w:ascii="Arial" w:hAnsi="Arial" w:cs="Arial"/>
          <w:b/>
          <w:sz w:val="22"/>
          <w:szCs w:val="22"/>
          <w:lang w:val="en-GB"/>
        </w:rPr>
      </w:pPr>
      <w:r w:rsidRPr="00710677">
        <w:rPr>
          <w:rFonts w:ascii="Arial" w:hAnsi="Arial" w:cs="Arial"/>
          <w:b/>
          <w:sz w:val="22"/>
          <w:szCs w:val="22"/>
          <w:lang w:val="en-GB"/>
        </w:rPr>
        <w:t>8</w:t>
      </w:r>
      <w:r w:rsidR="00763A0D" w:rsidRPr="00710677">
        <w:rPr>
          <w:rFonts w:ascii="Arial" w:hAnsi="Arial" w:cs="Arial"/>
          <w:b/>
          <w:sz w:val="22"/>
          <w:szCs w:val="22"/>
          <w:lang w:val="en-GB"/>
        </w:rPr>
        <w:t xml:space="preserve"> to </w:t>
      </w:r>
      <w:r w:rsidRPr="00710677">
        <w:rPr>
          <w:rFonts w:ascii="Arial" w:hAnsi="Arial" w:cs="Arial"/>
          <w:b/>
          <w:sz w:val="22"/>
          <w:szCs w:val="22"/>
          <w:lang w:val="en-GB"/>
        </w:rPr>
        <w:t>10</w:t>
      </w:r>
      <w:r w:rsidR="00BF24BE" w:rsidRPr="00710677">
        <w:rPr>
          <w:rFonts w:ascii="Arial" w:hAnsi="Arial" w:cs="Arial"/>
          <w:b/>
          <w:sz w:val="22"/>
          <w:szCs w:val="22"/>
          <w:lang w:val="en-GB"/>
        </w:rPr>
        <w:t xml:space="preserve"> </w:t>
      </w:r>
      <w:r w:rsidRPr="00710677">
        <w:rPr>
          <w:rFonts w:ascii="Arial" w:hAnsi="Arial" w:cs="Arial"/>
          <w:b/>
          <w:sz w:val="22"/>
          <w:szCs w:val="22"/>
          <w:lang w:val="en-GB"/>
        </w:rPr>
        <w:t>September</w:t>
      </w:r>
      <w:r w:rsidR="006F41B4" w:rsidRPr="00710677">
        <w:rPr>
          <w:rFonts w:ascii="Arial" w:hAnsi="Arial" w:cs="Arial"/>
          <w:b/>
          <w:sz w:val="22"/>
          <w:szCs w:val="22"/>
          <w:lang w:val="en-GB"/>
        </w:rPr>
        <w:t xml:space="preserve"> 2020</w:t>
      </w:r>
    </w:p>
    <w:p w14:paraId="4F6F62AA" w14:textId="1CC1EF4B" w:rsidR="00655736" w:rsidRPr="00414643" w:rsidRDefault="00655736" w:rsidP="00655736">
      <w:pPr>
        <w:pStyle w:val="Sansinterligne2"/>
        <w:spacing w:before="1200"/>
        <w:jc w:val="center"/>
        <w:rPr>
          <w:rFonts w:ascii="Arial" w:hAnsi="Arial" w:cs="Arial"/>
          <w:b/>
          <w:sz w:val="22"/>
          <w:szCs w:val="22"/>
          <w:lang w:val="en-GB"/>
        </w:rPr>
      </w:pPr>
      <w:r w:rsidRPr="00BF24BE">
        <w:rPr>
          <w:rFonts w:ascii="Arial" w:hAnsi="Arial" w:cs="Arial"/>
          <w:b/>
          <w:sz w:val="22"/>
          <w:szCs w:val="22"/>
          <w:u w:val="single"/>
          <w:lang w:val="en-GB"/>
        </w:rPr>
        <w:t xml:space="preserve">Item </w:t>
      </w:r>
      <w:r w:rsidR="005D5440">
        <w:rPr>
          <w:rFonts w:ascii="Arial" w:hAnsi="Arial" w:cs="Arial"/>
          <w:b/>
          <w:sz w:val="22"/>
          <w:szCs w:val="22"/>
          <w:u w:val="single"/>
          <w:lang w:val="en-GB"/>
        </w:rPr>
        <w:t>11</w:t>
      </w:r>
      <w:r w:rsidRPr="00BF24BE">
        <w:rPr>
          <w:rFonts w:ascii="Arial" w:hAnsi="Arial" w:cs="Arial"/>
          <w:b/>
          <w:sz w:val="22"/>
          <w:szCs w:val="22"/>
          <w:u w:val="single"/>
          <w:lang w:val="en-GB"/>
        </w:rPr>
        <w:t xml:space="preserve"> of the Provisional Agenda</w:t>
      </w:r>
      <w:r w:rsidRPr="00783782">
        <w:rPr>
          <w:rFonts w:ascii="Arial" w:hAnsi="Arial" w:cs="Arial"/>
          <w:b/>
          <w:sz w:val="22"/>
          <w:szCs w:val="22"/>
          <w:u w:val="single"/>
          <w:lang w:val="en-GB"/>
        </w:rPr>
        <w:t>:</w:t>
      </w:r>
    </w:p>
    <w:p w14:paraId="7F28FDB4" w14:textId="31C32F9F" w:rsidR="002F312A" w:rsidRPr="00414643" w:rsidRDefault="00A048CA" w:rsidP="002F312A">
      <w:pPr>
        <w:pStyle w:val="Sansinterligne2"/>
        <w:spacing w:after="1200"/>
        <w:jc w:val="center"/>
        <w:rPr>
          <w:rFonts w:ascii="Arial" w:hAnsi="Arial" w:cs="Arial"/>
          <w:b/>
          <w:sz w:val="22"/>
          <w:szCs w:val="22"/>
          <w:lang w:val="en-GB"/>
        </w:rPr>
      </w:pPr>
      <w:r>
        <w:rPr>
          <w:rFonts w:ascii="Arial" w:hAnsi="Arial" w:cs="Arial"/>
          <w:b/>
          <w:sz w:val="22"/>
          <w:szCs w:val="22"/>
          <w:lang w:val="en-GB"/>
        </w:rPr>
        <w:t>Update on the r</w:t>
      </w:r>
      <w:r w:rsidR="00BF24BE" w:rsidRPr="00BF24BE">
        <w:rPr>
          <w:rFonts w:ascii="Arial" w:hAnsi="Arial" w:cs="Arial"/>
          <w:b/>
          <w:sz w:val="22"/>
          <w:szCs w:val="22"/>
          <w:lang w:val="en-GB"/>
        </w:rPr>
        <w:t>eflection on the listing mechanisms of the Convention</w:t>
      </w:r>
    </w:p>
    <w:tbl>
      <w:tblPr>
        <w:tblW w:w="6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3"/>
      </w:tblGrid>
      <w:tr w:rsidR="00655736" w:rsidRPr="00BF24BE" w14:paraId="1969C4C4" w14:textId="77777777" w:rsidTr="00E5543C">
        <w:trPr>
          <w:trHeight w:val="3452"/>
          <w:jc w:val="center"/>
        </w:trPr>
        <w:tc>
          <w:tcPr>
            <w:tcW w:w="6603" w:type="dxa"/>
            <w:vAlign w:val="center"/>
          </w:tcPr>
          <w:p w14:paraId="6299DC72" w14:textId="77777777" w:rsidR="0057439C" w:rsidRPr="007F414E" w:rsidRDefault="0057439C" w:rsidP="00E5543C">
            <w:pPr>
              <w:pStyle w:val="Sansinterligne1"/>
              <w:spacing w:before="200" w:after="200"/>
              <w:jc w:val="center"/>
              <w:rPr>
                <w:rFonts w:ascii="Arial" w:hAnsi="Arial" w:cs="Arial"/>
                <w:b/>
                <w:sz w:val="22"/>
                <w:szCs w:val="22"/>
                <w:lang w:val="en-GB"/>
              </w:rPr>
            </w:pPr>
            <w:r w:rsidRPr="007F414E">
              <w:rPr>
                <w:rFonts w:ascii="Arial" w:hAnsi="Arial" w:cs="Arial"/>
                <w:b/>
                <w:sz w:val="22"/>
                <w:szCs w:val="22"/>
                <w:lang w:val="en-GB"/>
              </w:rPr>
              <w:t>Summary</w:t>
            </w:r>
          </w:p>
          <w:p w14:paraId="43AAFD92" w14:textId="0564CF2F" w:rsidR="006842B2" w:rsidRPr="005D6E22" w:rsidRDefault="002E13FD" w:rsidP="0070600A">
            <w:pPr>
              <w:pStyle w:val="Sansinterligne1"/>
              <w:spacing w:before="200" w:after="200"/>
              <w:jc w:val="both"/>
              <w:rPr>
                <w:rFonts w:ascii="Arial" w:hAnsi="Arial" w:cs="Arial"/>
                <w:sz w:val="22"/>
                <w:szCs w:val="22"/>
                <w:lang w:val="en-GB"/>
              </w:rPr>
            </w:pPr>
            <w:r w:rsidRPr="005D6E22">
              <w:rPr>
                <w:rFonts w:ascii="Arial" w:hAnsi="Arial" w:cs="Arial"/>
                <w:sz w:val="22"/>
                <w:szCs w:val="22"/>
                <w:lang w:val="en-GB"/>
              </w:rPr>
              <w:t>In 2018, t</w:t>
            </w:r>
            <w:r w:rsidR="006842B2" w:rsidRPr="005D6E22">
              <w:rPr>
                <w:rFonts w:ascii="Arial" w:hAnsi="Arial" w:cs="Arial"/>
                <w:sz w:val="22"/>
                <w:szCs w:val="22"/>
                <w:lang w:val="en-GB"/>
              </w:rPr>
              <w:t xml:space="preserve">he Committee decided to launch a global reflection on the listing mechanisms of the Convention to address an increasing number of issues encountered </w:t>
            </w:r>
            <w:r w:rsidR="00FE01D0" w:rsidRPr="005D6E22">
              <w:rPr>
                <w:rFonts w:ascii="Arial" w:hAnsi="Arial" w:cs="Arial"/>
                <w:sz w:val="22"/>
                <w:szCs w:val="22"/>
                <w:lang w:val="en-GB"/>
              </w:rPr>
              <w:t xml:space="preserve">over the past decade </w:t>
            </w:r>
            <w:r w:rsidRPr="005D6E22">
              <w:rPr>
                <w:rFonts w:ascii="Arial" w:hAnsi="Arial" w:cs="Arial"/>
                <w:sz w:val="22"/>
                <w:szCs w:val="22"/>
                <w:lang w:val="en-GB"/>
              </w:rPr>
              <w:t>related to the</w:t>
            </w:r>
            <w:r w:rsidR="006842B2" w:rsidRPr="005D6E22">
              <w:rPr>
                <w:rFonts w:ascii="Arial" w:hAnsi="Arial" w:cs="Arial"/>
                <w:sz w:val="22"/>
                <w:szCs w:val="22"/>
                <w:lang w:val="en-GB"/>
              </w:rPr>
              <w:t xml:space="preserve"> inscription of elements of intangible cultural heritage </w:t>
            </w:r>
            <w:r w:rsidR="004260C3" w:rsidRPr="005D6E22">
              <w:rPr>
                <w:rFonts w:ascii="Arial" w:hAnsi="Arial" w:cs="Arial"/>
                <w:sz w:val="22"/>
                <w:szCs w:val="22"/>
                <w:lang w:val="en-GB"/>
              </w:rPr>
              <w:t>(</w:t>
            </w:r>
            <w:hyperlink r:id="rId8" w:history="1">
              <w:r w:rsidR="004260C3" w:rsidRPr="00E5543C">
                <w:rPr>
                  <w:rStyle w:val="Lienhypertexte"/>
                  <w:rFonts w:ascii="Arial" w:hAnsi="Arial" w:cs="Arial"/>
                  <w:sz w:val="22"/>
                  <w:szCs w:val="22"/>
                  <w:lang w:val="en-US"/>
                </w:rPr>
                <w:t>Decisions 13.COM</w:t>
              </w:r>
              <w:r w:rsidR="003B69FD" w:rsidRPr="00E5543C">
                <w:rPr>
                  <w:rStyle w:val="Lienhypertexte"/>
                  <w:rFonts w:ascii="Arial" w:hAnsi="Arial" w:cs="Arial"/>
                  <w:sz w:val="22"/>
                  <w:szCs w:val="22"/>
                  <w:lang w:val="en-US"/>
                </w:rPr>
                <w:t> </w:t>
              </w:r>
              <w:r w:rsidR="004260C3" w:rsidRPr="00E5543C">
                <w:rPr>
                  <w:rStyle w:val="Lienhypertexte"/>
                  <w:rFonts w:ascii="Arial" w:hAnsi="Arial" w:cs="Arial"/>
                  <w:sz w:val="22"/>
                  <w:szCs w:val="22"/>
                  <w:lang w:val="en-US"/>
                </w:rPr>
                <w:t>6</w:t>
              </w:r>
            </w:hyperlink>
            <w:r w:rsidR="004260C3" w:rsidRPr="00E5543C">
              <w:rPr>
                <w:rFonts w:ascii="Arial" w:hAnsi="Arial" w:cs="Arial"/>
                <w:sz w:val="22"/>
                <w:szCs w:val="22"/>
                <w:lang w:val="en-US"/>
              </w:rPr>
              <w:t xml:space="preserve"> and </w:t>
            </w:r>
            <w:hyperlink r:id="rId9" w:history="1">
              <w:r w:rsidR="004260C3" w:rsidRPr="00E5543C">
                <w:rPr>
                  <w:rStyle w:val="Lienhypertexte"/>
                  <w:rFonts w:ascii="Arial" w:hAnsi="Arial" w:cs="Arial"/>
                  <w:sz w:val="22"/>
                  <w:szCs w:val="22"/>
                  <w:lang w:val="en-US"/>
                </w:rPr>
                <w:t>13.COM 10</w:t>
              </w:r>
            </w:hyperlink>
            <w:r w:rsidR="004260C3" w:rsidRPr="00E5543C">
              <w:rPr>
                <w:rFonts w:ascii="Arial" w:hAnsi="Arial" w:cs="Arial"/>
                <w:sz w:val="22"/>
                <w:szCs w:val="22"/>
                <w:lang w:val="en-US"/>
              </w:rPr>
              <w:t>).</w:t>
            </w:r>
            <w:r w:rsidR="006842B2" w:rsidRPr="005D6E22">
              <w:rPr>
                <w:rFonts w:ascii="Arial" w:hAnsi="Arial" w:cs="Arial"/>
                <w:sz w:val="22"/>
                <w:szCs w:val="22"/>
                <w:lang w:val="en-GB"/>
              </w:rPr>
              <w:t xml:space="preserve"> </w:t>
            </w:r>
            <w:r w:rsidR="00873FA7">
              <w:rPr>
                <w:rFonts w:ascii="Arial" w:hAnsi="Arial" w:cs="Arial"/>
                <w:sz w:val="22"/>
                <w:szCs w:val="22"/>
                <w:lang w:val="en-GB"/>
              </w:rPr>
              <w:t>The present document provides an</w:t>
            </w:r>
            <w:r w:rsidR="006842B2" w:rsidRPr="005D6E22">
              <w:rPr>
                <w:rFonts w:ascii="Arial" w:hAnsi="Arial" w:cs="Arial"/>
                <w:sz w:val="22"/>
                <w:szCs w:val="22"/>
                <w:lang w:val="en-GB"/>
              </w:rPr>
              <w:t xml:space="preserve"> update</w:t>
            </w:r>
            <w:r w:rsidR="005D6E22">
              <w:rPr>
                <w:rFonts w:ascii="Arial" w:hAnsi="Arial" w:cs="Arial"/>
                <w:sz w:val="22"/>
                <w:szCs w:val="22"/>
                <w:lang w:val="en-GB"/>
              </w:rPr>
              <w:t xml:space="preserve"> </w:t>
            </w:r>
            <w:r w:rsidR="005D6E22" w:rsidRPr="005D6E22">
              <w:rPr>
                <w:rFonts w:ascii="Arial" w:hAnsi="Arial" w:cs="Arial"/>
                <w:sz w:val="22"/>
                <w:szCs w:val="22"/>
                <w:lang w:val="en-GB"/>
              </w:rPr>
              <w:t>on the reflection process</w:t>
            </w:r>
            <w:r w:rsidR="00C57694" w:rsidRPr="005D6E22">
              <w:rPr>
                <w:rFonts w:ascii="Arial" w:hAnsi="Arial" w:cs="Arial"/>
                <w:sz w:val="22"/>
                <w:szCs w:val="22"/>
                <w:lang w:val="en-GB"/>
              </w:rPr>
              <w:t xml:space="preserve">, as requested by the fourteenth session of the Committee </w:t>
            </w:r>
            <w:r w:rsidR="00C57694" w:rsidRPr="00E5543C">
              <w:rPr>
                <w:rFonts w:ascii="Arial" w:hAnsi="Arial" w:cs="Arial"/>
                <w:sz w:val="22"/>
                <w:szCs w:val="22"/>
                <w:lang w:val="en-US"/>
              </w:rPr>
              <w:t>(</w:t>
            </w:r>
            <w:hyperlink r:id="rId10" w:history="1">
              <w:r w:rsidR="00C57694" w:rsidRPr="00E5543C">
                <w:rPr>
                  <w:rStyle w:val="Lienhypertexte"/>
                  <w:rFonts w:ascii="Arial" w:hAnsi="Arial" w:cs="Arial"/>
                  <w:sz w:val="22"/>
                  <w:szCs w:val="22"/>
                  <w:lang w:val="en-US"/>
                </w:rPr>
                <w:t>Decision 14.COM 14</w:t>
              </w:r>
            </w:hyperlink>
            <w:r w:rsidR="00C57694" w:rsidRPr="00E5543C">
              <w:rPr>
                <w:rFonts w:ascii="Arial" w:hAnsi="Arial" w:cs="Arial"/>
                <w:sz w:val="22"/>
                <w:szCs w:val="22"/>
                <w:lang w:val="en-US"/>
              </w:rPr>
              <w:t>)</w:t>
            </w:r>
            <w:r w:rsidR="006842B2" w:rsidRPr="005D6E22">
              <w:rPr>
                <w:rFonts w:ascii="Arial" w:hAnsi="Arial" w:cs="Arial"/>
                <w:sz w:val="22"/>
                <w:szCs w:val="22"/>
                <w:lang w:val="en-GB"/>
              </w:rPr>
              <w:t xml:space="preserve">, in particular </w:t>
            </w:r>
            <w:r w:rsidR="00C225FC" w:rsidRPr="005D6E22">
              <w:rPr>
                <w:rFonts w:ascii="Arial" w:hAnsi="Arial" w:cs="Arial"/>
                <w:sz w:val="22"/>
                <w:szCs w:val="22"/>
                <w:lang w:val="en-GB"/>
              </w:rPr>
              <w:t>the plan</w:t>
            </w:r>
            <w:r w:rsidR="005D6E22">
              <w:rPr>
                <w:rFonts w:ascii="Arial" w:hAnsi="Arial" w:cs="Arial"/>
                <w:sz w:val="22"/>
                <w:szCs w:val="22"/>
                <w:lang w:val="en-GB"/>
              </w:rPr>
              <w:t>s</w:t>
            </w:r>
            <w:r w:rsidR="00C225FC" w:rsidRPr="005D6E22">
              <w:rPr>
                <w:rFonts w:ascii="Arial" w:hAnsi="Arial" w:cs="Arial"/>
                <w:sz w:val="22"/>
                <w:szCs w:val="22"/>
                <w:lang w:val="en-GB"/>
              </w:rPr>
              <w:t xml:space="preserve"> that had to be modified </w:t>
            </w:r>
            <w:r w:rsidR="005D6E22">
              <w:rPr>
                <w:rFonts w:ascii="Arial" w:hAnsi="Arial" w:cs="Arial"/>
                <w:sz w:val="22"/>
                <w:szCs w:val="22"/>
                <w:lang w:val="en-GB"/>
              </w:rPr>
              <w:t>as a result</w:t>
            </w:r>
            <w:r w:rsidR="00C225FC" w:rsidRPr="005D6E22">
              <w:rPr>
                <w:rFonts w:ascii="Arial" w:hAnsi="Arial" w:cs="Arial"/>
                <w:sz w:val="22"/>
                <w:szCs w:val="22"/>
                <w:lang w:val="en-GB"/>
              </w:rPr>
              <w:t xml:space="preserve"> of the ongoing COVID-19 pandemic.</w:t>
            </w:r>
          </w:p>
          <w:p w14:paraId="4CE8C8BC" w14:textId="253420EA" w:rsidR="00655736" w:rsidRPr="00414643" w:rsidRDefault="00FB6630" w:rsidP="00E5543C">
            <w:pPr>
              <w:pStyle w:val="Sansinterligne1"/>
              <w:spacing w:before="200" w:after="200"/>
              <w:jc w:val="both"/>
              <w:rPr>
                <w:rFonts w:ascii="Arial" w:hAnsi="Arial" w:cs="Arial"/>
                <w:b/>
                <w:sz w:val="22"/>
                <w:szCs w:val="22"/>
                <w:lang w:val="en-GB"/>
              </w:rPr>
            </w:pPr>
            <w:r>
              <w:rPr>
                <w:rFonts w:ascii="Arial" w:hAnsi="Arial" w:cs="Arial"/>
                <w:b/>
                <w:sz w:val="22"/>
                <w:szCs w:val="22"/>
                <w:lang w:val="en-GB"/>
              </w:rPr>
              <w:t>Decision</w:t>
            </w:r>
            <w:r w:rsidR="0057439C" w:rsidRPr="00414643">
              <w:rPr>
                <w:rFonts w:ascii="Arial" w:hAnsi="Arial" w:cs="Arial"/>
                <w:b/>
                <w:sz w:val="22"/>
                <w:szCs w:val="22"/>
                <w:lang w:val="en-GB"/>
              </w:rPr>
              <w:t xml:space="preserve"> required: </w:t>
            </w:r>
            <w:r w:rsidR="0057439C" w:rsidRPr="00414643">
              <w:rPr>
                <w:rFonts w:ascii="Arial" w:hAnsi="Arial" w:cs="Arial"/>
                <w:bCs/>
                <w:sz w:val="22"/>
                <w:szCs w:val="22"/>
                <w:lang w:val="en-GB"/>
              </w:rPr>
              <w:t xml:space="preserve">paragraph </w:t>
            </w:r>
            <w:r w:rsidR="00A04686">
              <w:rPr>
                <w:rFonts w:ascii="Arial" w:hAnsi="Arial" w:cs="Arial"/>
                <w:bCs/>
                <w:sz w:val="22"/>
                <w:szCs w:val="22"/>
                <w:lang w:val="en-GB"/>
              </w:rPr>
              <w:t>9</w:t>
            </w:r>
          </w:p>
        </w:tc>
      </w:tr>
    </w:tbl>
    <w:p w14:paraId="09AE5F55" w14:textId="77777777" w:rsidR="00176720" w:rsidRDefault="00655736" w:rsidP="00176720">
      <w:pPr>
        <w:pStyle w:val="GAPara"/>
        <w:numPr>
          <w:ilvl w:val="0"/>
          <w:numId w:val="0"/>
        </w:numPr>
        <w:jc w:val="both"/>
      </w:pPr>
      <w:r w:rsidRPr="00414643">
        <w:br w:type="page"/>
      </w:r>
    </w:p>
    <w:p w14:paraId="018C0857" w14:textId="77777777" w:rsidR="00916C5E" w:rsidRPr="00FC3FCB" w:rsidRDefault="00916C5E" w:rsidP="00E5543C">
      <w:pPr>
        <w:pStyle w:val="GAPara"/>
        <w:numPr>
          <w:ilvl w:val="0"/>
          <w:numId w:val="31"/>
        </w:numPr>
        <w:spacing w:before="360"/>
        <w:ind w:left="562" w:hanging="562"/>
        <w:jc w:val="both"/>
        <w:rPr>
          <w:b/>
          <w:lang w:val="en-US"/>
        </w:rPr>
      </w:pPr>
      <w:r>
        <w:rPr>
          <w:b/>
        </w:rPr>
        <w:lastRenderedPageBreak/>
        <w:t>Background</w:t>
      </w:r>
    </w:p>
    <w:p w14:paraId="74289784" w14:textId="60BA39DC" w:rsidR="00606664" w:rsidRDefault="00CC4819" w:rsidP="00BD2158">
      <w:pPr>
        <w:pStyle w:val="GAPara"/>
        <w:numPr>
          <w:ilvl w:val="0"/>
          <w:numId w:val="5"/>
        </w:numPr>
        <w:ind w:left="567" w:hanging="567"/>
        <w:jc w:val="both"/>
      </w:pPr>
      <w:r>
        <w:t>The</w:t>
      </w:r>
      <w:r w:rsidR="001428F1">
        <w:t xml:space="preserve"> listing system of the 2003 Convention became operational in 2009, with the first inscriptions on the Representative List of the Intangible Cultural Heritage of Humanity, the List of Intangible Cultural Heritage in Need of Urgent Safeguarding and the Register of selected </w:t>
      </w:r>
      <w:r w:rsidR="000A05A1">
        <w:t>program</w:t>
      </w:r>
      <w:r w:rsidR="00873FA7">
        <w:t>me</w:t>
      </w:r>
      <w:r w:rsidR="000A05A1">
        <w:t>s</w:t>
      </w:r>
      <w:r w:rsidR="001428F1">
        <w:t>, projects and activities (commonly called the Register of Good Safeguarding Practices). The system was understood to serve as a major tool to help sensitize national authorities and communities around the world to the diversity and importance of living heritage, and to the need to safeguard it, as well as to mobilize international solidarity.</w:t>
      </w:r>
      <w:r>
        <w:t xml:space="preserve"> </w:t>
      </w:r>
      <w:r w:rsidR="00A473F4">
        <w:t>Over the past</w:t>
      </w:r>
      <w:r>
        <w:t xml:space="preserve"> decade of implementation, a high number of complex and inter-related issues have been identified by various stakeholders in relation to the three mechanisms.</w:t>
      </w:r>
      <w:bookmarkStart w:id="0" w:name="_GoBack"/>
      <w:bookmarkEnd w:id="0"/>
    </w:p>
    <w:p w14:paraId="28F96A98" w14:textId="24B9F3BD" w:rsidR="009936EC" w:rsidRPr="009936EC" w:rsidRDefault="009936EC">
      <w:pPr>
        <w:pStyle w:val="GAPara"/>
        <w:numPr>
          <w:ilvl w:val="0"/>
          <w:numId w:val="5"/>
        </w:numPr>
        <w:ind w:left="567" w:hanging="567"/>
        <w:jc w:val="both"/>
        <w:rPr>
          <w:bCs/>
        </w:rPr>
      </w:pPr>
      <w:r w:rsidRPr="004A7593">
        <w:t>The n</w:t>
      </w:r>
      <w:r>
        <w:t xml:space="preserve">eed </w:t>
      </w:r>
      <w:r w:rsidRPr="004A7593">
        <w:t>f</w:t>
      </w:r>
      <w:r>
        <w:t xml:space="preserve">or an overall reflection on </w:t>
      </w:r>
      <w:r w:rsidRPr="004A7593">
        <w:t xml:space="preserve">the intent and purpose of </w:t>
      </w:r>
      <w:r>
        <w:t xml:space="preserve">the </w:t>
      </w:r>
      <w:r w:rsidRPr="004A7593">
        <w:t xml:space="preserve">listing mechanisms </w:t>
      </w:r>
      <w:r>
        <w:t>was clearly expressed by the Committee for the first time in 2017,</w:t>
      </w:r>
      <w:r w:rsidRPr="004A7593">
        <w:t xml:space="preserve"> </w:t>
      </w:r>
      <w:r>
        <w:t>when it</w:t>
      </w:r>
      <w:r w:rsidRPr="004A7593">
        <w:t xml:space="preserve"> examined a request submitted by Viet Nam</w:t>
      </w:r>
      <w:r>
        <w:t xml:space="preserve">, </w:t>
      </w:r>
      <w:r w:rsidRPr="004A7593">
        <w:t>to transfer an element from the Urgent Safeguarding List to the Representative List</w:t>
      </w:r>
      <w:r>
        <w:t xml:space="preserve"> (</w:t>
      </w:r>
      <w:hyperlink r:id="rId11" w:history="1">
        <w:r w:rsidRPr="00CE47AA">
          <w:rPr>
            <w:rStyle w:val="Lienhypertexte"/>
          </w:rPr>
          <w:t xml:space="preserve">Decision </w:t>
        </w:r>
        <w:r w:rsidRPr="00C347ED">
          <w:rPr>
            <w:rStyle w:val="Lienhypertexte"/>
            <w:lang w:val="en-US"/>
          </w:rPr>
          <w:t>12.COM 14</w:t>
        </w:r>
      </w:hyperlink>
      <w:r w:rsidRPr="00C347ED">
        <w:rPr>
          <w:lang w:val="en-US"/>
        </w:rPr>
        <w:t xml:space="preserve">). </w:t>
      </w:r>
      <w:r>
        <w:t>On that occasion, t</w:t>
      </w:r>
      <w:r w:rsidRPr="00B92B1E">
        <w:t>he Committee decided to convene an open-ended intergovernmental working group</w:t>
      </w:r>
      <w:r>
        <w:t xml:space="preserve"> </w:t>
      </w:r>
      <w:r w:rsidRPr="00B92B1E">
        <w:t>to reflect on the procedures for the removal of an element from a List and the transfer from one List to the other, on the nature and purposes of the Lists and the Register established under the Convention and on the relevance of the various criteria for each of these mechanism</w:t>
      </w:r>
      <w:r>
        <w:t>s, amongst other</w:t>
      </w:r>
      <w:r w:rsidR="00A04686">
        <w:t xml:space="preserve"> issues</w:t>
      </w:r>
      <w:r>
        <w:t>.</w:t>
      </w:r>
    </w:p>
    <w:p w14:paraId="54499FB6" w14:textId="5690A9DB" w:rsidR="00E92CAB" w:rsidRPr="00327E44" w:rsidRDefault="00F56044" w:rsidP="00BD2158">
      <w:pPr>
        <w:pStyle w:val="GAPara"/>
        <w:numPr>
          <w:ilvl w:val="0"/>
          <w:numId w:val="5"/>
        </w:numPr>
        <w:ind w:left="567" w:hanging="567"/>
        <w:jc w:val="both"/>
      </w:pPr>
      <w:r>
        <w:t xml:space="preserve">Consequently, </w:t>
      </w:r>
      <w:r w:rsidR="00A25BDE">
        <w:t>t</w:t>
      </w:r>
      <w:r w:rsidR="00A61A01">
        <w:t xml:space="preserve">he </w:t>
      </w:r>
      <w:r w:rsidR="00A140AA">
        <w:t>Committee</w:t>
      </w:r>
      <w:r w:rsidR="00A61A01">
        <w:t xml:space="preserve"> </w:t>
      </w:r>
      <w:r w:rsidR="009D3D38">
        <w:t>a</w:t>
      </w:r>
      <w:r w:rsidR="009D3D38" w:rsidRPr="009D3D38">
        <w:t xml:space="preserve">t its thirteenth session in 2018 </w:t>
      </w:r>
      <w:r w:rsidR="004C0D44">
        <w:t>launched</w:t>
      </w:r>
      <w:r w:rsidR="004C0D44" w:rsidRPr="009D3D38">
        <w:t xml:space="preserve"> </w:t>
      </w:r>
      <w:r w:rsidR="009D3D38" w:rsidRPr="009D3D38">
        <w:t xml:space="preserve">a global reflection </w:t>
      </w:r>
      <w:r w:rsidR="004C0D44">
        <w:t xml:space="preserve">on </w:t>
      </w:r>
      <w:r w:rsidR="00BD2158" w:rsidRPr="00BD2158">
        <w:t>the listing mechanisms</w:t>
      </w:r>
      <w:r w:rsidR="004C0D44">
        <w:t xml:space="preserve"> to tackle these issues,</w:t>
      </w:r>
      <w:r w:rsidR="00BD2158" w:rsidRPr="00BD2158">
        <w:t xml:space="preserve"> </w:t>
      </w:r>
      <w:r w:rsidR="009D3D38" w:rsidRPr="009D3D38">
        <w:t>support</w:t>
      </w:r>
      <w:r w:rsidR="00A56D40">
        <w:t>ed by</w:t>
      </w:r>
      <w:r w:rsidR="009D3D38" w:rsidRPr="009D3D38">
        <w:t xml:space="preserve"> the Government of Japan </w:t>
      </w:r>
      <w:r w:rsidR="009D3D38" w:rsidRPr="00327E44">
        <w:t>(</w:t>
      </w:r>
      <w:hyperlink r:id="rId12" w:history="1">
        <w:r w:rsidR="009D3D38" w:rsidRPr="00327E44">
          <w:rPr>
            <w:rStyle w:val="Lienhypertexte"/>
          </w:rPr>
          <w:t>Decisions</w:t>
        </w:r>
        <w:r w:rsidR="00BD6922" w:rsidRPr="00327E44">
          <w:rPr>
            <w:rStyle w:val="Lienhypertexte"/>
          </w:rPr>
          <w:t> 13.COM 6</w:t>
        </w:r>
      </w:hyperlink>
      <w:r w:rsidR="00BD6922" w:rsidRPr="00327E44">
        <w:t xml:space="preserve"> and </w:t>
      </w:r>
      <w:hyperlink r:id="rId13" w:history="1">
        <w:r w:rsidR="00BD6922" w:rsidRPr="00327E44">
          <w:rPr>
            <w:rStyle w:val="Lienhypertexte"/>
          </w:rPr>
          <w:t>13.COM </w:t>
        </w:r>
        <w:r w:rsidR="009D3D38" w:rsidRPr="00327E44">
          <w:rPr>
            <w:rStyle w:val="Lienhypertexte"/>
          </w:rPr>
          <w:t>10</w:t>
        </w:r>
      </w:hyperlink>
      <w:r w:rsidR="009D3D38" w:rsidRPr="00327E44">
        <w:t>).</w:t>
      </w:r>
      <w:r w:rsidR="00B75EAD" w:rsidRPr="00327E44">
        <w:t xml:space="preserve"> </w:t>
      </w:r>
      <w:r w:rsidR="00982889">
        <w:t xml:space="preserve">The following year, </w:t>
      </w:r>
      <w:r w:rsidR="00B75EAD">
        <w:t xml:space="preserve">the </w:t>
      </w:r>
      <w:r w:rsidR="00982889">
        <w:t xml:space="preserve">fourteenth session of the </w:t>
      </w:r>
      <w:r w:rsidR="00E82A24">
        <w:t xml:space="preserve">Committee </w:t>
      </w:r>
      <w:r w:rsidR="00C43C79">
        <w:t>noted</w:t>
      </w:r>
      <w:r w:rsidR="00A56D40">
        <w:t xml:space="preserve"> the </w:t>
      </w:r>
      <w:r w:rsidR="002F0ED5">
        <w:t xml:space="preserve">timeline </w:t>
      </w:r>
      <w:r w:rsidR="00DC26C2">
        <w:t>proposed by the Secretariat</w:t>
      </w:r>
      <w:r w:rsidR="00982889">
        <w:t xml:space="preserve"> for th</w:t>
      </w:r>
      <w:r w:rsidR="00A473F4">
        <w:t>is</w:t>
      </w:r>
      <w:r w:rsidR="00982889">
        <w:t xml:space="preserve"> reflection</w:t>
      </w:r>
      <w:r w:rsidR="0071273F">
        <w:t>.</w:t>
      </w:r>
      <w:r w:rsidR="004C0D44">
        <w:t xml:space="preserve"> </w:t>
      </w:r>
      <w:r w:rsidR="0071273F">
        <w:t>A</w:t>
      </w:r>
      <w:r w:rsidR="009D3D38">
        <w:t xml:space="preserve"> preliminary </w:t>
      </w:r>
      <w:r w:rsidR="00E92CAB">
        <w:t xml:space="preserve">category VI </w:t>
      </w:r>
      <w:r w:rsidR="009D3D38">
        <w:t xml:space="preserve">meeting of experts </w:t>
      </w:r>
      <w:r w:rsidR="00270179">
        <w:t>was planned for</w:t>
      </w:r>
      <w:r w:rsidR="009D3D38">
        <w:t xml:space="preserve"> the first semester of 2020</w:t>
      </w:r>
      <w:r w:rsidR="00101E64">
        <w:t xml:space="preserve">, </w:t>
      </w:r>
      <w:r w:rsidR="00982889">
        <w:t xml:space="preserve">to be followed by </w:t>
      </w:r>
      <w:r w:rsidR="00F8246E">
        <w:t xml:space="preserve">an open-ended </w:t>
      </w:r>
      <w:r w:rsidR="00270179">
        <w:t xml:space="preserve">intergovernmental </w:t>
      </w:r>
      <w:r w:rsidR="00F8246E">
        <w:t>working group</w:t>
      </w:r>
      <w:r w:rsidR="00C91275">
        <w:t xml:space="preserve"> in 2021</w:t>
      </w:r>
      <w:r w:rsidR="00270179">
        <w:t>; t</w:t>
      </w:r>
      <w:r w:rsidR="00982889">
        <w:t>he process w</w:t>
      </w:r>
      <w:r w:rsidR="00A473F4">
        <w:t>as to</w:t>
      </w:r>
      <w:r w:rsidR="00982889">
        <w:t xml:space="preserve"> </w:t>
      </w:r>
      <w:r w:rsidR="00C91275">
        <w:t xml:space="preserve">be completed </w:t>
      </w:r>
      <w:r w:rsidR="00982889">
        <w:t>by</w:t>
      </w:r>
      <w:r w:rsidR="00180834">
        <w:t xml:space="preserve"> the ninth session of the General Assembly in </w:t>
      </w:r>
      <w:r w:rsidR="00180834" w:rsidRPr="00327E44">
        <w:t>2022</w:t>
      </w:r>
      <w:r w:rsidR="004C0D44">
        <w:t xml:space="preserve"> with revisions to the Operational Directives</w:t>
      </w:r>
      <w:r w:rsidR="0044522D">
        <w:t>,</w:t>
      </w:r>
      <w:r w:rsidR="004C0D44">
        <w:t xml:space="preserve"> as necessary</w:t>
      </w:r>
      <w:r w:rsidR="009D3D38" w:rsidRPr="00327E44">
        <w:t>.</w:t>
      </w:r>
      <w:r w:rsidR="000B05AC">
        <w:t xml:space="preserve"> It was also foreseen that the Committee and the General Assembly would receive progress reports </w:t>
      </w:r>
      <w:r w:rsidR="002F7270" w:rsidRPr="00327E44">
        <w:t>between</w:t>
      </w:r>
      <w:r w:rsidR="000B05AC" w:rsidRPr="00327E44">
        <w:t xml:space="preserve"> </w:t>
      </w:r>
      <w:r w:rsidR="00982889">
        <w:t>these meetings</w:t>
      </w:r>
      <w:r w:rsidR="00504A2E">
        <w:t>.</w:t>
      </w:r>
      <w:r w:rsidR="00D344D9">
        <w:t xml:space="preserve"> </w:t>
      </w:r>
      <w:r w:rsidR="00270179">
        <w:t xml:space="preserve">Accordingly, </w:t>
      </w:r>
      <w:r w:rsidR="00C50660">
        <w:t>the fourteenth</w:t>
      </w:r>
      <w:r w:rsidR="00270179">
        <w:t xml:space="preserve"> session of t</w:t>
      </w:r>
      <w:r w:rsidR="00A56D40" w:rsidRPr="00327E44">
        <w:t xml:space="preserve">he Committee requested that the Secretariat report to the eighth session of the General Assembly on the results of the </w:t>
      </w:r>
      <w:r w:rsidR="00C43C79" w:rsidRPr="00327E44">
        <w:t xml:space="preserve">preliminary </w:t>
      </w:r>
      <w:r w:rsidR="00A56D40" w:rsidRPr="00327E44">
        <w:t>category VI meeting</w:t>
      </w:r>
      <w:r w:rsidR="00C43C79">
        <w:t xml:space="preserve"> of experts</w:t>
      </w:r>
      <w:r w:rsidR="00504A2E">
        <w:t xml:space="preserve"> </w:t>
      </w:r>
      <w:r w:rsidR="00504A2E" w:rsidRPr="00327E44">
        <w:t>(</w:t>
      </w:r>
      <w:hyperlink r:id="rId14" w:history="1">
        <w:r w:rsidR="00504A2E" w:rsidRPr="00910E3D">
          <w:rPr>
            <w:rStyle w:val="Lienhypertexte"/>
            <w:lang w:val="en-US"/>
          </w:rPr>
          <w:t>Decision 14.COM 14</w:t>
        </w:r>
      </w:hyperlink>
      <w:r w:rsidR="00504A2E" w:rsidRPr="00327E44">
        <w:t>)</w:t>
      </w:r>
      <w:r w:rsidR="00A56D40" w:rsidRPr="00327E44">
        <w:t>.</w:t>
      </w:r>
    </w:p>
    <w:p w14:paraId="2780D8C5" w14:textId="74B0D3EB" w:rsidR="006D2468" w:rsidRPr="00C513B5" w:rsidRDefault="007018C9" w:rsidP="006D2468">
      <w:pPr>
        <w:pStyle w:val="GAPara"/>
        <w:numPr>
          <w:ilvl w:val="0"/>
          <w:numId w:val="5"/>
        </w:numPr>
        <w:ind w:left="567" w:hanging="567"/>
        <w:jc w:val="both"/>
      </w:pPr>
      <w:r>
        <w:t>In parallel</w:t>
      </w:r>
      <w:r w:rsidR="00C86CA3">
        <w:t xml:space="preserve">, </w:t>
      </w:r>
      <w:r w:rsidR="0044522D">
        <w:t>a</w:t>
      </w:r>
      <w:r w:rsidR="0096220E">
        <w:t xml:space="preserve"> provisional upstream dialogue process was applied</w:t>
      </w:r>
      <w:r w:rsidR="00A473F4">
        <w:t xml:space="preserve"> in the evaluation of nominations</w:t>
      </w:r>
      <w:r w:rsidR="0096220E">
        <w:t xml:space="preserve"> for the 2019 cycle</w:t>
      </w:r>
      <w:r w:rsidR="0052172F">
        <w:t xml:space="preserve"> </w:t>
      </w:r>
      <w:r w:rsidR="0044522D">
        <w:t>as</w:t>
      </w:r>
      <w:r w:rsidR="0052172F">
        <w:t xml:space="preserve"> an intermediary step</w:t>
      </w:r>
      <w:r>
        <w:t xml:space="preserve"> on an experimental basis</w:t>
      </w:r>
      <w:r w:rsidR="002C693D">
        <w:t>.</w:t>
      </w:r>
      <w:r w:rsidR="0052172F">
        <w:t xml:space="preserve"> </w:t>
      </w:r>
      <w:r w:rsidR="0044522D">
        <w:t>This process</w:t>
      </w:r>
      <w:r w:rsidR="002C693D">
        <w:t xml:space="preserve"> </w:t>
      </w:r>
      <w:r w:rsidR="0052172F">
        <w:t>allow</w:t>
      </w:r>
      <w:r w:rsidR="0044522D">
        <w:t>s</w:t>
      </w:r>
      <w:r w:rsidR="0052172F">
        <w:t xml:space="preserve"> for dialogue between the Evaluation Body and submitting States</w:t>
      </w:r>
      <w:r w:rsidR="002C693D">
        <w:t xml:space="preserve"> to clarify minor issues identified in nomination files, through a simple question and answer process</w:t>
      </w:r>
      <w:r w:rsidR="006D2468">
        <w:t xml:space="preserve"> </w:t>
      </w:r>
      <w:r w:rsidR="006D2468">
        <w:rPr>
          <w:bCs/>
        </w:rPr>
        <w:t>(</w:t>
      </w:r>
      <w:hyperlink r:id="rId15" w:history="1">
        <w:r w:rsidR="006D2468" w:rsidRPr="00781F19">
          <w:rPr>
            <w:rStyle w:val="Lienhypertexte"/>
            <w:bCs/>
          </w:rPr>
          <w:t>Decision</w:t>
        </w:r>
        <w:r>
          <w:rPr>
            <w:rStyle w:val="Lienhypertexte"/>
            <w:bCs/>
          </w:rPr>
          <w:t> </w:t>
        </w:r>
        <w:r w:rsidR="006D2468" w:rsidRPr="00781F19">
          <w:rPr>
            <w:rStyle w:val="Lienhypertexte"/>
            <w:bCs/>
          </w:rPr>
          <w:t>13.COM</w:t>
        </w:r>
        <w:r>
          <w:rPr>
            <w:rStyle w:val="Lienhypertexte"/>
            <w:bCs/>
          </w:rPr>
          <w:t> </w:t>
        </w:r>
        <w:r w:rsidR="006D2468" w:rsidRPr="00781F19">
          <w:rPr>
            <w:rStyle w:val="Lienhypertexte"/>
            <w:bCs/>
          </w:rPr>
          <w:t>10</w:t>
        </w:r>
      </w:hyperlink>
      <w:r w:rsidR="006D2468">
        <w:rPr>
          <w:bCs/>
        </w:rPr>
        <w:t>)</w:t>
      </w:r>
      <w:r w:rsidR="0096220E">
        <w:t>. Acknowledging</w:t>
      </w:r>
      <w:r w:rsidR="0044522D">
        <w:t xml:space="preserve"> the</w:t>
      </w:r>
      <w:r w:rsidR="0096220E">
        <w:t xml:space="preserve"> </w:t>
      </w:r>
      <w:r w:rsidR="006D2468">
        <w:t xml:space="preserve">positive experience </w:t>
      </w:r>
      <w:r w:rsidR="00A473F4">
        <w:t>with the dialogue</w:t>
      </w:r>
      <w:r w:rsidR="006D2468">
        <w:t xml:space="preserve">, </w:t>
      </w:r>
      <w:r w:rsidR="00C86CA3">
        <w:t xml:space="preserve">the fourteenth session of the Committee </w:t>
      </w:r>
      <w:r w:rsidR="006D2468">
        <w:t>r</w:t>
      </w:r>
      <w:r w:rsidR="006D2468" w:rsidRPr="00C513B5">
        <w:t xml:space="preserve">ecommended that the </w:t>
      </w:r>
      <w:r w:rsidR="006D2468">
        <w:t xml:space="preserve">present session of the </w:t>
      </w:r>
      <w:r w:rsidR="006D2468" w:rsidRPr="00C513B5">
        <w:t xml:space="preserve">General Assembly revise the Operational Directives </w:t>
      </w:r>
      <w:r w:rsidR="006D2468">
        <w:t>to formalize th</w:t>
      </w:r>
      <w:r w:rsidR="0044522D">
        <w:t>e dialogue</w:t>
      </w:r>
      <w:r w:rsidR="006D2468">
        <w:t xml:space="preserve"> as an ‘early harvest’ of the global reflection process</w:t>
      </w:r>
      <w:r w:rsidR="00256C17">
        <w:t xml:space="preserve">. </w:t>
      </w:r>
      <w:r w:rsidR="00662E69">
        <w:t xml:space="preserve">Item </w:t>
      </w:r>
      <w:r w:rsidR="00C20B31">
        <w:t>1</w:t>
      </w:r>
      <w:r w:rsidR="00E81592">
        <w:t>0</w:t>
      </w:r>
      <w:r w:rsidR="00662E69">
        <w:t xml:space="preserve"> of the provisional agenda of the present session</w:t>
      </w:r>
      <w:r w:rsidR="00B13292">
        <w:t xml:space="preserve"> proposes the necessary revisions of the Operational Directives to implement the dialogue process</w:t>
      </w:r>
      <w:r w:rsidR="006D2468" w:rsidRPr="00C513B5">
        <w:t xml:space="preserve"> </w:t>
      </w:r>
      <w:r w:rsidR="006D2468">
        <w:t>(</w:t>
      </w:r>
      <w:hyperlink r:id="rId16" w:history="1">
        <w:r w:rsidR="006D2468" w:rsidRPr="00F45E58">
          <w:rPr>
            <w:rStyle w:val="Lienhypertexte"/>
          </w:rPr>
          <w:t>document</w:t>
        </w:r>
        <w:r w:rsidR="00144FF8" w:rsidRPr="00F45E58">
          <w:rPr>
            <w:rStyle w:val="Lienhypertexte"/>
          </w:rPr>
          <w:t> LHE/20/8.GA/1</w:t>
        </w:r>
        <w:r w:rsidR="00E81592" w:rsidRPr="00F45E58">
          <w:rPr>
            <w:rStyle w:val="Lienhypertexte"/>
          </w:rPr>
          <w:t>0</w:t>
        </w:r>
        <w:r w:rsidR="006D2468" w:rsidRPr="00F45E58">
          <w:rPr>
            <w:rStyle w:val="Lienhypertexte"/>
          </w:rPr>
          <w:t>)</w:t>
        </w:r>
      </w:hyperlink>
      <w:r w:rsidR="006D2468">
        <w:t>.</w:t>
      </w:r>
    </w:p>
    <w:p w14:paraId="186576D0" w14:textId="77777777" w:rsidR="00FC3FCB" w:rsidRPr="00E5543C" w:rsidRDefault="00FC3FCB" w:rsidP="00E5543C">
      <w:pPr>
        <w:pStyle w:val="GAPara"/>
        <w:numPr>
          <w:ilvl w:val="0"/>
          <w:numId w:val="31"/>
        </w:numPr>
        <w:spacing w:before="360"/>
        <w:ind w:left="562" w:hanging="562"/>
        <w:jc w:val="both"/>
        <w:rPr>
          <w:b/>
        </w:rPr>
      </w:pPr>
      <w:r>
        <w:rPr>
          <w:b/>
        </w:rPr>
        <w:t xml:space="preserve">Debates </w:t>
      </w:r>
      <w:r w:rsidR="00180834">
        <w:rPr>
          <w:b/>
        </w:rPr>
        <w:t>during the</w:t>
      </w:r>
      <w:r>
        <w:rPr>
          <w:b/>
        </w:rPr>
        <w:t xml:space="preserve"> fourteenth </w:t>
      </w:r>
      <w:r w:rsidR="00A25631">
        <w:rPr>
          <w:b/>
        </w:rPr>
        <w:t xml:space="preserve">session of the </w:t>
      </w:r>
      <w:r w:rsidRPr="00FC3FCB">
        <w:rPr>
          <w:b/>
        </w:rPr>
        <w:t>Committee</w:t>
      </w:r>
    </w:p>
    <w:p w14:paraId="078BC18A" w14:textId="4EB20740" w:rsidR="00D22120" w:rsidRPr="00A759DB" w:rsidRDefault="00FF7CF4">
      <w:pPr>
        <w:pStyle w:val="GAPara"/>
        <w:numPr>
          <w:ilvl w:val="0"/>
          <w:numId w:val="5"/>
        </w:numPr>
        <w:ind w:left="567" w:hanging="567"/>
        <w:jc w:val="both"/>
      </w:pPr>
      <w:r>
        <w:t xml:space="preserve">The issues and challenges encountered through the implementation of the listing mechanisms were presented </w:t>
      </w:r>
      <w:r w:rsidR="00E5262D" w:rsidRPr="0064453C">
        <w:t>most comprehensively</w:t>
      </w:r>
      <w:r w:rsidR="00E5262D">
        <w:t xml:space="preserve"> </w:t>
      </w:r>
      <w:r>
        <w:t xml:space="preserve">to </w:t>
      </w:r>
      <w:r w:rsidR="00D85B51" w:rsidRPr="00327E44">
        <w:t>the Committee at it</w:t>
      </w:r>
      <w:r w:rsidR="00A759DB">
        <w:t>s</w:t>
      </w:r>
      <w:r w:rsidR="00D85B51" w:rsidRPr="00327E44">
        <w:t xml:space="preserve"> fourteenth session </w:t>
      </w:r>
      <w:r w:rsidRPr="00A07D87">
        <w:t>(</w:t>
      </w:r>
      <w:hyperlink r:id="rId17" w:history="1">
        <w:r w:rsidR="005B3562" w:rsidRPr="00FC01B4">
          <w:rPr>
            <w:rStyle w:val="Lienhypertexte"/>
          </w:rPr>
          <w:t>document </w:t>
        </w:r>
        <w:r w:rsidR="00F242D4" w:rsidRPr="00FC01B4">
          <w:rPr>
            <w:rStyle w:val="Lienhypertexte"/>
          </w:rPr>
          <w:t>LHE/19/14.COM/14</w:t>
        </w:r>
      </w:hyperlink>
      <w:r w:rsidR="00D85B51" w:rsidRPr="00FC01B4">
        <w:t>)</w:t>
      </w:r>
      <w:r w:rsidR="00D85B51" w:rsidRPr="00A07D87">
        <w:t>.</w:t>
      </w:r>
      <w:r w:rsidR="00C57055" w:rsidRPr="009C0B8D">
        <w:rPr>
          <w:bCs/>
        </w:rPr>
        <w:t xml:space="preserve"> </w:t>
      </w:r>
      <w:r w:rsidR="00D22120" w:rsidRPr="000C7430">
        <w:t>When reviewing them, it quickly becomes evident that ma</w:t>
      </w:r>
      <w:r w:rsidR="00962997">
        <w:t>ny of the issues are interlinked</w:t>
      </w:r>
      <w:r w:rsidR="00D22120" w:rsidRPr="000C7430">
        <w:t xml:space="preserve"> and cannot be considered in isolation of each other. For the purpose of the reflection process at hand</w:t>
      </w:r>
      <w:r w:rsidR="00962997">
        <w:t xml:space="preserve">, nevertheless, the issues have </w:t>
      </w:r>
      <w:r w:rsidR="00D22120" w:rsidRPr="000C7430">
        <w:t>be</w:t>
      </w:r>
      <w:r w:rsidR="00962997">
        <w:t>en grouped into</w:t>
      </w:r>
      <w:r w:rsidR="00D22120" w:rsidRPr="000C7430">
        <w:t xml:space="preserve"> </w:t>
      </w:r>
      <w:r w:rsidR="00D22120">
        <w:t>four</w:t>
      </w:r>
      <w:r w:rsidR="00D22120" w:rsidRPr="000C7430">
        <w:t xml:space="preserve"> categories</w:t>
      </w:r>
      <w:r w:rsidR="00D22120" w:rsidRPr="004A190D">
        <w:t>: (A) overall approach to the listing mechanisms; (B) issues related to</w:t>
      </w:r>
      <w:r w:rsidR="00D22120">
        <w:t xml:space="preserve"> the</w:t>
      </w:r>
      <w:r w:rsidR="00D22120" w:rsidRPr="004A190D">
        <w:t xml:space="preserve"> criteria</w:t>
      </w:r>
      <w:r w:rsidR="00D22120">
        <w:t xml:space="preserve"> for inscription</w:t>
      </w:r>
      <w:r w:rsidR="00D22120" w:rsidRPr="004A190D">
        <w:t>; (C)</w:t>
      </w:r>
      <w:r w:rsidR="00D22120">
        <w:t> issues related to the follow-up of inscribed elements</w:t>
      </w:r>
      <w:r w:rsidR="00D22120" w:rsidRPr="004A190D">
        <w:t xml:space="preserve">; (D) </w:t>
      </w:r>
      <w:r w:rsidR="00D22120" w:rsidRPr="004A190D">
        <w:rPr>
          <w:lang w:val="en-US"/>
        </w:rPr>
        <w:t>methodology for the evaluation and examination of nominations</w:t>
      </w:r>
      <w:r w:rsidR="00D22120">
        <w:rPr>
          <w:lang w:val="en-US"/>
        </w:rPr>
        <w:t>.</w:t>
      </w:r>
    </w:p>
    <w:p w14:paraId="0CDA490D" w14:textId="30DA9351" w:rsidR="00180834" w:rsidRPr="00E5543C" w:rsidRDefault="00A759DB" w:rsidP="00E5543C">
      <w:pPr>
        <w:pStyle w:val="GAPara"/>
        <w:numPr>
          <w:ilvl w:val="0"/>
          <w:numId w:val="5"/>
        </w:numPr>
        <w:ind w:left="567" w:hanging="567"/>
        <w:jc w:val="both"/>
        <w:rPr>
          <w:bCs/>
        </w:rPr>
      </w:pPr>
      <w:r w:rsidRPr="00681836">
        <w:rPr>
          <w:bCs/>
        </w:rPr>
        <w:t>During the deliberations at its fourteenth session, t</w:t>
      </w:r>
      <w:r w:rsidR="001C41DF" w:rsidRPr="00681836">
        <w:rPr>
          <w:bCs/>
        </w:rPr>
        <w:t xml:space="preserve">he </w:t>
      </w:r>
      <w:r w:rsidR="00180834" w:rsidRPr="00681836">
        <w:rPr>
          <w:bCs/>
          <w:lang w:val="en-US"/>
        </w:rPr>
        <w:t xml:space="preserve">Committee </w:t>
      </w:r>
      <w:r w:rsidR="00180834" w:rsidRPr="00681836">
        <w:t>members</w:t>
      </w:r>
      <w:r w:rsidR="00180834" w:rsidRPr="00681836">
        <w:rPr>
          <w:bCs/>
          <w:lang w:val="en-US"/>
        </w:rPr>
        <w:t xml:space="preserve"> and observers </w:t>
      </w:r>
      <w:r w:rsidR="00180834" w:rsidRPr="00681836">
        <w:rPr>
          <w:bCs/>
        </w:rPr>
        <w:t xml:space="preserve">welcomed the reflection as timely, considering </w:t>
      </w:r>
      <w:r w:rsidR="004708DD" w:rsidRPr="00681836">
        <w:rPr>
          <w:bCs/>
        </w:rPr>
        <w:t>it</w:t>
      </w:r>
      <w:r w:rsidR="00180834" w:rsidRPr="00681836">
        <w:rPr>
          <w:bCs/>
        </w:rPr>
        <w:t xml:space="preserve"> </w:t>
      </w:r>
      <w:r w:rsidR="00E92CAB" w:rsidRPr="00681836">
        <w:rPr>
          <w:bCs/>
        </w:rPr>
        <w:t>as</w:t>
      </w:r>
      <w:r w:rsidR="00A25631" w:rsidRPr="00681836">
        <w:rPr>
          <w:bCs/>
        </w:rPr>
        <w:t xml:space="preserve"> an </w:t>
      </w:r>
      <w:r w:rsidR="009F080D" w:rsidRPr="0064453C">
        <w:rPr>
          <w:bCs/>
        </w:rPr>
        <w:t>un</w:t>
      </w:r>
      <w:r w:rsidRPr="0064453C">
        <w:rPr>
          <w:bCs/>
        </w:rPr>
        <w:t xml:space="preserve">avoidable </w:t>
      </w:r>
      <w:r w:rsidR="00A25631" w:rsidRPr="009F080D">
        <w:rPr>
          <w:bCs/>
        </w:rPr>
        <w:t>step</w:t>
      </w:r>
      <w:r w:rsidR="00A25631" w:rsidRPr="00681836">
        <w:rPr>
          <w:bCs/>
        </w:rPr>
        <w:t xml:space="preserve"> </w:t>
      </w:r>
      <w:r w:rsidR="00A473F4">
        <w:rPr>
          <w:bCs/>
        </w:rPr>
        <w:t>for the</w:t>
      </w:r>
      <w:r w:rsidR="00CE040C" w:rsidRPr="00681836">
        <w:rPr>
          <w:bCs/>
        </w:rPr>
        <w:t xml:space="preserve"> Convention to further develop with full </w:t>
      </w:r>
      <w:r w:rsidR="002A458C" w:rsidRPr="00681836">
        <w:rPr>
          <w:bCs/>
        </w:rPr>
        <w:t>credibility</w:t>
      </w:r>
      <w:r w:rsidR="00180834" w:rsidRPr="00681836">
        <w:rPr>
          <w:bCs/>
        </w:rPr>
        <w:t>.</w:t>
      </w:r>
      <w:r w:rsidR="00B921CB" w:rsidRPr="00681836">
        <w:rPr>
          <w:bCs/>
        </w:rPr>
        <w:t xml:space="preserve"> </w:t>
      </w:r>
      <w:r w:rsidR="008B4AF1" w:rsidRPr="0064453C">
        <w:rPr>
          <w:bCs/>
        </w:rPr>
        <w:t xml:space="preserve">The </w:t>
      </w:r>
      <w:r w:rsidR="00A473F4">
        <w:rPr>
          <w:bCs/>
        </w:rPr>
        <w:t>Committee called for</w:t>
      </w:r>
      <w:r w:rsidR="008B4AF1" w:rsidRPr="0064453C">
        <w:rPr>
          <w:bCs/>
        </w:rPr>
        <w:t xml:space="preserve"> serious reflection on the overall purposes of the lists, </w:t>
      </w:r>
      <w:r w:rsidR="008B4AF1" w:rsidRPr="0064453C">
        <w:t>regretting</w:t>
      </w:r>
      <w:r w:rsidR="008B4AF1" w:rsidRPr="0064453C">
        <w:rPr>
          <w:bCs/>
        </w:rPr>
        <w:t xml:space="preserve"> </w:t>
      </w:r>
      <w:r w:rsidR="00EB1A56" w:rsidRPr="0064453C">
        <w:rPr>
          <w:bCs/>
        </w:rPr>
        <w:t xml:space="preserve">that </w:t>
      </w:r>
      <w:r w:rsidR="00A25631" w:rsidRPr="0064453C">
        <w:rPr>
          <w:bCs/>
        </w:rPr>
        <w:t>t</w:t>
      </w:r>
      <w:r w:rsidR="00180834" w:rsidRPr="0064453C">
        <w:rPr>
          <w:bCs/>
        </w:rPr>
        <w:t xml:space="preserve">he </w:t>
      </w:r>
      <w:r w:rsidRPr="0064453C">
        <w:rPr>
          <w:bCs/>
        </w:rPr>
        <w:t xml:space="preserve">ambitious </w:t>
      </w:r>
      <w:r w:rsidR="00180834" w:rsidRPr="0064453C">
        <w:t>objectives</w:t>
      </w:r>
      <w:r w:rsidR="00180834" w:rsidRPr="0064453C">
        <w:rPr>
          <w:bCs/>
        </w:rPr>
        <w:t xml:space="preserve"> set for the listing mechanisms </w:t>
      </w:r>
      <w:r w:rsidR="00180834" w:rsidRPr="0064453C">
        <w:rPr>
          <w:bCs/>
        </w:rPr>
        <w:lastRenderedPageBreak/>
        <w:t>during the drafting of the text of the Convention</w:t>
      </w:r>
      <w:r w:rsidR="00E92CAB" w:rsidRPr="0064453C">
        <w:rPr>
          <w:bCs/>
        </w:rPr>
        <w:t xml:space="preserve"> and its Operational Directives</w:t>
      </w:r>
      <w:r w:rsidR="00180834" w:rsidRPr="0064453C">
        <w:rPr>
          <w:bCs/>
        </w:rPr>
        <w:t xml:space="preserve"> </w:t>
      </w:r>
      <w:r w:rsidR="00EB1A56" w:rsidRPr="0064453C">
        <w:rPr>
          <w:bCs/>
        </w:rPr>
        <w:t>ha</w:t>
      </w:r>
      <w:r w:rsidR="0064453C" w:rsidRPr="00E5543C">
        <w:rPr>
          <w:bCs/>
        </w:rPr>
        <w:t>d</w:t>
      </w:r>
      <w:r w:rsidR="00EB1A56" w:rsidRPr="0064453C">
        <w:rPr>
          <w:bCs/>
        </w:rPr>
        <w:t xml:space="preserve"> been </w:t>
      </w:r>
      <w:r w:rsidR="002D3001" w:rsidRPr="0064453C">
        <w:rPr>
          <w:bCs/>
        </w:rPr>
        <w:t xml:space="preserve">somewhat </w:t>
      </w:r>
      <w:r w:rsidRPr="0064453C">
        <w:rPr>
          <w:bCs/>
        </w:rPr>
        <w:t xml:space="preserve">watered down </w:t>
      </w:r>
      <w:r w:rsidR="00180834" w:rsidRPr="0064453C">
        <w:rPr>
          <w:bCs/>
        </w:rPr>
        <w:t xml:space="preserve">over the </w:t>
      </w:r>
      <w:r w:rsidR="002D3001" w:rsidRPr="0064453C">
        <w:rPr>
          <w:bCs/>
        </w:rPr>
        <w:t>years</w:t>
      </w:r>
      <w:r w:rsidR="00180834" w:rsidRPr="0064453C">
        <w:rPr>
          <w:bCs/>
        </w:rPr>
        <w:t>.</w:t>
      </w:r>
      <w:r w:rsidR="002D3001" w:rsidRPr="00D40847">
        <w:rPr>
          <w:bCs/>
        </w:rPr>
        <w:t xml:space="preserve"> </w:t>
      </w:r>
      <w:r w:rsidR="000C4299" w:rsidRPr="00D40847">
        <w:rPr>
          <w:bCs/>
        </w:rPr>
        <w:t xml:space="preserve">There </w:t>
      </w:r>
      <w:r w:rsidR="00B13292">
        <w:rPr>
          <w:bCs/>
        </w:rPr>
        <w:t>appeared to be</w:t>
      </w:r>
      <w:r w:rsidR="000C4299" w:rsidRPr="00D40847">
        <w:rPr>
          <w:bCs/>
        </w:rPr>
        <w:t xml:space="preserve"> a general </w:t>
      </w:r>
      <w:r w:rsidR="00B20052" w:rsidRPr="0071273F">
        <w:rPr>
          <w:bCs/>
        </w:rPr>
        <w:t>opinion</w:t>
      </w:r>
      <w:r w:rsidR="000C4299" w:rsidRPr="0071273F">
        <w:rPr>
          <w:bCs/>
        </w:rPr>
        <w:t xml:space="preserve"> </w:t>
      </w:r>
      <w:r w:rsidR="00B20052" w:rsidRPr="0071273F">
        <w:rPr>
          <w:bCs/>
        </w:rPr>
        <w:t xml:space="preserve">in favour of </w:t>
      </w:r>
      <w:r w:rsidR="00EB1A56" w:rsidRPr="0071273F">
        <w:rPr>
          <w:bCs/>
        </w:rPr>
        <w:t xml:space="preserve">a more inclusive, fluid and dynamic </w:t>
      </w:r>
      <w:r w:rsidR="00180834" w:rsidRPr="0071273F">
        <w:rPr>
          <w:bCs/>
        </w:rPr>
        <w:t>Representative List</w:t>
      </w:r>
      <w:r w:rsidR="00EB1A56" w:rsidRPr="00681836">
        <w:rPr>
          <w:bCs/>
        </w:rPr>
        <w:t xml:space="preserve"> </w:t>
      </w:r>
      <w:r w:rsidR="00B20052" w:rsidRPr="00D40847">
        <w:rPr>
          <w:bCs/>
        </w:rPr>
        <w:t xml:space="preserve">that </w:t>
      </w:r>
      <w:r w:rsidR="00EB1A56" w:rsidRPr="00681836">
        <w:rPr>
          <w:bCs/>
        </w:rPr>
        <w:t xml:space="preserve">would </w:t>
      </w:r>
      <w:r w:rsidR="00B20052" w:rsidRPr="00D40847">
        <w:rPr>
          <w:bCs/>
        </w:rPr>
        <w:t xml:space="preserve">in turn </w:t>
      </w:r>
      <w:r w:rsidR="00EB1A56" w:rsidRPr="00681836">
        <w:rPr>
          <w:bCs/>
        </w:rPr>
        <w:t>allow</w:t>
      </w:r>
      <w:r w:rsidR="00180834" w:rsidRPr="00681836">
        <w:rPr>
          <w:bCs/>
        </w:rPr>
        <w:t xml:space="preserve"> increased attention to be paid to the Urgent Safeguarding List and the Register of Good Safeguarding Practices.</w:t>
      </w:r>
      <w:r w:rsidR="00B20052" w:rsidRPr="00D40847">
        <w:rPr>
          <w:bCs/>
        </w:rPr>
        <w:t xml:space="preserve"> </w:t>
      </w:r>
      <w:r w:rsidR="00180834" w:rsidRPr="00681836">
        <w:rPr>
          <w:bCs/>
        </w:rPr>
        <w:t>So</w:t>
      </w:r>
      <w:r w:rsidR="00B20052" w:rsidRPr="00681836">
        <w:rPr>
          <w:bCs/>
        </w:rPr>
        <w:t>me i</w:t>
      </w:r>
      <w:r w:rsidR="00180834" w:rsidRPr="00D40847">
        <w:rPr>
          <w:bCs/>
        </w:rPr>
        <w:t xml:space="preserve">deas to encourage </w:t>
      </w:r>
      <w:r w:rsidR="00180834" w:rsidRPr="00681836">
        <w:rPr>
          <w:bCs/>
        </w:rPr>
        <w:t>better use of the Register of Good Safeguarding Practices include</w:t>
      </w:r>
      <w:r w:rsidR="00B20052" w:rsidRPr="00681836">
        <w:rPr>
          <w:bCs/>
        </w:rPr>
        <w:t>d</w:t>
      </w:r>
      <w:r w:rsidR="00180834" w:rsidRPr="00681836">
        <w:rPr>
          <w:bCs/>
        </w:rPr>
        <w:t xml:space="preserve"> link</w:t>
      </w:r>
      <w:r w:rsidR="009649C6">
        <w:rPr>
          <w:bCs/>
        </w:rPr>
        <w:t>ing it</w:t>
      </w:r>
      <w:r w:rsidR="00180834" w:rsidRPr="00681836">
        <w:rPr>
          <w:bCs/>
        </w:rPr>
        <w:t xml:space="preserve"> with the periodic reporting mechanism</w:t>
      </w:r>
      <w:r w:rsidR="00B20052" w:rsidRPr="00D40847">
        <w:rPr>
          <w:bCs/>
        </w:rPr>
        <w:t xml:space="preserve"> </w:t>
      </w:r>
      <w:r w:rsidR="00B20052" w:rsidRPr="00E5543C">
        <w:rPr>
          <w:bCs/>
        </w:rPr>
        <w:t>and</w:t>
      </w:r>
      <w:r w:rsidR="00180834" w:rsidRPr="00E5543C">
        <w:rPr>
          <w:bCs/>
        </w:rPr>
        <w:t xml:space="preserve"> us</w:t>
      </w:r>
      <w:r w:rsidR="00316C47" w:rsidRPr="00E5543C">
        <w:rPr>
          <w:bCs/>
        </w:rPr>
        <w:t>ing</w:t>
      </w:r>
      <w:r w:rsidR="00180834" w:rsidRPr="00E5543C">
        <w:rPr>
          <w:bCs/>
        </w:rPr>
        <w:t xml:space="preserve"> new technologies to</w:t>
      </w:r>
      <w:r w:rsidR="00B044BC" w:rsidRPr="00E5543C">
        <w:rPr>
          <w:bCs/>
        </w:rPr>
        <w:t xml:space="preserve"> establish direct</w:t>
      </w:r>
      <w:r w:rsidR="00180834" w:rsidRPr="00E5543C">
        <w:rPr>
          <w:bCs/>
        </w:rPr>
        <w:t xml:space="preserve"> connect</w:t>
      </w:r>
      <w:r w:rsidR="00B044BC" w:rsidRPr="00E5543C">
        <w:rPr>
          <w:bCs/>
        </w:rPr>
        <w:t>ions with</w:t>
      </w:r>
      <w:r w:rsidR="00180834" w:rsidRPr="00E5543C">
        <w:rPr>
          <w:bCs/>
        </w:rPr>
        <w:t xml:space="preserve"> communities</w:t>
      </w:r>
      <w:r w:rsidR="00B20052" w:rsidRPr="00E5543C">
        <w:rPr>
          <w:bCs/>
        </w:rPr>
        <w:t xml:space="preserve"> without </w:t>
      </w:r>
      <w:r w:rsidR="0064453C" w:rsidRPr="00E5543C">
        <w:rPr>
          <w:bCs/>
        </w:rPr>
        <w:t>requiring</w:t>
      </w:r>
      <w:r w:rsidR="00180834" w:rsidRPr="00E5543C">
        <w:rPr>
          <w:bCs/>
        </w:rPr>
        <w:t xml:space="preserve"> intervention</w:t>
      </w:r>
      <w:r w:rsidR="00A473F4">
        <w:rPr>
          <w:bCs/>
        </w:rPr>
        <w:t>s</w:t>
      </w:r>
      <w:r w:rsidR="00180834" w:rsidRPr="00E5543C">
        <w:rPr>
          <w:bCs/>
        </w:rPr>
        <w:t xml:space="preserve"> </w:t>
      </w:r>
      <w:r w:rsidR="00A473F4" w:rsidRPr="00E5543C">
        <w:rPr>
          <w:bCs/>
        </w:rPr>
        <w:t>from</w:t>
      </w:r>
      <w:r w:rsidR="00180834" w:rsidRPr="00E5543C">
        <w:rPr>
          <w:bCs/>
        </w:rPr>
        <w:t xml:space="preserve"> States</w:t>
      </w:r>
      <w:r w:rsidR="004708DD" w:rsidRPr="00E5543C">
        <w:rPr>
          <w:bCs/>
        </w:rPr>
        <w:t>.</w:t>
      </w:r>
      <w:r w:rsidR="00B20052" w:rsidRPr="00E5543C">
        <w:rPr>
          <w:bCs/>
        </w:rPr>
        <w:t xml:space="preserve"> Furthermore,</w:t>
      </w:r>
      <w:r w:rsidR="00316C47" w:rsidRPr="00E5543C">
        <w:rPr>
          <w:bCs/>
        </w:rPr>
        <w:t xml:space="preserve"> the</w:t>
      </w:r>
      <w:r w:rsidR="00B20052" w:rsidRPr="00E5543C">
        <w:rPr>
          <w:bCs/>
        </w:rPr>
        <w:t xml:space="preserve"> </w:t>
      </w:r>
      <w:r w:rsidR="00316C47" w:rsidRPr="00E5543C">
        <w:rPr>
          <w:bCs/>
        </w:rPr>
        <w:t>Committee identified the need</w:t>
      </w:r>
      <w:r w:rsidR="00B20052" w:rsidRPr="00E5543C">
        <w:rPr>
          <w:bCs/>
        </w:rPr>
        <w:t xml:space="preserve"> to enhance </w:t>
      </w:r>
      <w:r w:rsidR="00EB1A56" w:rsidRPr="00E5543C">
        <w:rPr>
          <w:bCs/>
        </w:rPr>
        <w:t>t</w:t>
      </w:r>
      <w:r w:rsidR="00180834" w:rsidRPr="00E5543C">
        <w:rPr>
          <w:bCs/>
        </w:rPr>
        <w:t>he follow-up of inscribed elements</w:t>
      </w:r>
      <w:r w:rsidR="00EB1A56" w:rsidRPr="00E5543C">
        <w:rPr>
          <w:bCs/>
        </w:rPr>
        <w:t xml:space="preserve"> with</w:t>
      </w:r>
      <w:r w:rsidR="00180834" w:rsidRPr="00E5543C">
        <w:rPr>
          <w:bCs/>
        </w:rPr>
        <w:t xml:space="preserve"> clear procedures, which should include provisions for the transfer </w:t>
      </w:r>
      <w:r w:rsidR="00B20052" w:rsidRPr="00E5543C">
        <w:rPr>
          <w:bCs/>
        </w:rPr>
        <w:t xml:space="preserve">between </w:t>
      </w:r>
      <w:r w:rsidR="00180834" w:rsidRPr="00E5543C">
        <w:rPr>
          <w:bCs/>
        </w:rPr>
        <w:t xml:space="preserve">and removal of elements from the </w:t>
      </w:r>
      <w:r w:rsidR="00B20052" w:rsidRPr="00E5543C">
        <w:rPr>
          <w:bCs/>
        </w:rPr>
        <w:t>L</w:t>
      </w:r>
      <w:r w:rsidR="00180834" w:rsidRPr="00E5543C">
        <w:rPr>
          <w:bCs/>
        </w:rPr>
        <w:t>ists.</w:t>
      </w:r>
      <w:r w:rsidR="003D4F3C" w:rsidRPr="00E5543C">
        <w:rPr>
          <w:bCs/>
        </w:rPr>
        <w:t xml:space="preserve"> </w:t>
      </w:r>
      <w:r w:rsidR="00CC76E6" w:rsidRPr="00E5543C">
        <w:rPr>
          <w:bCs/>
        </w:rPr>
        <w:t>The Committee also thought it</w:t>
      </w:r>
      <w:r w:rsidR="00316C47">
        <w:rPr>
          <w:bCs/>
        </w:rPr>
        <w:t xml:space="preserve"> would be</w:t>
      </w:r>
      <w:r w:rsidR="00CC76E6" w:rsidRPr="00E5543C">
        <w:rPr>
          <w:bCs/>
        </w:rPr>
        <w:t xml:space="preserve"> important to reflect</w:t>
      </w:r>
      <w:r w:rsidR="00316C47">
        <w:rPr>
          <w:bCs/>
        </w:rPr>
        <w:t xml:space="preserve"> on</w:t>
      </w:r>
      <w:r w:rsidR="003D4F3C" w:rsidRPr="00E5543C">
        <w:rPr>
          <w:bCs/>
        </w:rPr>
        <w:t xml:space="preserve"> whether information from outside</w:t>
      </w:r>
      <w:r w:rsidR="00A473F4">
        <w:rPr>
          <w:bCs/>
        </w:rPr>
        <w:t xml:space="preserve"> of the</w:t>
      </w:r>
      <w:r w:rsidR="003D4F3C" w:rsidRPr="00E5543C">
        <w:rPr>
          <w:bCs/>
        </w:rPr>
        <w:t xml:space="preserve"> files submitted by States should be </w:t>
      </w:r>
      <w:r w:rsidR="0064453C" w:rsidRPr="00E5543C">
        <w:rPr>
          <w:bCs/>
        </w:rPr>
        <w:t>taken into consideration as part of the</w:t>
      </w:r>
      <w:r w:rsidR="003D4F3C" w:rsidRPr="00E5543C">
        <w:rPr>
          <w:bCs/>
        </w:rPr>
        <w:t xml:space="preserve"> evaluat</w:t>
      </w:r>
      <w:r w:rsidR="0064453C" w:rsidRPr="00E5543C">
        <w:rPr>
          <w:bCs/>
        </w:rPr>
        <w:t>ion</w:t>
      </w:r>
      <w:r w:rsidR="003D4F3C" w:rsidRPr="00E5543C">
        <w:rPr>
          <w:bCs/>
        </w:rPr>
        <w:t xml:space="preserve"> and examin</w:t>
      </w:r>
      <w:r w:rsidR="0064453C" w:rsidRPr="00E5543C">
        <w:rPr>
          <w:bCs/>
        </w:rPr>
        <w:t>ation of</w:t>
      </w:r>
      <w:r w:rsidR="003D4F3C" w:rsidRPr="00E5543C">
        <w:rPr>
          <w:bCs/>
        </w:rPr>
        <w:t xml:space="preserve"> nominations.</w:t>
      </w:r>
      <w:r w:rsidR="00CC76E6" w:rsidRPr="00E5543C">
        <w:rPr>
          <w:bCs/>
        </w:rPr>
        <w:t xml:space="preserve"> Finally, </w:t>
      </w:r>
      <w:r w:rsidR="00343200" w:rsidRPr="00E5543C">
        <w:rPr>
          <w:bCs/>
        </w:rPr>
        <w:t>t</w:t>
      </w:r>
      <w:r w:rsidR="00180834" w:rsidRPr="00E5543C">
        <w:rPr>
          <w:bCs/>
        </w:rPr>
        <w:t xml:space="preserve">he reflection process </w:t>
      </w:r>
      <w:r w:rsidR="0068642D" w:rsidRPr="00E5543C">
        <w:rPr>
          <w:bCs/>
        </w:rPr>
        <w:t>was thought to offer a good</w:t>
      </w:r>
      <w:r w:rsidR="00180834" w:rsidRPr="00E5543C">
        <w:rPr>
          <w:bCs/>
        </w:rPr>
        <w:t xml:space="preserve"> opportunity to simplify </w:t>
      </w:r>
      <w:r w:rsidR="0068642D" w:rsidRPr="00E5543C">
        <w:rPr>
          <w:bCs/>
        </w:rPr>
        <w:t xml:space="preserve">the extension of </w:t>
      </w:r>
      <w:r w:rsidR="00180834" w:rsidRPr="00E5543C">
        <w:rPr>
          <w:bCs/>
        </w:rPr>
        <w:t>multinational inscriptions to include new States Parties.</w:t>
      </w:r>
    </w:p>
    <w:p w14:paraId="2D3121E9" w14:textId="77777777" w:rsidR="00FC3FCB" w:rsidRPr="00343200" w:rsidRDefault="00F060E2" w:rsidP="00E5543C">
      <w:pPr>
        <w:pStyle w:val="GAPara"/>
        <w:numPr>
          <w:ilvl w:val="0"/>
          <w:numId w:val="31"/>
        </w:numPr>
        <w:spacing w:before="360"/>
        <w:ind w:left="562" w:hanging="562"/>
        <w:jc w:val="both"/>
        <w:rPr>
          <w:b/>
        </w:rPr>
      </w:pPr>
      <w:r>
        <w:rPr>
          <w:b/>
        </w:rPr>
        <w:t>Postponement of the c</w:t>
      </w:r>
      <w:r w:rsidR="00343200" w:rsidRPr="00343200">
        <w:rPr>
          <w:b/>
        </w:rPr>
        <w:t xml:space="preserve">ategory VI </w:t>
      </w:r>
      <w:r>
        <w:rPr>
          <w:b/>
        </w:rPr>
        <w:t>experts’ meeting</w:t>
      </w:r>
      <w:r w:rsidR="00285DCC">
        <w:rPr>
          <w:b/>
        </w:rPr>
        <w:t>: alternative ways forward</w:t>
      </w:r>
    </w:p>
    <w:p w14:paraId="50EEA53C" w14:textId="3BB29102" w:rsidR="0059491F" w:rsidRPr="00A140AA" w:rsidRDefault="00343200" w:rsidP="0059491F">
      <w:pPr>
        <w:pStyle w:val="GAPara"/>
        <w:numPr>
          <w:ilvl w:val="0"/>
          <w:numId w:val="5"/>
        </w:numPr>
        <w:ind w:left="567" w:hanging="567"/>
        <w:jc w:val="both"/>
      </w:pPr>
      <w:r>
        <w:t>In</w:t>
      </w:r>
      <w:r w:rsidR="009509BF">
        <w:t xml:space="preserve"> </w:t>
      </w:r>
      <w:r w:rsidR="009509BF" w:rsidRPr="00962CD3">
        <w:rPr>
          <w:bCs/>
        </w:rPr>
        <w:t>accordance</w:t>
      </w:r>
      <w:r w:rsidR="009509BF">
        <w:t xml:space="preserve"> with the above-mentioned timetable, the Secretariat </w:t>
      </w:r>
      <w:r>
        <w:t>had initiated</w:t>
      </w:r>
      <w:r w:rsidR="009509BF">
        <w:t xml:space="preserve"> </w:t>
      </w:r>
      <w:r w:rsidR="00B70B0C">
        <w:t xml:space="preserve">the organization </w:t>
      </w:r>
      <w:r w:rsidR="00C91275">
        <w:t>of a three-day physical</w:t>
      </w:r>
      <w:r>
        <w:t xml:space="preserve"> </w:t>
      </w:r>
      <w:r w:rsidRPr="00343200">
        <w:t>category VI meeting of experts</w:t>
      </w:r>
      <w:r w:rsidR="00FC3FCB">
        <w:t xml:space="preserve"> </w:t>
      </w:r>
      <w:r w:rsidR="00AA41A2">
        <w:t xml:space="preserve">from </w:t>
      </w:r>
      <w:r w:rsidR="00B70B0C">
        <w:t xml:space="preserve">16 </w:t>
      </w:r>
      <w:r w:rsidR="00AA41A2">
        <w:t>to</w:t>
      </w:r>
      <w:r w:rsidR="00B70B0C">
        <w:t xml:space="preserve"> 18 Marc</w:t>
      </w:r>
      <w:r w:rsidR="0033635C">
        <w:t>h</w:t>
      </w:r>
      <w:r w:rsidR="003A445C">
        <w:t xml:space="preserve"> </w:t>
      </w:r>
      <w:r w:rsidR="0038232C">
        <w:t>to identify</w:t>
      </w:r>
      <w:r w:rsidR="00ED3540">
        <w:t xml:space="preserve"> the</w:t>
      </w:r>
      <w:r w:rsidR="0038232C">
        <w:t xml:space="preserve"> main issues and approaches for solving them in order to lay </w:t>
      </w:r>
      <w:r w:rsidR="00ED3540">
        <w:t>the</w:t>
      </w:r>
      <w:r w:rsidR="0038232C">
        <w:t xml:space="preserve"> ground for the meeting of an open-ended intergovernmental working group. </w:t>
      </w:r>
      <w:r w:rsidR="00A473F4">
        <w:t>As</w:t>
      </w:r>
      <w:r w:rsidR="00AE2368">
        <w:t xml:space="preserve"> a framework for the </w:t>
      </w:r>
      <w:r w:rsidR="00ED3540">
        <w:t>meeting</w:t>
      </w:r>
      <w:r w:rsidR="00C91275">
        <w:t xml:space="preserve">, </w:t>
      </w:r>
      <w:r w:rsidR="00C91275" w:rsidRPr="0091661F">
        <w:t>the</w:t>
      </w:r>
      <w:r w:rsidR="00C91275">
        <w:t xml:space="preserve"> Secretariat had commissioned two discussion papers</w:t>
      </w:r>
      <w:r w:rsidR="00C91275" w:rsidRPr="00C91275">
        <w:rPr>
          <w:lang w:val="en-US"/>
        </w:rPr>
        <w:t xml:space="preserve"> </w:t>
      </w:r>
      <w:r w:rsidR="00C91275">
        <w:rPr>
          <w:lang w:val="en-US"/>
        </w:rPr>
        <w:t>and ensured their translation</w:t>
      </w:r>
      <w:r w:rsidR="00AE2368">
        <w:t>:</w:t>
      </w:r>
      <w:r w:rsidR="00C91275">
        <w:t xml:space="preserve"> </w:t>
      </w:r>
      <w:r w:rsidR="00AE2368">
        <w:t>o</w:t>
      </w:r>
      <w:r w:rsidR="00C91275">
        <w:t>ne</w:t>
      </w:r>
      <w:r w:rsidR="00F8246E">
        <w:t xml:space="preserve"> paper</w:t>
      </w:r>
      <w:r w:rsidR="00C91275">
        <w:t xml:space="preserve"> trac</w:t>
      </w:r>
      <w:r w:rsidR="00AE2368">
        <w:t>ing</w:t>
      </w:r>
      <w:r w:rsidR="00C91275">
        <w:t xml:space="preserve"> the background of the listing mechanisms of the 2003 Convention and the other present</w:t>
      </w:r>
      <w:r w:rsidR="00AE2368">
        <w:t>ing</w:t>
      </w:r>
      <w:r w:rsidR="00C91275">
        <w:t xml:space="preserve"> </w:t>
      </w:r>
      <w:r w:rsidR="00C91275">
        <w:rPr>
          <w:lang w:val="en-US"/>
        </w:rPr>
        <w:t>perspectives of the consultative bodies, responsible for evaluating files for inscription and selection on the two lists and the Register</w:t>
      </w:r>
      <w:r w:rsidR="00C91275">
        <w:t>.</w:t>
      </w:r>
      <w:r w:rsidR="0059491F">
        <w:t xml:space="preserve"> </w:t>
      </w:r>
      <w:r w:rsidR="0059491F" w:rsidRPr="00916C5E">
        <w:t>Thirty-</w:t>
      </w:r>
      <w:r w:rsidR="0059491F" w:rsidRPr="009552BB">
        <w:rPr>
          <w:bCs/>
        </w:rPr>
        <w:t>one</w:t>
      </w:r>
      <w:r w:rsidR="0059491F" w:rsidRPr="00916C5E">
        <w:t xml:space="preserve"> experts </w:t>
      </w:r>
      <w:r w:rsidR="0059491F">
        <w:t>with diverse profile</w:t>
      </w:r>
      <w:r w:rsidR="00ED3540">
        <w:t>s</w:t>
      </w:r>
      <w:r w:rsidR="0059491F">
        <w:t xml:space="preserve"> were </w:t>
      </w:r>
      <w:r w:rsidR="0059491F" w:rsidRPr="00916C5E">
        <w:t>selected</w:t>
      </w:r>
      <w:r w:rsidR="0059491F">
        <w:t>,</w:t>
      </w:r>
      <w:r w:rsidR="0059491F" w:rsidRPr="00916C5E">
        <w:t xml:space="preserve"> respecting geographical and gender balance</w:t>
      </w:r>
      <w:r w:rsidR="0059491F">
        <w:t xml:space="preserve">; </w:t>
      </w:r>
      <w:r w:rsidR="00A473F4">
        <w:t xml:space="preserve">following </w:t>
      </w:r>
      <w:r w:rsidR="0059491F">
        <w:t>a cal</w:t>
      </w:r>
      <w:r w:rsidR="00A473F4">
        <w:t>l</w:t>
      </w:r>
      <w:r w:rsidR="0059491F">
        <w:t xml:space="preserve"> made to States Parties to identify suitable experts</w:t>
      </w:r>
      <w:r w:rsidR="0059491F" w:rsidRPr="00916C5E">
        <w:t xml:space="preserve">. </w:t>
      </w:r>
      <w:r w:rsidR="004505B4">
        <w:t>However, i</w:t>
      </w:r>
      <w:r w:rsidR="0059491F" w:rsidRPr="00A140AA">
        <w:t xml:space="preserve">n light </w:t>
      </w:r>
      <w:r w:rsidR="0059491F" w:rsidRPr="00A140AA">
        <w:rPr>
          <w:bCs/>
        </w:rPr>
        <w:t>of</w:t>
      </w:r>
      <w:r w:rsidR="0059491F" w:rsidRPr="00A140AA">
        <w:t xml:space="preserve"> the sanitary crisis caused by</w:t>
      </w:r>
      <w:r w:rsidR="00ED3540">
        <w:t xml:space="preserve"> the</w:t>
      </w:r>
      <w:r w:rsidR="0059491F" w:rsidRPr="00A140AA">
        <w:t xml:space="preserve"> COVID</w:t>
      </w:r>
      <w:r w:rsidR="0059491F">
        <w:t>-</w:t>
      </w:r>
      <w:r w:rsidR="0059491F" w:rsidRPr="00A140AA">
        <w:t xml:space="preserve">19 pandemic, the </w:t>
      </w:r>
      <w:r w:rsidR="0059491F">
        <w:t>meeting of exp</w:t>
      </w:r>
      <w:r w:rsidR="0059491F" w:rsidRPr="00A140AA">
        <w:t xml:space="preserve">erts </w:t>
      </w:r>
      <w:r w:rsidR="003A445C">
        <w:t>was</w:t>
      </w:r>
      <w:r w:rsidR="0059491F">
        <w:t xml:space="preserve"> </w:t>
      </w:r>
      <w:r w:rsidR="003A445C">
        <w:t xml:space="preserve">initially </w:t>
      </w:r>
      <w:r w:rsidR="0059491F" w:rsidRPr="00A140AA">
        <w:t>postponed to September 2020. Due to the continued uncertainty concerning travel and gathering restrictions</w:t>
      </w:r>
      <w:r w:rsidR="0059491F">
        <w:t>,</w:t>
      </w:r>
      <w:r w:rsidR="0059491F" w:rsidRPr="00A140AA">
        <w:t xml:space="preserve"> the meeting </w:t>
      </w:r>
      <w:r w:rsidR="00A473F4">
        <w:t xml:space="preserve">has been </w:t>
      </w:r>
      <w:r w:rsidR="0059491F">
        <w:t xml:space="preserve">postponed again to </w:t>
      </w:r>
      <w:r w:rsidR="00ED3540">
        <w:t>future</w:t>
      </w:r>
      <w:r w:rsidR="0059491F">
        <w:t xml:space="preserve"> dates.</w:t>
      </w:r>
    </w:p>
    <w:p w14:paraId="002B9D14" w14:textId="39669FC9" w:rsidR="009F4420" w:rsidRDefault="00285DCC" w:rsidP="00CA0A2C">
      <w:pPr>
        <w:pStyle w:val="GAPara"/>
        <w:numPr>
          <w:ilvl w:val="0"/>
          <w:numId w:val="5"/>
        </w:numPr>
        <w:ind w:left="567" w:hanging="567"/>
        <w:jc w:val="both"/>
      </w:pPr>
      <w:r>
        <w:t>In order not to further delay the process, t</w:t>
      </w:r>
      <w:r w:rsidRPr="00A140AA">
        <w:t xml:space="preserve">he </w:t>
      </w:r>
      <w:r>
        <w:t xml:space="preserve">Secretariat proposes to follow an </w:t>
      </w:r>
      <w:r w:rsidRPr="00A140AA">
        <w:t xml:space="preserve">alternative </w:t>
      </w:r>
      <w:r>
        <w:t>way forward</w:t>
      </w:r>
      <w:r w:rsidRPr="00A140AA">
        <w:t xml:space="preserve">. </w:t>
      </w:r>
      <w:r>
        <w:t>In other words, a</w:t>
      </w:r>
      <w:r w:rsidR="0069005D" w:rsidRPr="0069005D">
        <w:rPr>
          <w:lang w:val="en-US"/>
        </w:rPr>
        <w:t xml:space="preserve"> </w:t>
      </w:r>
      <w:r w:rsidR="0069005D" w:rsidRPr="00F060E2">
        <w:rPr>
          <w:lang w:val="en-US"/>
        </w:rPr>
        <w:t>two-step process</w:t>
      </w:r>
      <w:r w:rsidR="0069005D" w:rsidRPr="00F060E2">
        <w:t xml:space="preserve"> </w:t>
      </w:r>
      <w:r>
        <w:rPr>
          <w:lang w:val="en-US"/>
        </w:rPr>
        <w:t>may re</w:t>
      </w:r>
      <w:r w:rsidR="0069005D" w:rsidRPr="00F060E2">
        <w:rPr>
          <w:lang w:val="en-US"/>
        </w:rPr>
        <w:t>place the three</w:t>
      </w:r>
      <w:r w:rsidR="004505B4">
        <w:rPr>
          <w:lang w:val="en-US"/>
        </w:rPr>
        <w:t>-</w:t>
      </w:r>
      <w:r w:rsidR="0069005D" w:rsidRPr="00F060E2">
        <w:rPr>
          <w:lang w:val="en-US"/>
        </w:rPr>
        <w:t>day physical meeting</w:t>
      </w:r>
      <w:r>
        <w:rPr>
          <w:lang w:val="en-US"/>
        </w:rPr>
        <w:t xml:space="preserve"> originally planned (see </w:t>
      </w:r>
      <w:r w:rsidR="00B370A8">
        <w:t>Annex</w:t>
      </w:r>
      <w:r w:rsidR="00CC756E">
        <w:t xml:space="preserve"> </w:t>
      </w:r>
      <w:r>
        <w:t>for the timeline)</w:t>
      </w:r>
      <w:r w:rsidR="00207184">
        <w:t xml:space="preserve">. </w:t>
      </w:r>
      <w:r w:rsidR="00CB5AE6">
        <w:t xml:space="preserve">It </w:t>
      </w:r>
      <w:r w:rsidR="004505B4">
        <w:t>should</w:t>
      </w:r>
      <w:r w:rsidR="00CB5AE6">
        <w:t xml:space="preserve"> </w:t>
      </w:r>
      <w:r w:rsidR="00207184">
        <w:t>be noted that this alternative modality</w:t>
      </w:r>
      <w:r>
        <w:t xml:space="preserve"> does not hamper the overal</w:t>
      </w:r>
      <w:r w:rsidR="00CC756E">
        <w:t>l timetable for the reflection adopted by the fourteenth session of the Committee</w:t>
      </w:r>
      <w:r>
        <w:t>:</w:t>
      </w:r>
    </w:p>
    <w:p w14:paraId="2435B320" w14:textId="3CFB348F" w:rsidR="00B916D1" w:rsidRDefault="00C91275" w:rsidP="00E5543C">
      <w:pPr>
        <w:pStyle w:val="GAPara"/>
        <w:numPr>
          <w:ilvl w:val="0"/>
          <w:numId w:val="30"/>
        </w:numPr>
        <w:jc w:val="both"/>
      </w:pPr>
      <w:r>
        <w:rPr>
          <w:lang w:val="en-US"/>
        </w:rPr>
        <w:t xml:space="preserve">In </w:t>
      </w:r>
      <w:r w:rsidR="0033635C">
        <w:rPr>
          <w:lang w:val="en-US"/>
        </w:rPr>
        <w:t>November</w:t>
      </w:r>
      <w:r w:rsidR="00F060E2">
        <w:rPr>
          <w:lang w:val="en-US"/>
        </w:rPr>
        <w:t xml:space="preserve"> 202</w:t>
      </w:r>
      <w:r w:rsidR="0033635C">
        <w:rPr>
          <w:lang w:val="en-US"/>
        </w:rPr>
        <w:t>0</w:t>
      </w:r>
      <w:r w:rsidRPr="003F5DA6">
        <w:rPr>
          <w:lang w:val="en-US"/>
        </w:rPr>
        <w:t xml:space="preserve">, </w:t>
      </w:r>
      <w:r>
        <w:rPr>
          <w:lang w:val="en-US"/>
        </w:rPr>
        <w:t xml:space="preserve">the Secretariat will launch </w:t>
      </w:r>
      <w:r w:rsidR="00ED3540">
        <w:rPr>
          <w:lang w:val="en-US"/>
        </w:rPr>
        <w:t>an</w:t>
      </w:r>
      <w:r w:rsidRPr="003F5DA6">
        <w:rPr>
          <w:lang w:val="en-US"/>
        </w:rPr>
        <w:t xml:space="preserve"> electronic consultation </w:t>
      </w:r>
      <w:r w:rsidR="00B916D1">
        <w:rPr>
          <w:lang w:val="en-US"/>
        </w:rPr>
        <w:t xml:space="preserve">with the experts to seek their comments </w:t>
      </w:r>
      <w:r w:rsidRPr="00BE7A34">
        <w:t>on</w:t>
      </w:r>
      <w:r>
        <w:t xml:space="preserve"> the main </w:t>
      </w:r>
      <w:r w:rsidRPr="00961015">
        <w:t xml:space="preserve">challenges </w:t>
      </w:r>
      <w:r w:rsidR="00B916D1">
        <w:t xml:space="preserve">identified so far </w:t>
      </w:r>
      <w:r>
        <w:t xml:space="preserve">concerning the listing mechanisms </w:t>
      </w:r>
      <w:r w:rsidR="00B916D1">
        <w:t>as well as on possible approach</w:t>
      </w:r>
      <w:r w:rsidR="00A473F4">
        <w:t>es</w:t>
      </w:r>
      <w:r w:rsidR="00B916D1">
        <w:t xml:space="preserve"> for finding solutions; the experts will be asked to return the questionnaire within </w:t>
      </w:r>
      <w:r w:rsidR="0033635C">
        <w:t>two months</w:t>
      </w:r>
      <w:r w:rsidR="0004234B">
        <w:t>.</w:t>
      </w:r>
    </w:p>
    <w:p w14:paraId="6CE4F2E5" w14:textId="0C1C34C8" w:rsidR="0033635C" w:rsidRDefault="0033635C" w:rsidP="00E5543C">
      <w:pPr>
        <w:pStyle w:val="GAPara"/>
        <w:numPr>
          <w:ilvl w:val="0"/>
          <w:numId w:val="30"/>
        </w:numPr>
        <w:jc w:val="both"/>
      </w:pPr>
      <w:r>
        <w:t>The f</w:t>
      </w:r>
      <w:r w:rsidR="00A04686">
        <w:t>if</w:t>
      </w:r>
      <w:r>
        <w:t>teenth session of the Committee in December 2020 will be asked t</w:t>
      </w:r>
      <w:r w:rsidR="00C9070D">
        <w:t>o take note of the updates regarding changes to the reflection process and provide further elements to the reflection.</w:t>
      </w:r>
    </w:p>
    <w:p w14:paraId="3B25A892" w14:textId="406CEBC2" w:rsidR="00C617A5" w:rsidRDefault="00D4784E" w:rsidP="00E5543C">
      <w:pPr>
        <w:pStyle w:val="GAPara"/>
        <w:numPr>
          <w:ilvl w:val="0"/>
          <w:numId w:val="30"/>
        </w:numPr>
        <w:jc w:val="both"/>
      </w:pPr>
      <w:r>
        <w:t xml:space="preserve">In </w:t>
      </w:r>
      <w:r w:rsidR="00C9070D">
        <w:t>February/</w:t>
      </w:r>
      <w:r>
        <w:t xml:space="preserve">March 2021, the first </w:t>
      </w:r>
      <w:r w:rsidR="004429A1">
        <w:t>(</w:t>
      </w:r>
      <w:r w:rsidR="00CB5AE6">
        <w:t>online</w:t>
      </w:r>
      <w:r w:rsidR="004429A1">
        <w:t>)</w:t>
      </w:r>
      <w:r w:rsidR="00CB5AE6">
        <w:t xml:space="preserve"> </w:t>
      </w:r>
      <w:r>
        <w:t>plenary meeting will be organized w</w:t>
      </w:r>
      <w:r w:rsidRPr="0091661F">
        <w:t xml:space="preserve">ith the participation of the experts and observers to </w:t>
      </w:r>
      <w:r>
        <w:t>discuss</w:t>
      </w:r>
      <w:r w:rsidR="00A473F4">
        <w:t xml:space="preserve"> the</w:t>
      </w:r>
      <w:r w:rsidRPr="0091661F">
        <w:t xml:space="preserve"> background information</w:t>
      </w:r>
      <w:r w:rsidR="00C617A5">
        <w:t xml:space="preserve"> and</w:t>
      </w:r>
      <w:r w:rsidRPr="0091661F">
        <w:t xml:space="preserve"> two discussion papers</w:t>
      </w:r>
      <w:r w:rsidR="00C617A5">
        <w:t xml:space="preserve">, as well as </w:t>
      </w:r>
      <w:r w:rsidRPr="0091661F">
        <w:t xml:space="preserve">to </w:t>
      </w:r>
      <w:r>
        <w:t>constitute</w:t>
      </w:r>
      <w:r w:rsidRPr="0091661F">
        <w:t xml:space="preserve"> breakout groups.</w:t>
      </w:r>
    </w:p>
    <w:p w14:paraId="2EC0B804" w14:textId="30337EE1" w:rsidR="00C617A5" w:rsidRPr="003A110C" w:rsidRDefault="00C617A5" w:rsidP="00C617A5">
      <w:pPr>
        <w:pStyle w:val="GAPara"/>
        <w:numPr>
          <w:ilvl w:val="0"/>
          <w:numId w:val="30"/>
        </w:numPr>
        <w:jc w:val="both"/>
      </w:pPr>
      <w:r w:rsidRPr="003A110C">
        <w:t xml:space="preserve">Through online forums, the experts will work in their respective breakout groups to analyse the results of the survey </w:t>
      </w:r>
      <w:r w:rsidR="000E7828" w:rsidRPr="003A110C">
        <w:t>in February/March.</w:t>
      </w:r>
    </w:p>
    <w:p w14:paraId="3260362A" w14:textId="429748E4" w:rsidR="00BE19AE" w:rsidRDefault="003F58AC" w:rsidP="00E5543C">
      <w:pPr>
        <w:pStyle w:val="GAPara"/>
        <w:numPr>
          <w:ilvl w:val="0"/>
          <w:numId w:val="30"/>
        </w:numPr>
        <w:jc w:val="both"/>
      </w:pPr>
      <w:r>
        <w:t>In March 2021, the second (online) plenary meeting will be organized to take stock of the results of the above-mentioned breakout groups to formulate concrete recommendations.</w:t>
      </w:r>
    </w:p>
    <w:p w14:paraId="300AB264" w14:textId="40D433C9" w:rsidR="00C91275" w:rsidRDefault="00BE19AE" w:rsidP="00E5543C">
      <w:pPr>
        <w:pStyle w:val="GAPara"/>
        <w:numPr>
          <w:ilvl w:val="0"/>
          <w:numId w:val="30"/>
        </w:numPr>
        <w:jc w:val="both"/>
      </w:pPr>
      <w:r>
        <w:lastRenderedPageBreak/>
        <w:t>T</w:t>
      </w:r>
      <w:r w:rsidRPr="0091661F">
        <w:t>he conclusions of</w:t>
      </w:r>
      <w:r>
        <w:t xml:space="preserve"> the meeting of the experts shall be presented, in the form of a working document, to the meeting of an open</w:t>
      </w:r>
      <w:r w:rsidR="00A04686">
        <w:t>-</w:t>
      </w:r>
      <w:r>
        <w:t>ended intergovernmental working group to be held in June 2021.</w:t>
      </w:r>
    </w:p>
    <w:p w14:paraId="7DA1F2E2" w14:textId="77777777" w:rsidR="008A1ED4" w:rsidRPr="005A4A42" w:rsidRDefault="008A1ED4" w:rsidP="00CA0A2C">
      <w:pPr>
        <w:keepNext/>
        <w:numPr>
          <w:ilvl w:val="0"/>
          <w:numId w:val="5"/>
        </w:numPr>
        <w:ind w:left="567" w:hanging="567"/>
        <w:jc w:val="both"/>
        <w:rPr>
          <w:rFonts w:ascii="Arial" w:eastAsia="SimSun" w:hAnsi="Arial" w:cs="Arial"/>
          <w:sz w:val="22"/>
          <w:szCs w:val="22"/>
          <w:lang w:val="en-GB"/>
        </w:rPr>
      </w:pPr>
      <w:r w:rsidRPr="005A4A42">
        <w:rPr>
          <w:rFonts w:ascii="Arial" w:hAnsi="Arial"/>
          <w:sz w:val="22"/>
          <w:lang w:val="en-GB"/>
        </w:rPr>
        <w:t>The General Assembly may wish to adopt the following resolution:</w:t>
      </w:r>
    </w:p>
    <w:p w14:paraId="48EFB5DF" w14:textId="27D38182" w:rsidR="008A1ED4" w:rsidRDefault="00F010E0" w:rsidP="008A1ED4">
      <w:pPr>
        <w:pStyle w:val="GATitleResolution"/>
      </w:pPr>
      <w:r w:rsidRPr="00946DAB">
        <w:t>DRAFT RESOLUTION 8</w:t>
      </w:r>
      <w:r w:rsidR="008A1ED4" w:rsidRPr="00946DAB">
        <w:t xml:space="preserve">.GA </w:t>
      </w:r>
      <w:r w:rsidR="00B45DD7">
        <w:t>11</w:t>
      </w:r>
    </w:p>
    <w:p w14:paraId="2F2109E6" w14:textId="77777777" w:rsidR="008A1ED4" w:rsidRPr="005A4A42" w:rsidRDefault="008A1ED4" w:rsidP="008A1ED4">
      <w:pPr>
        <w:pStyle w:val="GAPreambulaResolution"/>
        <w:rPr>
          <w:rFonts w:eastAsia="SimSun"/>
        </w:rPr>
      </w:pPr>
      <w:r w:rsidRPr="005A4A42">
        <w:t>The General Assembly,</w:t>
      </w:r>
    </w:p>
    <w:p w14:paraId="218586E3" w14:textId="0D7A732E" w:rsidR="008A1ED4" w:rsidRPr="006E010C" w:rsidRDefault="008A1ED4" w:rsidP="00CA0A2C">
      <w:pPr>
        <w:pStyle w:val="COMParaDecision"/>
        <w:numPr>
          <w:ilvl w:val="0"/>
          <w:numId w:val="3"/>
        </w:numPr>
        <w:ind w:left="1134" w:hanging="567"/>
        <w:jc w:val="left"/>
      </w:pPr>
      <w:r w:rsidRPr="006E010C">
        <w:t>Having examined</w:t>
      </w:r>
      <w:r w:rsidRPr="006E010C">
        <w:rPr>
          <w:u w:val="none"/>
        </w:rPr>
        <w:t xml:space="preserve"> doc</w:t>
      </w:r>
      <w:r w:rsidR="00F010E0" w:rsidRPr="006E010C">
        <w:rPr>
          <w:u w:val="none"/>
        </w:rPr>
        <w:t>ument LHE/20</w:t>
      </w:r>
      <w:r w:rsidRPr="006E010C">
        <w:rPr>
          <w:u w:val="none"/>
        </w:rPr>
        <w:t>/</w:t>
      </w:r>
      <w:r w:rsidR="00F010E0" w:rsidRPr="006E010C">
        <w:rPr>
          <w:u w:val="none"/>
        </w:rPr>
        <w:t>8</w:t>
      </w:r>
      <w:r w:rsidRPr="006E010C">
        <w:rPr>
          <w:u w:val="none"/>
        </w:rPr>
        <w:t>.GA/</w:t>
      </w:r>
      <w:r w:rsidR="00B45DD7" w:rsidRPr="006E010C">
        <w:rPr>
          <w:u w:val="none"/>
        </w:rPr>
        <w:t>11</w:t>
      </w:r>
      <w:r w:rsidR="00C91275" w:rsidRPr="006E010C">
        <w:rPr>
          <w:u w:val="none"/>
        </w:rPr>
        <w:t xml:space="preserve"> as well as document </w:t>
      </w:r>
      <w:hyperlink r:id="rId18" w:history="1">
        <w:r w:rsidR="00C91275" w:rsidRPr="006E010C">
          <w:rPr>
            <w:rStyle w:val="Lienhypertexte"/>
          </w:rPr>
          <w:t>LHE/19/14.COM/14</w:t>
        </w:r>
      </w:hyperlink>
      <w:r w:rsidRPr="006E010C">
        <w:rPr>
          <w:u w:val="none"/>
        </w:rPr>
        <w:t>,</w:t>
      </w:r>
    </w:p>
    <w:p w14:paraId="1A946D23" w14:textId="76147D40" w:rsidR="008A1ED4" w:rsidRPr="000B3B9F" w:rsidRDefault="008A1ED4" w:rsidP="00CA0A2C">
      <w:pPr>
        <w:pStyle w:val="COMParaDecision"/>
        <w:numPr>
          <w:ilvl w:val="0"/>
          <w:numId w:val="3"/>
        </w:numPr>
        <w:ind w:left="1134" w:hanging="567"/>
        <w:jc w:val="left"/>
      </w:pPr>
      <w:r w:rsidRPr="001D65CB">
        <w:t>Recalling</w:t>
      </w:r>
      <w:r w:rsidR="00A30AA7" w:rsidRPr="001D65CB">
        <w:rPr>
          <w:u w:val="none"/>
        </w:rPr>
        <w:t xml:space="preserve"> Decisions </w:t>
      </w:r>
      <w:hyperlink r:id="rId19" w:history="1">
        <w:r w:rsidR="00A30AA7" w:rsidRPr="000B3B9F">
          <w:rPr>
            <w:rStyle w:val="Lienhypertexte"/>
          </w:rPr>
          <w:t>13.COM 6</w:t>
        </w:r>
      </w:hyperlink>
      <w:r w:rsidR="00A30AA7" w:rsidRPr="000B3B9F">
        <w:rPr>
          <w:u w:val="none"/>
        </w:rPr>
        <w:t xml:space="preserve">, </w:t>
      </w:r>
      <w:hyperlink r:id="rId20" w:history="1">
        <w:r w:rsidR="00A30AA7" w:rsidRPr="000B3B9F">
          <w:rPr>
            <w:rStyle w:val="Lienhypertexte"/>
          </w:rPr>
          <w:t>13.COM 10</w:t>
        </w:r>
      </w:hyperlink>
      <w:r w:rsidR="00A30AA7" w:rsidRPr="000B3B9F">
        <w:rPr>
          <w:u w:val="none"/>
        </w:rPr>
        <w:t xml:space="preserve"> and </w:t>
      </w:r>
      <w:hyperlink r:id="rId21" w:history="1">
        <w:r w:rsidR="00A30AA7" w:rsidRPr="00AC4C32">
          <w:rPr>
            <w:rStyle w:val="Lienhypertexte"/>
          </w:rPr>
          <w:t>14.COM 14</w:t>
        </w:r>
      </w:hyperlink>
      <w:r w:rsidRPr="000B3B9F">
        <w:rPr>
          <w:u w:val="none"/>
        </w:rPr>
        <w:t>,</w:t>
      </w:r>
    </w:p>
    <w:p w14:paraId="4B2B93CF" w14:textId="77777777" w:rsidR="00A30AA7" w:rsidRPr="001D65CB" w:rsidRDefault="00A30AA7" w:rsidP="00CA0A2C">
      <w:pPr>
        <w:pStyle w:val="COMParaDecision"/>
        <w:numPr>
          <w:ilvl w:val="0"/>
          <w:numId w:val="3"/>
        </w:numPr>
        <w:ind w:left="1134" w:hanging="567"/>
      </w:pPr>
      <w:r w:rsidRPr="001D65CB">
        <w:t>Reaffirms</w:t>
      </w:r>
      <w:r w:rsidRPr="001D65CB">
        <w:rPr>
          <w:u w:val="none"/>
        </w:rPr>
        <w:t xml:space="preserve"> the need for a global reflection on the listing mechanisms of the </w:t>
      </w:r>
      <w:r w:rsidR="00713BAE" w:rsidRPr="001D65CB">
        <w:rPr>
          <w:u w:val="none"/>
        </w:rPr>
        <w:t xml:space="preserve">2003 </w:t>
      </w:r>
      <w:r w:rsidRPr="001D65CB">
        <w:rPr>
          <w:u w:val="none"/>
        </w:rPr>
        <w:t>Convention;</w:t>
      </w:r>
    </w:p>
    <w:p w14:paraId="61D23999" w14:textId="093EA930" w:rsidR="00A30AA7" w:rsidRPr="001D65CB" w:rsidRDefault="00A30AA7" w:rsidP="00CA0A2C">
      <w:pPr>
        <w:pStyle w:val="COMParaDecision"/>
        <w:numPr>
          <w:ilvl w:val="0"/>
          <w:numId w:val="3"/>
        </w:numPr>
        <w:ind w:left="1134" w:hanging="567"/>
        <w:rPr>
          <w:u w:val="none"/>
        </w:rPr>
      </w:pPr>
      <w:r w:rsidRPr="001D65CB">
        <w:t>Renews its gratitude</w:t>
      </w:r>
      <w:r w:rsidRPr="001D65CB">
        <w:rPr>
          <w:u w:val="none"/>
        </w:rPr>
        <w:t xml:space="preserve"> to the </w:t>
      </w:r>
      <w:r w:rsidR="00A473F4">
        <w:rPr>
          <w:u w:val="none"/>
        </w:rPr>
        <w:t>G</w:t>
      </w:r>
      <w:r w:rsidRPr="001D65CB">
        <w:rPr>
          <w:u w:val="none"/>
        </w:rPr>
        <w:t>overnment of Japan fo</w:t>
      </w:r>
      <w:r w:rsidR="0069005D" w:rsidRPr="001D65CB">
        <w:rPr>
          <w:u w:val="none"/>
        </w:rPr>
        <w:t>r its contribution to support</w:t>
      </w:r>
      <w:r w:rsidRPr="001D65CB">
        <w:rPr>
          <w:u w:val="none"/>
        </w:rPr>
        <w:t xml:space="preserve"> the global reflection on the listing mechanisms of the</w:t>
      </w:r>
      <w:r w:rsidR="00713BAE" w:rsidRPr="001D65CB">
        <w:rPr>
          <w:u w:val="none"/>
        </w:rPr>
        <w:t xml:space="preserve"> 2003</w:t>
      </w:r>
      <w:r w:rsidRPr="001D65CB">
        <w:rPr>
          <w:u w:val="none"/>
        </w:rPr>
        <w:t xml:space="preserve"> Convention</w:t>
      </w:r>
      <w:r w:rsidR="00503A13" w:rsidRPr="00E5543C">
        <w:rPr>
          <w:u w:val="none"/>
        </w:rPr>
        <w:t>;</w:t>
      </w:r>
    </w:p>
    <w:p w14:paraId="58F894C6" w14:textId="6C667053" w:rsidR="00A30AA7" w:rsidRPr="001D65CB" w:rsidRDefault="00A30AA7" w:rsidP="00CA0A2C">
      <w:pPr>
        <w:pStyle w:val="COMParaDecision"/>
        <w:numPr>
          <w:ilvl w:val="0"/>
          <w:numId w:val="3"/>
        </w:numPr>
        <w:ind w:left="1134" w:hanging="567"/>
        <w:rPr>
          <w:u w:val="none"/>
        </w:rPr>
      </w:pPr>
      <w:r w:rsidRPr="001D65CB">
        <w:t>Takes note</w:t>
      </w:r>
      <w:r w:rsidRPr="001D65CB">
        <w:rPr>
          <w:u w:val="none"/>
        </w:rPr>
        <w:t xml:space="preserve"> of the </w:t>
      </w:r>
      <w:r w:rsidR="00BE19AE">
        <w:rPr>
          <w:u w:val="none"/>
        </w:rPr>
        <w:t>alternative</w:t>
      </w:r>
      <w:r w:rsidR="00BE19AE" w:rsidRPr="001D65CB">
        <w:rPr>
          <w:u w:val="none"/>
        </w:rPr>
        <w:t xml:space="preserve"> </w:t>
      </w:r>
      <w:r w:rsidRPr="001D65CB">
        <w:rPr>
          <w:u w:val="none"/>
        </w:rPr>
        <w:t xml:space="preserve">modality </w:t>
      </w:r>
      <w:r w:rsidR="00011962">
        <w:rPr>
          <w:u w:val="none"/>
        </w:rPr>
        <w:t>for</w:t>
      </w:r>
      <w:r w:rsidR="00011962" w:rsidRPr="001D65CB">
        <w:rPr>
          <w:u w:val="none"/>
        </w:rPr>
        <w:t xml:space="preserve"> </w:t>
      </w:r>
      <w:r w:rsidRPr="001D65CB">
        <w:rPr>
          <w:u w:val="none"/>
        </w:rPr>
        <w:t>conducting the category VI preliminary experts’ meeting</w:t>
      </w:r>
      <w:r w:rsidR="00B13292">
        <w:rPr>
          <w:u w:val="none"/>
        </w:rPr>
        <w:t xml:space="preserve"> and the intention to update the</w:t>
      </w:r>
      <w:r w:rsidR="00B13292" w:rsidRPr="001D65CB">
        <w:rPr>
          <w:u w:val="none"/>
        </w:rPr>
        <w:t xml:space="preserve"> </w:t>
      </w:r>
      <w:r w:rsidR="00B13292">
        <w:rPr>
          <w:u w:val="none"/>
        </w:rPr>
        <w:t>fifteenth</w:t>
      </w:r>
      <w:r w:rsidR="00B13292" w:rsidRPr="001D65CB">
        <w:rPr>
          <w:u w:val="none"/>
        </w:rPr>
        <w:t xml:space="preserve"> session of the Committee</w:t>
      </w:r>
      <w:r w:rsidR="00B13292">
        <w:rPr>
          <w:u w:val="none"/>
        </w:rPr>
        <w:t xml:space="preserve"> on these changes</w:t>
      </w:r>
      <w:r w:rsidRPr="001D65CB">
        <w:rPr>
          <w:u w:val="none"/>
        </w:rPr>
        <w:t>;</w:t>
      </w:r>
    </w:p>
    <w:p w14:paraId="537042E0" w14:textId="4683BE82" w:rsidR="00A30AA7" w:rsidRPr="001D65CB" w:rsidRDefault="00A30AA7" w:rsidP="00CA0A2C">
      <w:pPr>
        <w:pStyle w:val="COMParaDecision"/>
        <w:numPr>
          <w:ilvl w:val="0"/>
          <w:numId w:val="3"/>
        </w:numPr>
        <w:ind w:left="1134" w:hanging="567"/>
        <w:rPr>
          <w:u w:val="none"/>
        </w:rPr>
      </w:pPr>
      <w:r w:rsidRPr="001D65CB">
        <w:t>Further takes note</w:t>
      </w:r>
      <w:r w:rsidRPr="001D65CB">
        <w:rPr>
          <w:u w:val="none"/>
        </w:rPr>
        <w:t xml:space="preserve"> of the revised provisional timeline for the reflection on the listing mechanisms of the 2003 Convention, as contained in</w:t>
      </w:r>
      <w:r w:rsidR="00A473F4">
        <w:rPr>
          <w:u w:val="none"/>
        </w:rPr>
        <w:t xml:space="preserve"> the</w:t>
      </w:r>
      <w:r w:rsidRPr="001D65CB">
        <w:rPr>
          <w:u w:val="none"/>
        </w:rPr>
        <w:t xml:space="preserve"> Annex to this </w:t>
      </w:r>
      <w:r w:rsidR="00BE19AE">
        <w:rPr>
          <w:u w:val="none"/>
        </w:rPr>
        <w:t>Resolution</w:t>
      </w:r>
      <w:r w:rsidR="002570C3">
        <w:rPr>
          <w:u w:val="none"/>
        </w:rPr>
        <w:t>, including the open-ended</w:t>
      </w:r>
      <w:r w:rsidR="00245468">
        <w:rPr>
          <w:u w:val="none"/>
        </w:rPr>
        <w:t xml:space="preserve"> intergovernmental</w:t>
      </w:r>
      <w:r w:rsidR="002570C3">
        <w:rPr>
          <w:u w:val="none"/>
        </w:rPr>
        <w:t xml:space="preserve"> working group schedule</w:t>
      </w:r>
      <w:r w:rsidR="00371BCF">
        <w:rPr>
          <w:u w:val="none"/>
        </w:rPr>
        <w:t>d</w:t>
      </w:r>
      <w:r w:rsidR="002570C3">
        <w:rPr>
          <w:u w:val="none"/>
        </w:rPr>
        <w:t xml:space="preserve"> for June 2021</w:t>
      </w:r>
      <w:r w:rsidRPr="001D65CB">
        <w:rPr>
          <w:u w:val="none"/>
        </w:rPr>
        <w:t>;</w:t>
      </w:r>
    </w:p>
    <w:p w14:paraId="0121DB9D" w14:textId="13B0C07C" w:rsidR="001D65CB" w:rsidRPr="0044522D" w:rsidRDefault="00A30AA7" w:rsidP="00E5543C">
      <w:pPr>
        <w:pStyle w:val="COMParaDecision"/>
        <w:numPr>
          <w:ilvl w:val="0"/>
          <w:numId w:val="3"/>
        </w:numPr>
        <w:ind w:left="1134" w:hanging="567"/>
        <w:rPr>
          <w:u w:val="none"/>
        </w:rPr>
      </w:pPr>
      <w:r w:rsidRPr="001D65CB">
        <w:t>Requests</w:t>
      </w:r>
      <w:r w:rsidRPr="001D65CB">
        <w:rPr>
          <w:u w:val="none"/>
        </w:rPr>
        <w:t xml:space="preserve"> that the Secretariat report to the </w:t>
      </w:r>
      <w:r w:rsidR="00BE19AE">
        <w:rPr>
          <w:u w:val="none"/>
        </w:rPr>
        <w:t>sixteenth</w:t>
      </w:r>
      <w:r w:rsidRPr="001D65CB">
        <w:rPr>
          <w:u w:val="none"/>
        </w:rPr>
        <w:t xml:space="preserve"> session of the Committee</w:t>
      </w:r>
      <w:r w:rsidR="00503A13" w:rsidRPr="001D65CB">
        <w:rPr>
          <w:u w:val="none"/>
        </w:rPr>
        <w:t xml:space="preserve"> on the progress achieved in</w:t>
      </w:r>
      <w:r w:rsidRPr="001D65CB">
        <w:rPr>
          <w:u w:val="none"/>
        </w:rPr>
        <w:t xml:space="preserve"> the reflection </w:t>
      </w:r>
      <w:r w:rsidR="00503A13" w:rsidRPr="001D65CB">
        <w:rPr>
          <w:u w:val="none"/>
        </w:rPr>
        <w:t>process</w:t>
      </w:r>
      <w:r w:rsidR="001631A9">
        <w:rPr>
          <w:u w:val="none"/>
        </w:rPr>
        <w:t xml:space="preserve">, </w:t>
      </w:r>
      <w:r w:rsidR="00BE19AE">
        <w:rPr>
          <w:u w:val="none"/>
        </w:rPr>
        <w:t>in particular</w:t>
      </w:r>
      <w:r w:rsidR="00371BCF">
        <w:rPr>
          <w:u w:val="none"/>
        </w:rPr>
        <w:t xml:space="preserve"> on</w:t>
      </w:r>
      <w:r w:rsidRPr="001D65CB">
        <w:rPr>
          <w:u w:val="none"/>
        </w:rPr>
        <w:t xml:space="preserve"> the results of the </w:t>
      </w:r>
      <w:r w:rsidR="001631A9">
        <w:rPr>
          <w:u w:val="none"/>
        </w:rPr>
        <w:t>aforementioned</w:t>
      </w:r>
      <w:r w:rsidR="001D65CB" w:rsidRPr="001D65CB">
        <w:rPr>
          <w:u w:val="none"/>
        </w:rPr>
        <w:t xml:space="preserve"> working group.</w:t>
      </w:r>
    </w:p>
    <w:p w14:paraId="0AF2C1CC" w14:textId="30FC55C5" w:rsidR="001D65CB" w:rsidRPr="00E5543C" w:rsidRDefault="003B0668" w:rsidP="00713BAE">
      <w:pPr>
        <w:pStyle w:val="GAParaResolution"/>
        <w:pageBreakBefore/>
        <w:numPr>
          <w:ilvl w:val="0"/>
          <w:numId w:val="0"/>
        </w:numPr>
        <w:ind w:left="924"/>
        <w:jc w:val="center"/>
        <w:rPr>
          <w:rFonts w:eastAsia="Times New Roman"/>
          <w:b/>
          <w:u w:val="none"/>
        </w:rPr>
      </w:pPr>
      <w:r w:rsidRPr="00E5543C">
        <w:rPr>
          <w:b/>
        </w:rPr>
        <w:lastRenderedPageBreak/>
        <w:t>Annex</w:t>
      </w:r>
    </w:p>
    <w:p w14:paraId="1E016596" w14:textId="545CAEBC" w:rsidR="001D65CB" w:rsidRDefault="001D65CB" w:rsidP="001D65CB">
      <w:pPr>
        <w:tabs>
          <w:tab w:val="center" w:pos="4819"/>
          <w:tab w:val="left" w:pos="8775"/>
        </w:tabs>
        <w:spacing w:before="120" w:after="240"/>
        <w:jc w:val="center"/>
        <w:rPr>
          <w:rFonts w:ascii="Arial" w:hAnsi="Arial" w:cs="Arial"/>
          <w:b/>
          <w:sz w:val="22"/>
          <w:szCs w:val="22"/>
          <w:lang w:val="en-GB"/>
        </w:rPr>
      </w:pPr>
      <w:r>
        <w:rPr>
          <w:rFonts w:ascii="Arial" w:hAnsi="Arial" w:cs="Arial"/>
          <w:b/>
          <w:sz w:val="22"/>
          <w:szCs w:val="22"/>
          <w:lang w:val="en-GB"/>
        </w:rPr>
        <w:t>T</w:t>
      </w:r>
      <w:r w:rsidRPr="005B2E26">
        <w:rPr>
          <w:rFonts w:ascii="Arial" w:hAnsi="Arial" w:cs="Arial"/>
          <w:b/>
          <w:sz w:val="22"/>
          <w:szCs w:val="22"/>
          <w:lang w:val="en-GB"/>
        </w:rPr>
        <w:t>ime</w:t>
      </w:r>
      <w:r>
        <w:rPr>
          <w:rFonts w:ascii="Arial" w:hAnsi="Arial" w:cs="Arial"/>
          <w:b/>
          <w:sz w:val="22"/>
          <w:szCs w:val="22"/>
          <w:lang w:val="en-GB"/>
        </w:rPr>
        <w:t>line</w:t>
      </w:r>
      <w:r w:rsidRPr="005B2E26">
        <w:rPr>
          <w:rFonts w:ascii="Arial" w:hAnsi="Arial" w:cs="Arial"/>
          <w:b/>
          <w:sz w:val="22"/>
          <w:szCs w:val="22"/>
          <w:lang w:val="en-GB"/>
        </w:rPr>
        <w:t xml:space="preserve"> </w:t>
      </w:r>
      <w:r w:rsidR="00632341">
        <w:rPr>
          <w:rFonts w:ascii="Arial" w:hAnsi="Arial" w:cs="Arial"/>
          <w:b/>
          <w:sz w:val="22"/>
          <w:szCs w:val="22"/>
          <w:lang w:val="en-GB"/>
        </w:rPr>
        <w:t>for the reflection on</w:t>
      </w:r>
      <w:r w:rsidRPr="00D05134">
        <w:rPr>
          <w:rFonts w:ascii="Arial" w:hAnsi="Arial" w:cs="Arial"/>
          <w:b/>
          <w:sz w:val="22"/>
          <w:szCs w:val="22"/>
          <w:lang w:val="en-GB"/>
        </w:rPr>
        <w:t xml:space="preserve"> listing mechanisms under the 2003 Convention for the Safeguarding of the Intangible Cultural Heritage</w:t>
      </w:r>
    </w:p>
    <w:tbl>
      <w:tblPr>
        <w:tblW w:w="9639" w:type="dxa"/>
        <w:jc w:val="center"/>
        <w:tblLook w:val="04A0" w:firstRow="1" w:lastRow="0" w:firstColumn="1" w:lastColumn="0" w:noHBand="0" w:noVBand="1"/>
      </w:tblPr>
      <w:tblGrid>
        <w:gridCol w:w="2969"/>
        <w:gridCol w:w="6670"/>
      </w:tblGrid>
      <w:tr w:rsidR="00060166" w:rsidRPr="006E010C" w14:paraId="64604AA6" w14:textId="77777777" w:rsidTr="000E7828">
        <w:trPr>
          <w:cantSplit/>
          <w:jc w:val="center"/>
        </w:trPr>
        <w:tc>
          <w:tcPr>
            <w:tcW w:w="1540" w:type="pct"/>
          </w:tcPr>
          <w:p w14:paraId="556ED563" w14:textId="589FD741" w:rsidR="00060166" w:rsidDel="00B13292" w:rsidRDefault="00060166" w:rsidP="00060166">
            <w:pPr>
              <w:spacing w:before="120" w:after="120"/>
              <w:jc w:val="center"/>
              <w:rPr>
                <w:rFonts w:ascii="Arial" w:hAnsi="Arial" w:cs="Arial"/>
                <w:sz w:val="22"/>
                <w:szCs w:val="22"/>
                <w:lang w:val="en-GB"/>
              </w:rPr>
            </w:pPr>
            <w:r>
              <w:rPr>
                <w:rFonts w:ascii="Arial" w:hAnsi="Arial" w:cs="Arial"/>
                <w:sz w:val="22"/>
                <w:szCs w:val="22"/>
                <w:lang w:val="en-GB"/>
              </w:rPr>
              <w:t>November 2020</w:t>
            </w:r>
          </w:p>
        </w:tc>
        <w:tc>
          <w:tcPr>
            <w:tcW w:w="3460" w:type="pct"/>
          </w:tcPr>
          <w:p w14:paraId="17FD1D78" w14:textId="1422ADA7" w:rsidR="00060166" w:rsidRPr="00060166" w:rsidRDefault="00060166" w:rsidP="003B0668">
            <w:pPr>
              <w:spacing w:before="120" w:after="120"/>
              <w:rPr>
                <w:rFonts w:ascii="Arial" w:hAnsi="Arial" w:cs="Arial"/>
                <w:sz w:val="22"/>
                <w:szCs w:val="22"/>
                <w:lang w:val="en-US"/>
              </w:rPr>
            </w:pPr>
            <w:r w:rsidRPr="00D63DC7">
              <w:rPr>
                <w:rFonts w:ascii="Arial" w:hAnsi="Arial" w:cs="Arial"/>
                <w:sz w:val="22"/>
                <w:szCs w:val="22"/>
                <w:lang w:val="en-US"/>
              </w:rPr>
              <w:t>Launch of the online survey</w:t>
            </w:r>
          </w:p>
        </w:tc>
      </w:tr>
      <w:tr w:rsidR="001D65CB" w:rsidRPr="006E010C" w14:paraId="6E005EE4" w14:textId="77777777" w:rsidTr="0029747F">
        <w:trPr>
          <w:cantSplit/>
          <w:jc w:val="center"/>
        </w:trPr>
        <w:tc>
          <w:tcPr>
            <w:tcW w:w="1540" w:type="pct"/>
          </w:tcPr>
          <w:p w14:paraId="36A2EC7E" w14:textId="3F6AB831" w:rsidR="001D65CB" w:rsidRPr="00555100" w:rsidDel="00631872" w:rsidRDefault="001D65CB" w:rsidP="003B0668">
            <w:pPr>
              <w:spacing w:before="120" w:after="120"/>
              <w:jc w:val="center"/>
              <w:rPr>
                <w:rFonts w:ascii="Arial" w:hAnsi="Arial" w:cs="Arial"/>
                <w:sz w:val="22"/>
                <w:szCs w:val="22"/>
                <w:lang w:val="en-GB"/>
              </w:rPr>
            </w:pPr>
            <w:r w:rsidRPr="00555100">
              <w:rPr>
                <w:rFonts w:ascii="Arial" w:hAnsi="Arial" w:cs="Arial"/>
                <w:b/>
                <w:sz w:val="22"/>
                <w:szCs w:val="22"/>
                <w:lang w:val="en-GB"/>
              </w:rPr>
              <w:t>14 to 19 December 2020</w:t>
            </w:r>
          </w:p>
        </w:tc>
        <w:tc>
          <w:tcPr>
            <w:tcW w:w="3460" w:type="pct"/>
          </w:tcPr>
          <w:p w14:paraId="23577A6D" w14:textId="30242006" w:rsidR="001D65CB" w:rsidRPr="00555100" w:rsidRDefault="001D65CB" w:rsidP="003B0668">
            <w:pPr>
              <w:spacing w:before="120" w:after="120"/>
              <w:rPr>
                <w:rFonts w:ascii="Arial" w:hAnsi="Arial" w:cs="Arial"/>
                <w:sz w:val="22"/>
                <w:szCs w:val="22"/>
                <w:lang w:val="en-GB"/>
              </w:rPr>
            </w:pPr>
            <w:r w:rsidRPr="00555100">
              <w:rPr>
                <w:rFonts w:ascii="Arial" w:hAnsi="Arial" w:cs="Arial"/>
                <w:b/>
                <w:sz w:val="22"/>
                <w:szCs w:val="22"/>
                <w:lang w:val="en-US"/>
              </w:rPr>
              <w:t>Fifteenth session of the Intergovernmental Committee</w:t>
            </w:r>
          </w:p>
        </w:tc>
      </w:tr>
      <w:tr w:rsidR="00555100" w:rsidRPr="006E010C" w14:paraId="347D7C59" w14:textId="77777777" w:rsidTr="0029747F">
        <w:trPr>
          <w:cantSplit/>
          <w:jc w:val="center"/>
        </w:trPr>
        <w:tc>
          <w:tcPr>
            <w:tcW w:w="1540" w:type="pct"/>
          </w:tcPr>
          <w:p w14:paraId="07749FEC" w14:textId="288CE4D9" w:rsidR="00555100" w:rsidRPr="00555100" w:rsidRDefault="001307D8" w:rsidP="003B0668">
            <w:pPr>
              <w:spacing w:before="120" w:after="120"/>
              <w:jc w:val="center"/>
              <w:rPr>
                <w:rFonts w:ascii="Arial" w:hAnsi="Arial" w:cs="Arial"/>
                <w:sz w:val="22"/>
                <w:szCs w:val="22"/>
                <w:lang w:val="en-GB"/>
              </w:rPr>
            </w:pPr>
            <w:r>
              <w:rPr>
                <w:rFonts w:ascii="Arial" w:hAnsi="Arial" w:cs="Arial"/>
                <w:sz w:val="22"/>
                <w:szCs w:val="22"/>
                <w:lang w:val="en-GB"/>
              </w:rPr>
              <w:t>January 2</w:t>
            </w:r>
            <w:r w:rsidR="00555100" w:rsidRPr="00555100">
              <w:rPr>
                <w:rFonts w:ascii="Arial" w:hAnsi="Arial" w:cs="Arial"/>
                <w:sz w:val="22"/>
                <w:szCs w:val="22"/>
                <w:lang w:val="en-GB"/>
              </w:rPr>
              <w:t>021</w:t>
            </w:r>
          </w:p>
        </w:tc>
        <w:tc>
          <w:tcPr>
            <w:tcW w:w="3460" w:type="pct"/>
          </w:tcPr>
          <w:p w14:paraId="2027DE07" w14:textId="0B03BD4C" w:rsidR="00555100" w:rsidRPr="00555100" w:rsidRDefault="00A473F4" w:rsidP="003B0668">
            <w:pPr>
              <w:spacing w:before="120" w:after="120"/>
              <w:rPr>
                <w:rFonts w:ascii="Arial" w:eastAsia="SimSun" w:hAnsi="Arial" w:cs="Arial"/>
                <w:sz w:val="22"/>
                <w:szCs w:val="22"/>
                <w:lang w:val="en-GB" w:eastAsia="zh-CN"/>
              </w:rPr>
            </w:pPr>
            <w:r>
              <w:rPr>
                <w:rFonts w:ascii="Arial" w:eastAsia="SimSun" w:hAnsi="Arial" w:cs="Arial"/>
                <w:sz w:val="22"/>
                <w:szCs w:val="22"/>
                <w:lang w:val="en-GB" w:eastAsia="zh-CN"/>
              </w:rPr>
              <w:t>D</w:t>
            </w:r>
            <w:r w:rsidR="00555100" w:rsidRPr="00555100">
              <w:rPr>
                <w:rFonts w:ascii="Arial" w:hAnsi="Arial" w:cs="Arial"/>
                <w:sz w:val="22"/>
                <w:szCs w:val="22"/>
                <w:lang w:val="en-GB"/>
              </w:rPr>
              <w:t xml:space="preserve">eadline for </w:t>
            </w:r>
            <w:r w:rsidR="00ED3540">
              <w:rPr>
                <w:rFonts w:ascii="Arial" w:hAnsi="Arial" w:cs="Arial"/>
                <w:sz w:val="22"/>
                <w:szCs w:val="22"/>
                <w:lang w:val="en-GB"/>
              </w:rPr>
              <w:t>e</w:t>
            </w:r>
            <w:r w:rsidR="00555100" w:rsidRPr="00555100">
              <w:rPr>
                <w:rFonts w:ascii="Arial" w:hAnsi="Arial" w:cs="Arial"/>
                <w:sz w:val="22"/>
                <w:szCs w:val="22"/>
                <w:lang w:val="en-GB"/>
              </w:rPr>
              <w:t xml:space="preserve">xperts </w:t>
            </w:r>
            <w:r w:rsidR="00555100" w:rsidRPr="00555100">
              <w:rPr>
                <w:rFonts w:ascii="Arial" w:eastAsia="SimSun" w:hAnsi="Arial" w:cs="Arial"/>
                <w:sz w:val="22"/>
                <w:szCs w:val="22"/>
                <w:lang w:val="en-GB" w:eastAsia="zh-CN"/>
              </w:rPr>
              <w:t>to complete the survey</w:t>
            </w:r>
          </w:p>
        </w:tc>
      </w:tr>
      <w:tr w:rsidR="001D65CB" w:rsidRPr="006E010C" w14:paraId="7D487E1E" w14:textId="77777777" w:rsidTr="0029747F">
        <w:trPr>
          <w:cantSplit/>
          <w:jc w:val="center"/>
        </w:trPr>
        <w:tc>
          <w:tcPr>
            <w:tcW w:w="1540" w:type="pct"/>
          </w:tcPr>
          <w:p w14:paraId="4D1838F3" w14:textId="7CB25E8F" w:rsidR="001D65CB" w:rsidRPr="00555100" w:rsidRDefault="007D6313" w:rsidP="003B0668">
            <w:pPr>
              <w:spacing w:before="120" w:after="120"/>
              <w:jc w:val="center"/>
              <w:rPr>
                <w:rFonts w:ascii="Arial" w:hAnsi="Arial" w:cs="Arial"/>
                <w:sz w:val="22"/>
                <w:szCs w:val="22"/>
                <w:lang w:val="en-GB"/>
              </w:rPr>
            </w:pPr>
            <w:r>
              <w:rPr>
                <w:rFonts w:ascii="Arial" w:hAnsi="Arial" w:cs="Arial"/>
                <w:sz w:val="22"/>
                <w:szCs w:val="22"/>
                <w:lang w:val="en-GB"/>
              </w:rPr>
              <w:t>February</w:t>
            </w:r>
            <w:r w:rsidR="001D65CB" w:rsidRPr="00555100">
              <w:rPr>
                <w:rFonts w:ascii="Arial" w:hAnsi="Arial" w:cs="Arial"/>
                <w:sz w:val="22"/>
                <w:szCs w:val="22"/>
                <w:lang w:val="en-GB"/>
              </w:rPr>
              <w:t xml:space="preserve"> 2021</w:t>
            </w:r>
          </w:p>
        </w:tc>
        <w:tc>
          <w:tcPr>
            <w:tcW w:w="3460" w:type="pct"/>
          </w:tcPr>
          <w:p w14:paraId="354D9B38" w14:textId="77777777" w:rsidR="001D65CB" w:rsidRPr="00555100" w:rsidRDefault="001D65CB" w:rsidP="003B0668">
            <w:pPr>
              <w:spacing w:before="120" w:after="120"/>
              <w:rPr>
                <w:rFonts w:ascii="Arial" w:eastAsiaTheme="minorEastAsia" w:hAnsi="Arial" w:cs="Arial"/>
                <w:sz w:val="22"/>
                <w:szCs w:val="22"/>
                <w:lang w:val="en-GB" w:eastAsia="ko-KR"/>
              </w:rPr>
            </w:pPr>
            <w:r w:rsidRPr="00555100">
              <w:rPr>
                <w:rFonts w:ascii="Arial" w:hAnsi="Arial" w:cs="Arial"/>
                <w:sz w:val="22"/>
                <w:szCs w:val="22"/>
                <w:lang w:val="en-GB"/>
              </w:rPr>
              <w:t>First online plenary meeting of experts and creation of breakout groups</w:t>
            </w:r>
          </w:p>
        </w:tc>
      </w:tr>
      <w:tr w:rsidR="001D65CB" w:rsidRPr="006E010C" w14:paraId="71B99CA1" w14:textId="77777777" w:rsidTr="0029747F">
        <w:trPr>
          <w:cantSplit/>
          <w:jc w:val="center"/>
        </w:trPr>
        <w:tc>
          <w:tcPr>
            <w:tcW w:w="1540" w:type="pct"/>
          </w:tcPr>
          <w:p w14:paraId="611B4FBD" w14:textId="187F498E" w:rsidR="001D65CB" w:rsidRPr="00555100" w:rsidRDefault="007D6313" w:rsidP="003B0668">
            <w:pPr>
              <w:spacing w:before="120" w:after="120"/>
              <w:jc w:val="center"/>
              <w:rPr>
                <w:rFonts w:ascii="Arial" w:hAnsi="Arial" w:cs="Arial"/>
                <w:sz w:val="22"/>
                <w:szCs w:val="22"/>
                <w:lang w:val="en-GB"/>
              </w:rPr>
            </w:pPr>
            <w:r>
              <w:rPr>
                <w:rFonts w:ascii="Arial" w:hAnsi="Arial" w:cs="Arial"/>
                <w:sz w:val="22"/>
                <w:szCs w:val="22"/>
                <w:lang w:val="en-GB"/>
              </w:rPr>
              <w:t>Febr</w:t>
            </w:r>
            <w:r w:rsidR="00B13292">
              <w:rPr>
                <w:rFonts w:ascii="Arial" w:hAnsi="Arial" w:cs="Arial"/>
                <w:sz w:val="22"/>
                <w:szCs w:val="22"/>
                <w:lang w:val="en-GB"/>
              </w:rPr>
              <w:t>u</w:t>
            </w:r>
            <w:r>
              <w:rPr>
                <w:rFonts w:ascii="Arial" w:hAnsi="Arial" w:cs="Arial"/>
                <w:sz w:val="22"/>
                <w:szCs w:val="22"/>
                <w:lang w:val="en-GB"/>
              </w:rPr>
              <w:t>ary</w:t>
            </w:r>
            <w:r w:rsidR="00B13292">
              <w:rPr>
                <w:rFonts w:ascii="Arial" w:hAnsi="Arial" w:cs="Arial"/>
                <w:sz w:val="22"/>
                <w:szCs w:val="22"/>
                <w:lang w:val="en-GB"/>
              </w:rPr>
              <w:t>/</w:t>
            </w:r>
            <w:r w:rsidR="001D65CB" w:rsidRPr="00555100">
              <w:rPr>
                <w:rFonts w:ascii="Arial" w:hAnsi="Arial" w:cs="Arial"/>
                <w:sz w:val="22"/>
                <w:szCs w:val="22"/>
                <w:lang w:val="en-GB"/>
              </w:rPr>
              <w:t>March 2021</w:t>
            </w:r>
          </w:p>
        </w:tc>
        <w:tc>
          <w:tcPr>
            <w:tcW w:w="3460" w:type="pct"/>
          </w:tcPr>
          <w:p w14:paraId="6FCEF5D3" w14:textId="2981B620" w:rsidR="001D65CB" w:rsidRPr="00555100" w:rsidRDefault="001D65CB" w:rsidP="003B0668">
            <w:pPr>
              <w:spacing w:before="120" w:after="120"/>
              <w:rPr>
                <w:rFonts w:ascii="Arial" w:hAnsi="Arial" w:cs="Arial"/>
                <w:sz w:val="22"/>
                <w:szCs w:val="22"/>
                <w:lang w:val="en-GB"/>
              </w:rPr>
            </w:pPr>
            <w:r w:rsidRPr="00555100">
              <w:rPr>
                <w:rFonts w:ascii="Arial" w:hAnsi="Arial" w:cs="Arial"/>
                <w:sz w:val="22"/>
                <w:szCs w:val="22"/>
                <w:lang w:val="en-GB"/>
              </w:rPr>
              <w:t>Analysis of the survey results through online breakout group meetings</w:t>
            </w:r>
          </w:p>
        </w:tc>
      </w:tr>
      <w:tr w:rsidR="001D65CB" w:rsidRPr="006E010C" w14:paraId="0B62DA1C" w14:textId="77777777" w:rsidTr="0029747F">
        <w:trPr>
          <w:cantSplit/>
          <w:jc w:val="center"/>
        </w:trPr>
        <w:tc>
          <w:tcPr>
            <w:tcW w:w="1540" w:type="pct"/>
          </w:tcPr>
          <w:p w14:paraId="78BACBCA" w14:textId="66358D06" w:rsidR="001D65CB" w:rsidRPr="00555100" w:rsidRDefault="001D65CB" w:rsidP="003B0668">
            <w:pPr>
              <w:spacing w:before="120" w:after="120"/>
              <w:jc w:val="center"/>
              <w:rPr>
                <w:rFonts w:ascii="Arial" w:hAnsi="Arial" w:cs="Arial"/>
                <w:sz w:val="22"/>
                <w:szCs w:val="22"/>
                <w:lang w:val="en-GB"/>
              </w:rPr>
            </w:pPr>
            <w:r w:rsidRPr="00555100">
              <w:rPr>
                <w:rFonts w:ascii="Arial" w:hAnsi="Arial" w:cs="Arial"/>
                <w:sz w:val="22"/>
                <w:szCs w:val="22"/>
                <w:lang w:val="en-GB"/>
              </w:rPr>
              <w:t xml:space="preserve">March 2021 </w:t>
            </w:r>
          </w:p>
        </w:tc>
        <w:tc>
          <w:tcPr>
            <w:tcW w:w="3460" w:type="pct"/>
          </w:tcPr>
          <w:p w14:paraId="3128F59A" w14:textId="7034A5DB" w:rsidR="001D65CB" w:rsidRPr="00555100" w:rsidRDefault="001D65CB" w:rsidP="003B0668">
            <w:pPr>
              <w:spacing w:before="120" w:after="120"/>
              <w:rPr>
                <w:rFonts w:ascii="Arial" w:hAnsi="Arial" w:cs="Arial"/>
                <w:sz w:val="22"/>
                <w:szCs w:val="22"/>
                <w:lang w:val="en-GB"/>
              </w:rPr>
            </w:pPr>
            <w:r w:rsidRPr="00555100">
              <w:rPr>
                <w:rFonts w:ascii="Arial" w:hAnsi="Arial" w:cs="Arial"/>
                <w:sz w:val="22"/>
                <w:szCs w:val="22"/>
                <w:lang w:val="en-GB"/>
              </w:rPr>
              <w:t xml:space="preserve">Second online plenary meeting of experts (Day 1): </w:t>
            </w:r>
            <w:r w:rsidR="00A473F4">
              <w:rPr>
                <w:rFonts w:ascii="Arial" w:hAnsi="Arial" w:cs="Arial"/>
                <w:sz w:val="22"/>
                <w:szCs w:val="22"/>
                <w:lang w:val="en-GB"/>
              </w:rPr>
              <w:t>P</w:t>
            </w:r>
            <w:r w:rsidRPr="00555100">
              <w:rPr>
                <w:rFonts w:ascii="Arial" w:hAnsi="Arial" w:cs="Arial"/>
                <w:sz w:val="22"/>
                <w:szCs w:val="22"/>
                <w:lang w:val="en-GB"/>
              </w:rPr>
              <w:t>resentations of recommendations by breakout groups</w:t>
            </w:r>
          </w:p>
        </w:tc>
      </w:tr>
      <w:tr w:rsidR="001D65CB" w:rsidRPr="006E010C" w14:paraId="070D7591" w14:textId="77777777" w:rsidTr="0029747F">
        <w:trPr>
          <w:cantSplit/>
          <w:jc w:val="center"/>
        </w:trPr>
        <w:tc>
          <w:tcPr>
            <w:tcW w:w="1540" w:type="pct"/>
          </w:tcPr>
          <w:p w14:paraId="6A560A62" w14:textId="2F70011D" w:rsidR="001D65CB" w:rsidRPr="00555100" w:rsidRDefault="001D65CB" w:rsidP="003B0668">
            <w:pPr>
              <w:spacing w:before="120" w:after="120"/>
              <w:jc w:val="center"/>
              <w:rPr>
                <w:rFonts w:ascii="Arial" w:hAnsi="Arial" w:cs="Arial"/>
                <w:sz w:val="22"/>
                <w:szCs w:val="22"/>
                <w:lang w:val="en-GB"/>
              </w:rPr>
            </w:pPr>
            <w:r w:rsidRPr="00555100">
              <w:rPr>
                <w:rFonts w:ascii="Arial" w:hAnsi="Arial" w:cs="Arial"/>
                <w:sz w:val="22"/>
                <w:szCs w:val="22"/>
                <w:lang w:val="en-GB"/>
              </w:rPr>
              <w:t>March 2021</w:t>
            </w:r>
          </w:p>
        </w:tc>
        <w:tc>
          <w:tcPr>
            <w:tcW w:w="3460" w:type="pct"/>
          </w:tcPr>
          <w:p w14:paraId="01D943DF" w14:textId="77777777" w:rsidR="001D65CB" w:rsidRPr="00555100" w:rsidRDefault="001D65CB" w:rsidP="003B0668">
            <w:pPr>
              <w:spacing w:before="120" w:after="120"/>
              <w:rPr>
                <w:rFonts w:ascii="Arial" w:hAnsi="Arial" w:cs="Arial"/>
                <w:sz w:val="22"/>
                <w:szCs w:val="22"/>
                <w:lang w:val="en-GB"/>
              </w:rPr>
            </w:pPr>
            <w:r w:rsidRPr="00555100">
              <w:rPr>
                <w:rFonts w:ascii="Arial" w:hAnsi="Arial" w:cs="Arial"/>
                <w:sz w:val="22"/>
                <w:szCs w:val="22"/>
                <w:lang w:val="en-GB"/>
              </w:rPr>
              <w:t>Second online plenary meeting of experts (Day 2): Harmonization of recommendations and conclusions</w:t>
            </w:r>
          </w:p>
        </w:tc>
      </w:tr>
      <w:tr w:rsidR="001D65CB" w:rsidRPr="006E010C" w14:paraId="35FF9B91" w14:textId="77777777" w:rsidTr="0029747F">
        <w:trPr>
          <w:cantSplit/>
          <w:jc w:val="center"/>
        </w:trPr>
        <w:tc>
          <w:tcPr>
            <w:tcW w:w="1540" w:type="pct"/>
          </w:tcPr>
          <w:p w14:paraId="2A63EDF5" w14:textId="76E77885" w:rsidR="001D65CB" w:rsidRPr="00555100" w:rsidRDefault="001D65CB" w:rsidP="00555100">
            <w:pPr>
              <w:spacing w:before="120" w:after="120"/>
              <w:jc w:val="center"/>
              <w:rPr>
                <w:rFonts w:ascii="Arial" w:hAnsi="Arial" w:cs="Arial"/>
                <w:sz w:val="22"/>
                <w:szCs w:val="22"/>
                <w:lang w:val="en-GB"/>
              </w:rPr>
            </w:pPr>
            <w:r w:rsidRPr="00555100">
              <w:rPr>
                <w:rFonts w:ascii="Arial" w:hAnsi="Arial" w:cs="Arial"/>
                <w:sz w:val="22"/>
                <w:szCs w:val="22"/>
                <w:lang w:val="en-GB"/>
              </w:rPr>
              <w:t xml:space="preserve">May </w:t>
            </w:r>
            <w:r w:rsidR="00555100">
              <w:rPr>
                <w:rFonts w:ascii="Arial" w:hAnsi="Arial" w:cs="Arial"/>
                <w:sz w:val="22"/>
                <w:szCs w:val="22"/>
                <w:lang w:val="en-GB"/>
              </w:rPr>
              <w:t>2021</w:t>
            </w:r>
          </w:p>
        </w:tc>
        <w:tc>
          <w:tcPr>
            <w:tcW w:w="3460" w:type="pct"/>
          </w:tcPr>
          <w:p w14:paraId="56AC95E7" w14:textId="77777777" w:rsidR="001D65CB" w:rsidRPr="00555100" w:rsidRDefault="001D65CB" w:rsidP="003B0668">
            <w:pPr>
              <w:spacing w:before="120" w:after="120"/>
              <w:rPr>
                <w:rFonts w:ascii="Arial" w:hAnsi="Arial" w:cs="Arial"/>
                <w:sz w:val="22"/>
                <w:szCs w:val="22"/>
                <w:lang w:val="en-GB"/>
              </w:rPr>
            </w:pPr>
            <w:r w:rsidRPr="00555100">
              <w:rPr>
                <w:rFonts w:ascii="Arial" w:hAnsi="Arial" w:cs="Arial"/>
                <w:sz w:val="22"/>
                <w:szCs w:val="22"/>
                <w:lang w:val="en-GB"/>
              </w:rPr>
              <w:t>Online publication of the working documents for the open-ended intergovernmental working group</w:t>
            </w:r>
            <w:r w:rsidRPr="00555100" w:rsidDel="00480A9D">
              <w:rPr>
                <w:rFonts w:ascii="Arial" w:hAnsi="Arial" w:cs="Arial"/>
                <w:sz w:val="22"/>
                <w:szCs w:val="22"/>
                <w:lang w:val="en-GB"/>
              </w:rPr>
              <w:t xml:space="preserve"> </w:t>
            </w:r>
          </w:p>
        </w:tc>
      </w:tr>
      <w:tr w:rsidR="00555100" w:rsidRPr="006E010C" w14:paraId="0639BBF1" w14:textId="77777777" w:rsidTr="0029747F">
        <w:trPr>
          <w:cantSplit/>
          <w:jc w:val="center"/>
        </w:trPr>
        <w:tc>
          <w:tcPr>
            <w:tcW w:w="1540" w:type="pct"/>
          </w:tcPr>
          <w:p w14:paraId="29FFE756" w14:textId="29076EFE" w:rsidR="00555100" w:rsidRPr="00555100" w:rsidRDefault="00555100" w:rsidP="003B0668">
            <w:pPr>
              <w:spacing w:before="120" w:after="120"/>
              <w:jc w:val="center"/>
              <w:rPr>
                <w:rFonts w:ascii="Arial" w:hAnsi="Arial" w:cs="Arial"/>
                <w:sz w:val="22"/>
                <w:szCs w:val="22"/>
                <w:lang w:val="en-GB"/>
              </w:rPr>
            </w:pPr>
            <w:r w:rsidRPr="00555100">
              <w:rPr>
                <w:rFonts w:ascii="Arial" w:hAnsi="Arial" w:cs="Arial"/>
                <w:sz w:val="22"/>
                <w:szCs w:val="22"/>
                <w:lang w:val="en-GB"/>
              </w:rPr>
              <w:t>June 2021</w:t>
            </w:r>
          </w:p>
        </w:tc>
        <w:tc>
          <w:tcPr>
            <w:tcW w:w="3460" w:type="pct"/>
          </w:tcPr>
          <w:p w14:paraId="595AAA07" w14:textId="77777777" w:rsidR="00555100" w:rsidRPr="00555100" w:rsidRDefault="00555100" w:rsidP="003B0668">
            <w:pPr>
              <w:spacing w:before="120" w:after="120"/>
              <w:rPr>
                <w:rFonts w:ascii="Arial" w:hAnsi="Arial" w:cs="Arial"/>
                <w:sz w:val="22"/>
                <w:szCs w:val="22"/>
                <w:lang w:val="en-GB"/>
              </w:rPr>
            </w:pPr>
            <w:r w:rsidRPr="00555100">
              <w:rPr>
                <w:rFonts w:ascii="Arial" w:hAnsi="Arial" w:cs="Arial"/>
                <w:sz w:val="22"/>
                <w:szCs w:val="22"/>
                <w:lang w:val="en-GB"/>
              </w:rPr>
              <w:t>Meeting of the open-ended intergovernmental working group</w:t>
            </w:r>
          </w:p>
        </w:tc>
      </w:tr>
      <w:tr w:rsidR="001D65CB" w:rsidRPr="006E010C" w14:paraId="3E6DDA96" w14:textId="77777777" w:rsidTr="0029747F">
        <w:trPr>
          <w:cantSplit/>
          <w:jc w:val="center"/>
        </w:trPr>
        <w:tc>
          <w:tcPr>
            <w:tcW w:w="1540" w:type="pct"/>
          </w:tcPr>
          <w:p w14:paraId="6FEBC784" w14:textId="2ECBB503" w:rsidR="001D65CB" w:rsidRPr="00555100" w:rsidRDefault="001D65CB" w:rsidP="003B0668">
            <w:pPr>
              <w:spacing w:before="120" w:after="120"/>
              <w:jc w:val="center"/>
              <w:rPr>
                <w:rFonts w:ascii="Arial" w:hAnsi="Arial" w:cs="Arial"/>
                <w:b/>
                <w:sz w:val="22"/>
                <w:szCs w:val="22"/>
                <w:lang w:val="en-GB"/>
              </w:rPr>
            </w:pPr>
            <w:r w:rsidRPr="00555100">
              <w:rPr>
                <w:rFonts w:ascii="Arial" w:hAnsi="Arial" w:cs="Arial"/>
                <w:b/>
                <w:sz w:val="22"/>
                <w:szCs w:val="22"/>
                <w:lang w:val="en-GB"/>
              </w:rPr>
              <w:t>November/December 2021</w:t>
            </w:r>
          </w:p>
        </w:tc>
        <w:tc>
          <w:tcPr>
            <w:tcW w:w="3460" w:type="pct"/>
          </w:tcPr>
          <w:p w14:paraId="43521148" w14:textId="77777777" w:rsidR="001D65CB" w:rsidRPr="00555100" w:rsidRDefault="001D65CB" w:rsidP="003B0668">
            <w:pPr>
              <w:spacing w:before="120" w:after="120"/>
              <w:rPr>
                <w:rFonts w:ascii="Arial" w:hAnsi="Arial" w:cs="Arial"/>
                <w:b/>
                <w:sz w:val="22"/>
                <w:szCs w:val="22"/>
                <w:lang w:val="en-US"/>
              </w:rPr>
            </w:pPr>
            <w:r w:rsidRPr="00555100">
              <w:rPr>
                <w:rFonts w:ascii="Arial" w:hAnsi="Arial" w:cs="Arial"/>
                <w:b/>
                <w:sz w:val="22"/>
                <w:szCs w:val="22"/>
                <w:lang w:val="en-US"/>
              </w:rPr>
              <w:t>Sixteenth session of the Intergovernmental Committee</w:t>
            </w:r>
          </w:p>
        </w:tc>
      </w:tr>
    </w:tbl>
    <w:p w14:paraId="766008B0" w14:textId="77777777" w:rsidR="003B0668" w:rsidRPr="003B0668" w:rsidRDefault="003B0668">
      <w:pPr>
        <w:jc w:val="center"/>
        <w:rPr>
          <w:rFonts w:ascii="Arial" w:hAnsi="Arial" w:cs="Arial"/>
          <w:sz w:val="28"/>
          <w:szCs w:val="28"/>
          <w:lang w:val="en-GB"/>
        </w:rPr>
      </w:pPr>
    </w:p>
    <w:sectPr w:rsidR="003B0668" w:rsidRPr="003B0668" w:rsidSect="00E5543C">
      <w:headerReference w:type="even" r:id="rId22"/>
      <w:headerReference w:type="default" r:id="rId23"/>
      <w:headerReference w:type="first" r:id="rId2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22CC" w14:textId="77777777" w:rsidR="009649C6" w:rsidRDefault="009649C6" w:rsidP="00655736">
      <w:r>
        <w:separator/>
      </w:r>
    </w:p>
  </w:endnote>
  <w:endnote w:type="continuationSeparator" w:id="0">
    <w:p w14:paraId="5BFF8EC2" w14:textId="77777777" w:rsidR="009649C6" w:rsidRDefault="009649C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3AE12" w14:textId="77777777" w:rsidR="009649C6" w:rsidRDefault="009649C6" w:rsidP="00655736">
      <w:r>
        <w:separator/>
      </w:r>
    </w:p>
  </w:footnote>
  <w:footnote w:type="continuationSeparator" w:id="0">
    <w:p w14:paraId="219656AC" w14:textId="77777777" w:rsidR="009649C6" w:rsidRDefault="009649C6"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9C80" w14:textId="78962B01" w:rsidR="009649C6" w:rsidRPr="00E5543C" w:rsidRDefault="005D5440">
    <w:pPr>
      <w:pStyle w:val="En-tte"/>
      <w:rPr>
        <w:rFonts w:ascii="Arial" w:hAnsi="Arial" w:cs="Arial"/>
        <w:lang w:val="en-GB"/>
      </w:rPr>
    </w:pPr>
    <w:bookmarkStart w:id="1" w:name="_Hlk47687467"/>
    <w:r>
      <w:rPr>
        <w:rFonts w:ascii="Arial" w:hAnsi="Arial" w:cs="Arial"/>
        <w:sz w:val="20"/>
        <w:szCs w:val="20"/>
        <w:lang w:val="en-GB"/>
      </w:rPr>
      <w:t>LHE/20/8.GA/11</w:t>
    </w:r>
    <w:r w:rsidR="009649C6">
      <w:rPr>
        <w:rFonts w:ascii="Arial" w:hAnsi="Arial" w:cs="Arial"/>
        <w:sz w:val="20"/>
        <w:szCs w:val="20"/>
        <w:lang w:val="en-GB"/>
      </w:rPr>
      <w:t xml:space="preserve"> </w:t>
    </w:r>
    <w:bookmarkEnd w:id="1"/>
    <w:r w:rsidR="009649C6">
      <w:rPr>
        <w:rFonts w:ascii="Arial" w:hAnsi="Arial" w:cs="Arial"/>
        <w:sz w:val="20"/>
        <w:szCs w:val="20"/>
        <w:lang w:val="en-GB"/>
      </w:rPr>
      <w:t xml:space="preserve">– page </w:t>
    </w:r>
    <w:r w:rsidR="009649C6">
      <w:rPr>
        <w:rStyle w:val="Numrodepage"/>
        <w:rFonts w:ascii="Arial" w:hAnsi="Arial" w:cs="Arial"/>
        <w:sz w:val="20"/>
        <w:szCs w:val="20"/>
      </w:rPr>
      <w:fldChar w:fldCharType="begin"/>
    </w:r>
    <w:r w:rsidR="009649C6">
      <w:rPr>
        <w:rStyle w:val="Numrodepage"/>
        <w:rFonts w:ascii="Arial" w:hAnsi="Arial" w:cs="Arial"/>
        <w:sz w:val="20"/>
        <w:szCs w:val="20"/>
      </w:rPr>
      <w:instrText xml:space="preserve"> PAGE </w:instrText>
    </w:r>
    <w:r w:rsidR="009649C6">
      <w:rPr>
        <w:rStyle w:val="Numrodepage"/>
        <w:rFonts w:ascii="Arial" w:hAnsi="Arial" w:cs="Arial"/>
        <w:sz w:val="20"/>
        <w:szCs w:val="20"/>
      </w:rPr>
      <w:fldChar w:fldCharType="separate"/>
    </w:r>
    <w:r w:rsidR="00A7514A">
      <w:rPr>
        <w:rStyle w:val="Numrodepage"/>
        <w:rFonts w:ascii="Arial" w:hAnsi="Arial" w:cs="Arial"/>
        <w:noProof/>
        <w:sz w:val="20"/>
        <w:szCs w:val="20"/>
      </w:rPr>
      <w:t>4</w:t>
    </w:r>
    <w:r w:rsidR="009649C6">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3BA" w14:textId="53E32DCC" w:rsidR="009649C6" w:rsidRPr="00E5543C" w:rsidRDefault="009649C6" w:rsidP="00E5543C">
    <w:pPr>
      <w:pStyle w:val="En-tte"/>
      <w:jc w:val="right"/>
      <w:rPr>
        <w:rFonts w:ascii="Arial" w:hAnsi="Arial" w:cs="Arial"/>
        <w:lang w:val="en-GB"/>
      </w:rPr>
    </w:pPr>
    <w:r>
      <w:tab/>
    </w:r>
    <w:r w:rsidR="009C4425" w:rsidRPr="009C4425">
      <w:rPr>
        <w:rFonts w:ascii="Arial" w:hAnsi="Arial" w:cs="Arial"/>
        <w:sz w:val="20"/>
        <w:szCs w:val="20"/>
        <w:lang w:val="en-GB"/>
      </w:rPr>
      <w:t xml:space="preserve">LHE/20/8.GA/11 </w:t>
    </w:r>
    <w:r>
      <w:rPr>
        <w:rFonts w:ascii="Arial" w:hAnsi="Arial" w:cs="Arial"/>
        <w:sz w:val="20"/>
        <w:szCs w:val="20"/>
        <w:lang w:val="en-GB"/>
      </w:rPr>
      <w:t xml:space="preserve">– page </w:t>
    </w:r>
    <w:r>
      <w:rPr>
        <w:rStyle w:val="Numrodepage"/>
        <w:rFonts w:ascii="Arial" w:hAnsi="Arial" w:cs="Arial"/>
        <w:sz w:val="20"/>
        <w:szCs w:val="20"/>
      </w:rPr>
      <w:fldChar w:fldCharType="begin"/>
    </w:r>
    <w:r>
      <w:rPr>
        <w:rStyle w:val="Numrodepage"/>
        <w:rFonts w:ascii="Arial" w:hAnsi="Arial" w:cs="Arial"/>
        <w:sz w:val="20"/>
        <w:szCs w:val="20"/>
      </w:rPr>
      <w:instrText xml:space="preserve"> PAGE </w:instrText>
    </w:r>
    <w:r>
      <w:rPr>
        <w:rStyle w:val="Numrodepage"/>
        <w:rFonts w:ascii="Arial" w:hAnsi="Arial" w:cs="Arial"/>
        <w:sz w:val="20"/>
        <w:szCs w:val="20"/>
      </w:rPr>
      <w:fldChar w:fldCharType="separate"/>
    </w:r>
    <w:r w:rsidR="00A7514A">
      <w:rPr>
        <w:rStyle w:val="Numrodepage"/>
        <w:rFonts w:ascii="Arial" w:hAnsi="Arial" w:cs="Arial"/>
        <w:noProof/>
        <w:sz w:val="20"/>
        <w:szCs w:val="20"/>
      </w:rPr>
      <w:t>5</w:t>
    </w:r>
    <w:r>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24E4" w14:textId="77777777" w:rsidR="009649C6" w:rsidRDefault="009649C6" w:rsidP="00D40847">
    <w:pPr>
      <w:pStyle w:val="En-tte"/>
      <w:spacing w:after="520"/>
      <w:jc w:val="right"/>
      <w:rPr>
        <w:rFonts w:ascii="Arial" w:hAnsi="Arial" w:cs="Arial"/>
        <w:b/>
        <w:sz w:val="44"/>
        <w:szCs w:val="44"/>
        <w:lang w:val="pt-PT"/>
      </w:rPr>
    </w:pPr>
    <w:r>
      <w:rPr>
        <w:noProof/>
        <w:lang w:eastAsia="ja-JP"/>
      </w:rPr>
      <w:drawing>
        <wp:anchor distT="0" distB="0" distL="114300" distR="114300" simplePos="0" relativeHeight="251660800" behindDoc="0" locked="0" layoutInCell="1" allowOverlap="1" wp14:anchorId="2B4BC989" wp14:editId="036C9689">
          <wp:simplePos x="0" y="0"/>
          <wp:positionH relativeFrom="margin">
            <wp:posOffset>-561975</wp:posOffset>
          </wp:positionH>
          <wp:positionV relativeFrom="paragraph">
            <wp:posOffset>2540</wp:posOffset>
          </wp:positionV>
          <wp:extent cx="2228215" cy="1367790"/>
          <wp:effectExtent l="0" t="0" r="635" b="3810"/>
          <wp:wrapNone/>
          <wp:docPr id="1" name="Picture 1" descr="unesco_logo_en"/>
          <wp:cNvGraphicFramePr/>
          <a:graphic xmlns:a="http://schemas.openxmlformats.org/drawingml/2006/main">
            <a:graphicData uri="http://schemas.openxmlformats.org/drawingml/2006/picture">
              <pic:pic xmlns:pic="http://schemas.openxmlformats.org/drawingml/2006/picture">
                <pic:nvPicPr>
                  <pic:cNvPr id="6" name="Picture 6" descr="unesco_logo_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lang w:val="pt-PT"/>
      </w:rPr>
      <w:t>8 GA</w:t>
    </w:r>
  </w:p>
  <w:p w14:paraId="738C2EC5" w14:textId="1AED2F21" w:rsidR="009649C6" w:rsidRDefault="005D5440" w:rsidP="00D40847">
    <w:pPr>
      <w:jc w:val="right"/>
      <w:rPr>
        <w:rFonts w:ascii="Arial" w:hAnsi="Arial" w:cs="Arial"/>
        <w:b/>
        <w:sz w:val="22"/>
        <w:szCs w:val="22"/>
        <w:lang w:val="pt-PT"/>
      </w:rPr>
    </w:pPr>
    <w:r>
      <w:rPr>
        <w:rFonts w:ascii="Arial" w:hAnsi="Arial" w:cs="Arial"/>
        <w:b/>
        <w:sz w:val="22"/>
        <w:szCs w:val="22"/>
        <w:lang w:val="pt-PT"/>
      </w:rPr>
      <w:t>LHE/20/8.GA/11</w:t>
    </w:r>
  </w:p>
  <w:p w14:paraId="63EB23CA" w14:textId="77777777" w:rsidR="009649C6" w:rsidRDefault="009649C6" w:rsidP="00D40847">
    <w:pPr>
      <w:jc w:val="right"/>
      <w:rPr>
        <w:rFonts w:ascii="Arial" w:hAnsi="Arial" w:cs="Arial"/>
        <w:b/>
        <w:sz w:val="22"/>
        <w:szCs w:val="22"/>
        <w:lang w:val="pt-PT"/>
      </w:rPr>
    </w:pPr>
    <w:r>
      <w:rPr>
        <w:rFonts w:ascii="Arial" w:hAnsi="Arial" w:cs="Arial"/>
        <w:b/>
        <w:sz w:val="22"/>
        <w:szCs w:val="22"/>
        <w:lang w:val="pt-PT"/>
      </w:rPr>
      <w:t>Paris, 7 August 2020</w:t>
    </w:r>
  </w:p>
  <w:p w14:paraId="4EC8EFB2" w14:textId="77777777" w:rsidR="009649C6" w:rsidRDefault="009649C6" w:rsidP="00D40847">
    <w:pPr>
      <w:jc w:val="right"/>
      <w:rPr>
        <w:rFonts w:ascii="Arial" w:hAnsi="Arial" w:cs="Arial"/>
        <w:b/>
        <w:sz w:val="22"/>
        <w:szCs w:val="22"/>
        <w:lang w:val="en-GB"/>
      </w:rPr>
    </w:pPr>
    <w:r>
      <w:rPr>
        <w:rFonts w:ascii="Arial" w:hAnsi="Arial" w:cs="Arial"/>
        <w:b/>
        <w:sz w:val="22"/>
        <w:szCs w:val="22"/>
        <w:lang w:val="en-GB"/>
      </w:rPr>
      <w:t>Original: English</w:t>
    </w:r>
  </w:p>
  <w:p w14:paraId="39C99014" w14:textId="4EA26198" w:rsidR="003A110C" w:rsidRDefault="003A11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76B9"/>
    <w:multiLevelType w:val="hybridMultilevel"/>
    <w:tmpl w:val="A4F2784A"/>
    <w:lvl w:ilvl="0" w:tplc="3208CFA2">
      <w:start w:val="1"/>
      <w:numFmt w:val="decimal"/>
      <w:pStyle w:val="Paragraph"/>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141235E"/>
    <w:multiLevelType w:val="hybridMultilevel"/>
    <w:tmpl w:val="F43E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F69485A"/>
    <w:multiLevelType w:val="hybridMultilevel"/>
    <w:tmpl w:val="CDD030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2D75349"/>
    <w:multiLevelType w:val="hybridMultilevel"/>
    <w:tmpl w:val="B5505D72"/>
    <w:lvl w:ilvl="0" w:tplc="E09EB83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22DF05A1"/>
    <w:multiLevelType w:val="hybridMultilevel"/>
    <w:tmpl w:val="817A9FB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117139"/>
    <w:multiLevelType w:val="hybridMultilevel"/>
    <w:tmpl w:val="24982874"/>
    <w:lvl w:ilvl="0" w:tplc="1F3829BA">
      <w:start w:val="1"/>
      <w:numFmt w:val="decimal"/>
      <w:pStyle w:val="OGParagraphLevel1Numbered"/>
      <w:lvlText w:val="%1."/>
      <w:lvlJc w:val="left"/>
      <w:pPr>
        <w:tabs>
          <w:tab w:val="num" w:pos="680"/>
        </w:tabs>
        <w:ind w:left="680" w:hanging="68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0A25546">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698"/>
        </w:tabs>
        <w:ind w:left="2698" w:hanging="180"/>
      </w:pPr>
    </w:lvl>
    <w:lvl w:ilvl="3" w:tplc="0409000F" w:tentative="1">
      <w:start w:val="1"/>
      <w:numFmt w:val="decimal"/>
      <w:lvlText w:val="%4."/>
      <w:lvlJc w:val="left"/>
      <w:pPr>
        <w:tabs>
          <w:tab w:val="num" w:pos="3418"/>
        </w:tabs>
        <w:ind w:left="3418" w:hanging="360"/>
      </w:pPr>
    </w:lvl>
    <w:lvl w:ilvl="4" w:tplc="04090019" w:tentative="1">
      <w:start w:val="1"/>
      <w:numFmt w:val="lowerLetter"/>
      <w:lvlText w:val="%5."/>
      <w:lvlJc w:val="left"/>
      <w:pPr>
        <w:tabs>
          <w:tab w:val="num" w:pos="4138"/>
        </w:tabs>
        <w:ind w:left="4138" w:hanging="360"/>
      </w:pPr>
    </w:lvl>
    <w:lvl w:ilvl="5" w:tplc="0409001B" w:tentative="1">
      <w:start w:val="1"/>
      <w:numFmt w:val="lowerRoman"/>
      <w:lvlText w:val="%6."/>
      <w:lvlJc w:val="right"/>
      <w:pPr>
        <w:tabs>
          <w:tab w:val="num" w:pos="4858"/>
        </w:tabs>
        <w:ind w:left="4858" w:hanging="180"/>
      </w:pPr>
    </w:lvl>
    <w:lvl w:ilvl="6" w:tplc="0409000F" w:tentative="1">
      <w:start w:val="1"/>
      <w:numFmt w:val="decimal"/>
      <w:lvlText w:val="%7."/>
      <w:lvlJc w:val="left"/>
      <w:pPr>
        <w:tabs>
          <w:tab w:val="num" w:pos="5578"/>
        </w:tabs>
        <w:ind w:left="5578" w:hanging="360"/>
      </w:pPr>
    </w:lvl>
    <w:lvl w:ilvl="7" w:tplc="04090019" w:tentative="1">
      <w:start w:val="1"/>
      <w:numFmt w:val="lowerLetter"/>
      <w:lvlText w:val="%8."/>
      <w:lvlJc w:val="left"/>
      <w:pPr>
        <w:tabs>
          <w:tab w:val="num" w:pos="6298"/>
        </w:tabs>
        <w:ind w:left="6298" w:hanging="360"/>
      </w:pPr>
    </w:lvl>
    <w:lvl w:ilvl="8" w:tplc="0409001B" w:tentative="1">
      <w:start w:val="1"/>
      <w:numFmt w:val="lowerRoman"/>
      <w:lvlText w:val="%9."/>
      <w:lvlJc w:val="right"/>
      <w:pPr>
        <w:tabs>
          <w:tab w:val="num" w:pos="7018"/>
        </w:tabs>
        <w:ind w:left="7018" w:hanging="180"/>
      </w:pPr>
    </w:lvl>
  </w:abstractNum>
  <w:abstractNum w:abstractNumId="9" w15:restartNumberingAfterBreak="0">
    <w:nsid w:val="2D4A25E2"/>
    <w:multiLevelType w:val="hybridMultilevel"/>
    <w:tmpl w:val="EDDE1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3E299D"/>
    <w:multiLevelType w:val="hybridMultilevel"/>
    <w:tmpl w:val="594E8996"/>
    <w:lvl w:ilvl="0" w:tplc="04090013">
      <w:start w:val="1"/>
      <w:numFmt w:val="upperRoman"/>
      <w:lvlText w:val="%1."/>
      <w:lvlJc w:val="righ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68B7730B"/>
    <w:multiLevelType w:val="hybridMultilevel"/>
    <w:tmpl w:val="94783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E06475"/>
    <w:multiLevelType w:val="hybridMultilevel"/>
    <w:tmpl w:val="7102DA86"/>
    <w:lvl w:ilvl="0" w:tplc="0409000F">
      <w:start w:val="1"/>
      <w:numFmt w:val="decimal"/>
      <w:lvlText w:val="%1."/>
      <w:lvlJc w:val="left"/>
      <w:pPr>
        <w:ind w:left="720" w:hanging="360"/>
      </w:pPr>
      <w:rPr>
        <w:rFonts w:hint="default"/>
      </w:rPr>
    </w:lvl>
    <w:lvl w:ilvl="1" w:tplc="040C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A62DF"/>
    <w:multiLevelType w:val="hybridMultilevel"/>
    <w:tmpl w:val="89A2A9E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7A2A60DD"/>
    <w:multiLevelType w:val="hybridMultilevel"/>
    <w:tmpl w:val="CDFCC7DA"/>
    <w:lvl w:ilvl="0" w:tplc="74BE3FC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
  </w:num>
  <w:num w:numId="2">
    <w:abstractNumId w:val="11"/>
  </w:num>
  <w:num w:numId="3">
    <w:abstractNumId w:val="12"/>
  </w:num>
  <w:num w:numId="4">
    <w:abstractNumId w:val="13"/>
  </w:num>
  <w:num w:numId="5">
    <w:abstractNumId w:val="0"/>
  </w:num>
  <w:num w:numId="6">
    <w:abstractNumId w:val="16"/>
  </w:num>
  <w:num w:numId="7">
    <w:abstractNumId w:val="18"/>
  </w:num>
  <w:num w:numId="8">
    <w:abstractNumId w:val="11"/>
  </w:num>
  <w:num w:numId="9">
    <w:abstractNumId w:val="11"/>
  </w:num>
  <w:num w:numId="10">
    <w:abstractNumId w:val="11"/>
  </w:num>
  <w:num w:numId="11">
    <w:abstractNumId w:val="11"/>
  </w:num>
  <w:num w:numId="12">
    <w:abstractNumId w:val="12"/>
  </w:num>
  <w:num w:numId="13">
    <w:abstractNumId w:val="12"/>
  </w:num>
  <w:num w:numId="14">
    <w:abstractNumId w:val="19"/>
  </w:num>
  <w:num w:numId="15">
    <w:abstractNumId w:val="1"/>
  </w:num>
  <w:num w:numId="16">
    <w:abstractNumId w:val="9"/>
  </w:num>
  <w:num w:numId="17">
    <w:abstractNumId w:val="3"/>
  </w:num>
  <w:num w:numId="18">
    <w:abstractNumId w:val="4"/>
  </w:num>
  <w:num w:numId="19">
    <w:abstractNumId w:val="5"/>
  </w:num>
  <w:num w:numId="20">
    <w:abstractNumId w:val="10"/>
  </w:num>
  <w:num w:numId="21">
    <w:abstractNumId w:val="6"/>
  </w:num>
  <w:num w:numId="22">
    <w:abstractNumId w:val="15"/>
  </w:num>
  <w:num w:numId="23">
    <w:abstractNumId w:val="7"/>
  </w:num>
  <w:num w:numId="24">
    <w:abstractNumId w:val="8"/>
  </w:num>
  <w:num w:numId="25">
    <w:abstractNumId w:val="11"/>
  </w:num>
  <w:num w:numId="26">
    <w:abstractNumId w:val="11"/>
  </w:num>
  <w:num w:numId="27">
    <w:abstractNumId w:val="11"/>
  </w:num>
  <w:num w:numId="28">
    <w:abstractNumId w:val="11"/>
  </w:num>
  <w:num w:numId="29">
    <w:abstractNumId w:val="11"/>
  </w:num>
  <w:num w:numId="30">
    <w:abstractNumId w:val="17"/>
  </w:num>
  <w:num w:numId="31">
    <w:abstractNumId w:val="14"/>
  </w:num>
  <w:num w:numId="32">
    <w:abstractNumId w:val="11"/>
  </w:num>
  <w:num w:numId="33">
    <w:abstractNumId w:val="11"/>
  </w:num>
  <w:num w:numId="34">
    <w:abstractNumId w:val="11"/>
  </w:num>
  <w:num w:numId="35">
    <w:abstractNumId w:val="11"/>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11962"/>
    <w:rsid w:val="00011D70"/>
    <w:rsid w:val="00041A66"/>
    <w:rsid w:val="0004234B"/>
    <w:rsid w:val="00042DBA"/>
    <w:rsid w:val="0005176E"/>
    <w:rsid w:val="00060166"/>
    <w:rsid w:val="000765F7"/>
    <w:rsid w:val="00077AB7"/>
    <w:rsid w:val="00081CD8"/>
    <w:rsid w:val="000A05A1"/>
    <w:rsid w:val="000A7F0E"/>
    <w:rsid w:val="000B05AC"/>
    <w:rsid w:val="000B3B9F"/>
    <w:rsid w:val="000C0D61"/>
    <w:rsid w:val="000C4299"/>
    <w:rsid w:val="000E7828"/>
    <w:rsid w:val="000F3A3F"/>
    <w:rsid w:val="000F4E7E"/>
    <w:rsid w:val="00101E64"/>
    <w:rsid w:val="00102557"/>
    <w:rsid w:val="0011280D"/>
    <w:rsid w:val="00122983"/>
    <w:rsid w:val="001307D8"/>
    <w:rsid w:val="001428F1"/>
    <w:rsid w:val="00144FF8"/>
    <w:rsid w:val="001631A9"/>
    <w:rsid w:val="00164D56"/>
    <w:rsid w:val="00167B10"/>
    <w:rsid w:val="0017402F"/>
    <w:rsid w:val="00176720"/>
    <w:rsid w:val="00180834"/>
    <w:rsid w:val="00181776"/>
    <w:rsid w:val="00196C1B"/>
    <w:rsid w:val="001B0F73"/>
    <w:rsid w:val="001C41DF"/>
    <w:rsid w:val="001D12CF"/>
    <w:rsid w:val="001D29EF"/>
    <w:rsid w:val="001D5C04"/>
    <w:rsid w:val="001D65CB"/>
    <w:rsid w:val="001E2CC6"/>
    <w:rsid w:val="001F4138"/>
    <w:rsid w:val="00207184"/>
    <w:rsid w:val="0021444E"/>
    <w:rsid w:val="00222A2D"/>
    <w:rsid w:val="00223029"/>
    <w:rsid w:val="00234745"/>
    <w:rsid w:val="002407AF"/>
    <w:rsid w:val="00245468"/>
    <w:rsid w:val="00246E86"/>
    <w:rsid w:val="00247FF5"/>
    <w:rsid w:val="00256C17"/>
    <w:rsid w:val="002570C3"/>
    <w:rsid w:val="00270179"/>
    <w:rsid w:val="00273C0D"/>
    <w:rsid w:val="00285DCC"/>
    <w:rsid w:val="00295928"/>
    <w:rsid w:val="0029747F"/>
    <w:rsid w:val="002A458C"/>
    <w:rsid w:val="002B2B32"/>
    <w:rsid w:val="002C09E3"/>
    <w:rsid w:val="002C693D"/>
    <w:rsid w:val="002D3001"/>
    <w:rsid w:val="002E13FD"/>
    <w:rsid w:val="002E6C80"/>
    <w:rsid w:val="002F0ED5"/>
    <w:rsid w:val="002F312A"/>
    <w:rsid w:val="002F7270"/>
    <w:rsid w:val="0031035C"/>
    <w:rsid w:val="003145F6"/>
    <w:rsid w:val="00316C47"/>
    <w:rsid w:val="003224AE"/>
    <w:rsid w:val="00327E44"/>
    <w:rsid w:val="0033635C"/>
    <w:rsid w:val="003368F5"/>
    <w:rsid w:val="00336D6F"/>
    <w:rsid w:val="00343200"/>
    <w:rsid w:val="00345CB4"/>
    <w:rsid w:val="003549B8"/>
    <w:rsid w:val="00362F40"/>
    <w:rsid w:val="00364186"/>
    <w:rsid w:val="00371BCF"/>
    <w:rsid w:val="0038232C"/>
    <w:rsid w:val="003A110C"/>
    <w:rsid w:val="003A445C"/>
    <w:rsid w:val="003B0668"/>
    <w:rsid w:val="003B69FD"/>
    <w:rsid w:val="003C486B"/>
    <w:rsid w:val="003D069C"/>
    <w:rsid w:val="003D4F3C"/>
    <w:rsid w:val="003D7646"/>
    <w:rsid w:val="003F113A"/>
    <w:rsid w:val="003F58AC"/>
    <w:rsid w:val="00414643"/>
    <w:rsid w:val="00423AD7"/>
    <w:rsid w:val="004260C3"/>
    <w:rsid w:val="004421E5"/>
    <w:rsid w:val="004429A1"/>
    <w:rsid w:val="0044522D"/>
    <w:rsid w:val="004505B4"/>
    <w:rsid w:val="00452284"/>
    <w:rsid w:val="004708DD"/>
    <w:rsid w:val="00481CE0"/>
    <w:rsid w:val="004856CA"/>
    <w:rsid w:val="0049705E"/>
    <w:rsid w:val="004A34A0"/>
    <w:rsid w:val="004C0D44"/>
    <w:rsid w:val="004C32FA"/>
    <w:rsid w:val="004E71ED"/>
    <w:rsid w:val="00503A13"/>
    <w:rsid w:val="00504A2E"/>
    <w:rsid w:val="0052172F"/>
    <w:rsid w:val="00526A39"/>
    <w:rsid w:val="00526B7B"/>
    <w:rsid w:val="005308CE"/>
    <w:rsid w:val="00540FE0"/>
    <w:rsid w:val="00547708"/>
    <w:rsid w:val="00555100"/>
    <w:rsid w:val="005732C5"/>
    <w:rsid w:val="0057439C"/>
    <w:rsid w:val="005842FE"/>
    <w:rsid w:val="0059491F"/>
    <w:rsid w:val="005B0127"/>
    <w:rsid w:val="005B3562"/>
    <w:rsid w:val="005B7A35"/>
    <w:rsid w:val="005C4B73"/>
    <w:rsid w:val="005C65CA"/>
    <w:rsid w:val="005D5440"/>
    <w:rsid w:val="005D6E22"/>
    <w:rsid w:val="005E1D2B"/>
    <w:rsid w:val="005F5C73"/>
    <w:rsid w:val="00600D93"/>
    <w:rsid w:val="00606664"/>
    <w:rsid w:val="00607593"/>
    <w:rsid w:val="00632341"/>
    <w:rsid w:val="0063261B"/>
    <w:rsid w:val="0063300C"/>
    <w:rsid w:val="0064453C"/>
    <w:rsid w:val="00655028"/>
    <w:rsid w:val="00655736"/>
    <w:rsid w:val="00662E69"/>
    <w:rsid w:val="00663B8D"/>
    <w:rsid w:val="00681836"/>
    <w:rsid w:val="006842B2"/>
    <w:rsid w:val="0068642D"/>
    <w:rsid w:val="006872A1"/>
    <w:rsid w:val="0069005D"/>
    <w:rsid w:val="00696C8D"/>
    <w:rsid w:val="00697C93"/>
    <w:rsid w:val="006A2AC2"/>
    <w:rsid w:val="006A3617"/>
    <w:rsid w:val="006B6D58"/>
    <w:rsid w:val="006C28CA"/>
    <w:rsid w:val="006D2468"/>
    <w:rsid w:val="006E010C"/>
    <w:rsid w:val="006E46E4"/>
    <w:rsid w:val="006F41B4"/>
    <w:rsid w:val="007018C9"/>
    <w:rsid w:val="00703FBF"/>
    <w:rsid w:val="0070600A"/>
    <w:rsid w:val="00706D38"/>
    <w:rsid w:val="00710677"/>
    <w:rsid w:val="0071273F"/>
    <w:rsid w:val="00713BAE"/>
    <w:rsid w:val="00717DA5"/>
    <w:rsid w:val="00720AB2"/>
    <w:rsid w:val="00727DFF"/>
    <w:rsid w:val="00744484"/>
    <w:rsid w:val="00745E1E"/>
    <w:rsid w:val="00763046"/>
    <w:rsid w:val="00763A0D"/>
    <w:rsid w:val="00773188"/>
    <w:rsid w:val="00783782"/>
    <w:rsid w:val="00784B8C"/>
    <w:rsid w:val="007958B1"/>
    <w:rsid w:val="007B223F"/>
    <w:rsid w:val="007B35E7"/>
    <w:rsid w:val="007B5EB5"/>
    <w:rsid w:val="007D6313"/>
    <w:rsid w:val="007F414E"/>
    <w:rsid w:val="00800203"/>
    <w:rsid w:val="00811D5E"/>
    <w:rsid w:val="00823A11"/>
    <w:rsid w:val="008328F5"/>
    <w:rsid w:val="00852866"/>
    <w:rsid w:val="0085414A"/>
    <w:rsid w:val="0086269D"/>
    <w:rsid w:val="0086543A"/>
    <w:rsid w:val="00865FB9"/>
    <w:rsid w:val="00866AE3"/>
    <w:rsid w:val="008724E5"/>
    <w:rsid w:val="00873FA7"/>
    <w:rsid w:val="00884A9D"/>
    <w:rsid w:val="0088512B"/>
    <w:rsid w:val="008948AA"/>
    <w:rsid w:val="008A1ED4"/>
    <w:rsid w:val="008A2B2D"/>
    <w:rsid w:val="008A4E1E"/>
    <w:rsid w:val="008B4AF1"/>
    <w:rsid w:val="008C296C"/>
    <w:rsid w:val="008C3571"/>
    <w:rsid w:val="008D4305"/>
    <w:rsid w:val="00912252"/>
    <w:rsid w:val="009163A7"/>
    <w:rsid w:val="0091661F"/>
    <w:rsid w:val="009166EB"/>
    <w:rsid w:val="00916C5E"/>
    <w:rsid w:val="00937C25"/>
    <w:rsid w:val="0094593F"/>
    <w:rsid w:val="00946D0B"/>
    <w:rsid w:val="00946DAB"/>
    <w:rsid w:val="009509BF"/>
    <w:rsid w:val="00957A61"/>
    <w:rsid w:val="0096220E"/>
    <w:rsid w:val="00962997"/>
    <w:rsid w:val="00962CD3"/>
    <w:rsid w:val="009649C6"/>
    <w:rsid w:val="00973222"/>
    <w:rsid w:val="00982889"/>
    <w:rsid w:val="00982C1E"/>
    <w:rsid w:val="009936EC"/>
    <w:rsid w:val="009A18CD"/>
    <w:rsid w:val="009B0065"/>
    <w:rsid w:val="009B448C"/>
    <w:rsid w:val="009C0B8D"/>
    <w:rsid w:val="009C4425"/>
    <w:rsid w:val="009D3D38"/>
    <w:rsid w:val="009D5D11"/>
    <w:rsid w:val="009F080D"/>
    <w:rsid w:val="009F4420"/>
    <w:rsid w:val="00A04686"/>
    <w:rsid w:val="00A048CA"/>
    <w:rsid w:val="00A07D87"/>
    <w:rsid w:val="00A12558"/>
    <w:rsid w:val="00A13903"/>
    <w:rsid w:val="00A140AA"/>
    <w:rsid w:val="00A25631"/>
    <w:rsid w:val="00A25BDE"/>
    <w:rsid w:val="00A30AA7"/>
    <w:rsid w:val="00A34ED5"/>
    <w:rsid w:val="00A45DBF"/>
    <w:rsid w:val="00A46782"/>
    <w:rsid w:val="00A473F4"/>
    <w:rsid w:val="00A56D40"/>
    <w:rsid w:val="00A61A01"/>
    <w:rsid w:val="00A645DF"/>
    <w:rsid w:val="00A65C29"/>
    <w:rsid w:val="00A7514A"/>
    <w:rsid w:val="00A755A2"/>
    <w:rsid w:val="00A759DB"/>
    <w:rsid w:val="00A75CC3"/>
    <w:rsid w:val="00AA160B"/>
    <w:rsid w:val="00AA41A2"/>
    <w:rsid w:val="00AA6660"/>
    <w:rsid w:val="00AB1433"/>
    <w:rsid w:val="00AB2C36"/>
    <w:rsid w:val="00AB70B6"/>
    <w:rsid w:val="00AC02C4"/>
    <w:rsid w:val="00AC3AC5"/>
    <w:rsid w:val="00AC4C32"/>
    <w:rsid w:val="00AD1A86"/>
    <w:rsid w:val="00AE103E"/>
    <w:rsid w:val="00AE2368"/>
    <w:rsid w:val="00AF0A07"/>
    <w:rsid w:val="00AF4AEC"/>
    <w:rsid w:val="00AF625E"/>
    <w:rsid w:val="00B044BC"/>
    <w:rsid w:val="00B04D98"/>
    <w:rsid w:val="00B13292"/>
    <w:rsid w:val="00B20052"/>
    <w:rsid w:val="00B35401"/>
    <w:rsid w:val="00B370A8"/>
    <w:rsid w:val="00B4098B"/>
    <w:rsid w:val="00B45DD7"/>
    <w:rsid w:val="00B70B0C"/>
    <w:rsid w:val="00B75EAD"/>
    <w:rsid w:val="00B916D1"/>
    <w:rsid w:val="00B921CB"/>
    <w:rsid w:val="00B96B09"/>
    <w:rsid w:val="00BA1037"/>
    <w:rsid w:val="00BB04AF"/>
    <w:rsid w:val="00BD2158"/>
    <w:rsid w:val="00BD52C9"/>
    <w:rsid w:val="00BD6922"/>
    <w:rsid w:val="00BE19AE"/>
    <w:rsid w:val="00BE6354"/>
    <w:rsid w:val="00BF24BE"/>
    <w:rsid w:val="00C20B31"/>
    <w:rsid w:val="00C225FC"/>
    <w:rsid w:val="00C23A97"/>
    <w:rsid w:val="00C30EAB"/>
    <w:rsid w:val="00C42C66"/>
    <w:rsid w:val="00C43C79"/>
    <w:rsid w:val="00C50660"/>
    <w:rsid w:val="00C513B5"/>
    <w:rsid w:val="00C57055"/>
    <w:rsid w:val="00C57694"/>
    <w:rsid w:val="00C617A5"/>
    <w:rsid w:val="00C70EA7"/>
    <w:rsid w:val="00C710BB"/>
    <w:rsid w:val="00C7516E"/>
    <w:rsid w:val="00C75770"/>
    <w:rsid w:val="00C86CA3"/>
    <w:rsid w:val="00C9070D"/>
    <w:rsid w:val="00C91275"/>
    <w:rsid w:val="00CA0A2C"/>
    <w:rsid w:val="00CB5AE6"/>
    <w:rsid w:val="00CB7DF8"/>
    <w:rsid w:val="00CC2CE5"/>
    <w:rsid w:val="00CC4819"/>
    <w:rsid w:val="00CC756E"/>
    <w:rsid w:val="00CC76E6"/>
    <w:rsid w:val="00CE040C"/>
    <w:rsid w:val="00D00A19"/>
    <w:rsid w:val="00D00B2B"/>
    <w:rsid w:val="00D143FC"/>
    <w:rsid w:val="00D22120"/>
    <w:rsid w:val="00D24877"/>
    <w:rsid w:val="00D344D9"/>
    <w:rsid w:val="00D34F6A"/>
    <w:rsid w:val="00D40847"/>
    <w:rsid w:val="00D4784E"/>
    <w:rsid w:val="00D5452C"/>
    <w:rsid w:val="00D65D80"/>
    <w:rsid w:val="00D85B51"/>
    <w:rsid w:val="00D95C4C"/>
    <w:rsid w:val="00DA36ED"/>
    <w:rsid w:val="00DA62E7"/>
    <w:rsid w:val="00DC26C2"/>
    <w:rsid w:val="00DE34F1"/>
    <w:rsid w:val="00DE5A77"/>
    <w:rsid w:val="00DF1D35"/>
    <w:rsid w:val="00DF4942"/>
    <w:rsid w:val="00E00B99"/>
    <w:rsid w:val="00E5262D"/>
    <w:rsid w:val="00E5543C"/>
    <w:rsid w:val="00E627B1"/>
    <w:rsid w:val="00E81592"/>
    <w:rsid w:val="00E820B3"/>
    <w:rsid w:val="00E82A24"/>
    <w:rsid w:val="00E86B8A"/>
    <w:rsid w:val="00E92CAB"/>
    <w:rsid w:val="00E9376C"/>
    <w:rsid w:val="00E96C22"/>
    <w:rsid w:val="00EA335E"/>
    <w:rsid w:val="00EA528C"/>
    <w:rsid w:val="00EB1A56"/>
    <w:rsid w:val="00ED14F3"/>
    <w:rsid w:val="00ED3540"/>
    <w:rsid w:val="00ED6A03"/>
    <w:rsid w:val="00EF19A6"/>
    <w:rsid w:val="00EF34E2"/>
    <w:rsid w:val="00EF4F1F"/>
    <w:rsid w:val="00EF69E3"/>
    <w:rsid w:val="00F010E0"/>
    <w:rsid w:val="00F05307"/>
    <w:rsid w:val="00F060E2"/>
    <w:rsid w:val="00F21DD2"/>
    <w:rsid w:val="00F242D4"/>
    <w:rsid w:val="00F3324E"/>
    <w:rsid w:val="00F45E58"/>
    <w:rsid w:val="00F53DE9"/>
    <w:rsid w:val="00F56044"/>
    <w:rsid w:val="00F576CB"/>
    <w:rsid w:val="00F67F2A"/>
    <w:rsid w:val="00F71A02"/>
    <w:rsid w:val="00F8246E"/>
    <w:rsid w:val="00FA10AC"/>
    <w:rsid w:val="00FB6630"/>
    <w:rsid w:val="00FC01B4"/>
    <w:rsid w:val="00FC3FCB"/>
    <w:rsid w:val="00FD1226"/>
    <w:rsid w:val="00FD6D8B"/>
    <w:rsid w:val="00FE01D0"/>
    <w:rsid w:val="00FF4830"/>
    <w:rsid w:val="00FF7CF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43F4874"/>
  <w15:docId w15:val="{518C2B6B-41BC-4C7D-BFA9-3954A95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fr-FR" w:eastAsia="fr-FR"/>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GA Heading,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character" w:customStyle="1" w:styleId="Titre4Car">
    <w:name w:val="Titre 4 Car"/>
    <w:aliases w:val="GA Heading Car,COM Heading Car"/>
    <w:link w:val="Titre4"/>
    <w:rsid w:val="00F71A02"/>
    <w:rPr>
      <w:rFonts w:ascii="Arial" w:eastAsia="Times New Roman" w:hAnsi="Arial"/>
      <w:b/>
      <w:bCs/>
      <w:snapToGrid w:val="0"/>
      <w:sz w:val="22"/>
      <w:szCs w:val="24"/>
      <w:lang w:eastAsia="en-US"/>
    </w:rPr>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paragraph" w:customStyle="1" w:styleId="ColorfulList-Accent11">
    <w:name w:val="Colorful List - Accent 11"/>
    <w:basedOn w:val="Normal"/>
    <w:uiPriority w:val="34"/>
    <w:rsid w:val="00F66657"/>
    <w:pPr>
      <w:ind w:left="720"/>
      <w:contextualSpacing/>
    </w:p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character" w:customStyle="1" w:styleId="MargeChar">
    <w:name w:val="Marge Char"/>
    <w:link w:val="Marge"/>
    <w:rsid w:val="003B0668"/>
    <w:rPr>
      <w:rFonts w:ascii="Arial" w:eastAsia="Times New Roman" w:hAnsi="Arial"/>
      <w:snapToGrid w:val="0"/>
      <w:sz w:val="22"/>
      <w:szCs w:val="24"/>
      <w:lang w:val="fr-FR" w:eastAsia="en-US"/>
    </w:r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2"/>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paragraph" w:styleId="Paragraphedeliste">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COMPara">
    <w:name w:val="COM Para"/>
    <w:qFormat/>
    <w:rsid w:val="009D3D38"/>
    <w:pPr>
      <w:spacing w:after="120"/>
      <w:ind w:left="720" w:hanging="360"/>
    </w:pPr>
    <w:rPr>
      <w:rFonts w:ascii="Arial" w:eastAsia="Times New Roman" w:hAnsi="Arial" w:cs="Arial"/>
      <w:snapToGrid w:val="0"/>
      <w:sz w:val="22"/>
      <w:szCs w:val="22"/>
      <w:lang w:eastAsia="en-US"/>
    </w:rPr>
  </w:style>
  <w:style w:type="character" w:styleId="Lienhypertexte">
    <w:name w:val="Hyperlink"/>
    <w:basedOn w:val="Policepardfaut"/>
    <w:uiPriority w:val="99"/>
    <w:unhideWhenUsed/>
    <w:rsid w:val="00295928"/>
    <w:rPr>
      <w:color w:val="0563C1" w:themeColor="hyperlink"/>
      <w:u w:val="single"/>
    </w:rPr>
  </w:style>
  <w:style w:type="paragraph" w:styleId="Notedebasdepage">
    <w:name w:val="footnote text"/>
    <w:basedOn w:val="Normal"/>
    <w:link w:val="NotedebasdepageCar"/>
    <w:uiPriority w:val="99"/>
    <w:semiHidden/>
    <w:unhideWhenUsed/>
    <w:rsid w:val="00295928"/>
    <w:rPr>
      <w:sz w:val="20"/>
      <w:szCs w:val="20"/>
    </w:rPr>
  </w:style>
  <w:style w:type="character" w:customStyle="1" w:styleId="NotedebasdepageCar">
    <w:name w:val="Note de bas de page Car"/>
    <w:basedOn w:val="Policepardfaut"/>
    <w:link w:val="Notedebasdepage"/>
    <w:uiPriority w:val="99"/>
    <w:semiHidden/>
    <w:rsid w:val="00295928"/>
    <w:rPr>
      <w:rFonts w:ascii="Times New Roman" w:eastAsia="Times New Roman" w:hAnsi="Times New Roman"/>
      <w:lang w:val="fr-FR" w:eastAsia="fr-FR"/>
    </w:rPr>
  </w:style>
  <w:style w:type="character" w:styleId="Appelnotedebasdep">
    <w:name w:val="footnote reference"/>
    <w:basedOn w:val="Policepardfaut"/>
    <w:uiPriority w:val="99"/>
    <w:semiHidden/>
    <w:unhideWhenUsed/>
    <w:rsid w:val="00295928"/>
    <w:rPr>
      <w:vertAlign w:val="superscript"/>
    </w:rPr>
  </w:style>
  <w:style w:type="character" w:styleId="Accentuation">
    <w:name w:val="Emphasis"/>
    <w:uiPriority w:val="20"/>
    <w:qFormat/>
    <w:rsid w:val="00295928"/>
    <w:rPr>
      <w:b/>
      <w:bCs/>
      <w:i w:val="0"/>
      <w:iCs w:val="0"/>
    </w:rPr>
  </w:style>
  <w:style w:type="table" w:styleId="TableauGrille4-Accentuation1">
    <w:name w:val="Grid Table 4 Accent 1"/>
    <w:basedOn w:val="TableauNormal"/>
    <w:uiPriority w:val="49"/>
    <w:rsid w:val="00713BAE"/>
    <w:rPr>
      <w:rFonts w:asciiTheme="minorHAnsi" w:eastAsiaTheme="minorHAnsi" w:hAnsiTheme="minorHAnsi" w:cstheme="minorBidi"/>
      <w:sz w:val="22"/>
      <w:szCs w:val="22"/>
      <w:lang w:val="fr-FR"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D00A19"/>
    <w:pPr>
      <w:autoSpaceDE w:val="0"/>
      <w:autoSpaceDN w:val="0"/>
      <w:adjustRightInd w:val="0"/>
    </w:pPr>
    <w:rPr>
      <w:rFonts w:ascii="Arial" w:hAnsi="Arial" w:cs="Arial"/>
      <w:color w:val="000000"/>
      <w:sz w:val="24"/>
      <w:szCs w:val="24"/>
      <w:lang w:val="fr-FR"/>
    </w:rPr>
  </w:style>
  <w:style w:type="character" w:styleId="Marquedecommentaire">
    <w:name w:val="annotation reference"/>
    <w:basedOn w:val="Policepardfaut"/>
    <w:uiPriority w:val="99"/>
    <w:semiHidden/>
    <w:unhideWhenUsed/>
    <w:rsid w:val="001D65CB"/>
    <w:rPr>
      <w:sz w:val="16"/>
      <w:szCs w:val="16"/>
    </w:rPr>
  </w:style>
  <w:style w:type="paragraph" w:styleId="Commentaire">
    <w:name w:val="annotation text"/>
    <w:basedOn w:val="Normal"/>
    <w:link w:val="CommentaireCar"/>
    <w:uiPriority w:val="99"/>
    <w:semiHidden/>
    <w:unhideWhenUsed/>
    <w:rsid w:val="001D65CB"/>
    <w:rPr>
      <w:sz w:val="20"/>
      <w:szCs w:val="20"/>
    </w:rPr>
  </w:style>
  <w:style w:type="character" w:customStyle="1" w:styleId="CommentaireCar">
    <w:name w:val="Commentaire Car"/>
    <w:basedOn w:val="Policepardfaut"/>
    <w:link w:val="Commentaire"/>
    <w:uiPriority w:val="99"/>
    <w:semiHidden/>
    <w:rsid w:val="001D65CB"/>
    <w:rPr>
      <w:rFonts w:ascii="Times New Roman" w:eastAsia="Times New Roman" w:hAnsi="Times New Roman"/>
      <w:lang w:val="fr-FR" w:eastAsia="fr-FR"/>
    </w:rPr>
  </w:style>
  <w:style w:type="paragraph" w:customStyle="1" w:styleId="COMTitleDecision">
    <w:name w:val="COM Title Decision"/>
    <w:basedOn w:val="Normal"/>
    <w:qFormat/>
    <w:rsid w:val="003B0668"/>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3B0668"/>
    <w:pPr>
      <w:keepNext/>
      <w:spacing w:after="120"/>
      <w:ind w:left="567"/>
      <w:jc w:val="both"/>
    </w:pPr>
    <w:rPr>
      <w:rFonts w:ascii="Arial" w:hAnsi="Arial" w:cs="Arial"/>
      <w:sz w:val="22"/>
      <w:szCs w:val="22"/>
      <w:lang w:val="en-GB"/>
    </w:rPr>
  </w:style>
  <w:style w:type="paragraph" w:customStyle="1" w:styleId="Paragraph">
    <w:name w:val="Paragraph"/>
    <w:basedOn w:val="Marge"/>
    <w:link w:val="ParagraphChar"/>
    <w:qFormat/>
    <w:rsid w:val="003B0668"/>
    <w:pPr>
      <w:numPr>
        <w:numId w:val="15"/>
      </w:numPr>
    </w:pPr>
    <w:rPr>
      <w:rFonts w:cs="Arial"/>
      <w:szCs w:val="22"/>
      <w:lang w:val="en-GB"/>
    </w:rPr>
  </w:style>
  <w:style w:type="character" w:customStyle="1" w:styleId="ParagraphChar">
    <w:name w:val="Paragraph Char"/>
    <w:link w:val="Paragraph"/>
    <w:rsid w:val="003B0668"/>
    <w:rPr>
      <w:rFonts w:ascii="Arial" w:eastAsia="Times New Roman" w:hAnsi="Arial" w:cs="Arial"/>
      <w:snapToGrid w:val="0"/>
      <w:sz w:val="22"/>
      <w:szCs w:val="22"/>
      <w:lang w:eastAsia="en-US"/>
    </w:rPr>
  </w:style>
  <w:style w:type="character" w:customStyle="1" w:styleId="ObjetducommentaireCar">
    <w:name w:val="Objet du commentaire Car"/>
    <w:basedOn w:val="CommentaireCar"/>
    <w:link w:val="Objetducommentaire"/>
    <w:uiPriority w:val="99"/>
    <w:semiHidden/>
    <w:rsid w:val="003B0668"/>
    <w:rPr>
      <w:rFonts w:ascii="Times New Roman" w:eastAsia="Times New Roman" w:hAnsi="Times New Roman"/>
      <w:b/>
      <w:bCs/>
      <w:lang w:val="fr-FR" w:eastAsia="fr-FR"/>
    </w:rPr>
  </w:style>
  <w:style w:type="paragraph" w:styleId="Objetducommentaire">
    <w:name w:val="annotation subject"/>
    <w:basedOn w:val="Commentaire"/>
    <w:next w:val="Commentaire"/>
    <w:link w:val="ObjetducommentaireCar"/>
    <w:uiPriority w:val="99"/>
    <w:semiHidden/>
    <w:unhideWhenUsed/>
    <w:rsid w:val="003B0668"/>
    <w:rPr>
      <w:b/>
      <w:bCs/>
    </w:rPr>
  </w:style>
  <w:style w:type="paragraph" w:styleId="Notedefin">
    <w:name w:val="endnote text"/>
    <w:basedOn w:val="Normal"/>
    <w:link w:val="NotedefinCar"/>
    <w:uiPriority w:val="99"/>
    <w:semiHidden/>
    <w:unhideWhenUsed/>
    <w:rsid w:val="003B0668"/>
    <w:rPr>
      <w:sz w:val="20"/>
      <w:szCs w:val="20"/>
    </w:rPr>
  </w:style>
  <w:style w:type="character" w:customStyle="1" w:styleId="NotedefinCar">
    <w:name w:val="Note de fin Car"/>
    <w:basedOn w:val="Policepardfaut"/>
    <w:link w:val="Notedefin"/>
    <w:uiPriority w:val="99"/>
    <w:semiHidden/>
    <w:rsid w:val="003B0668"/>
    <w:rPr>
      <w:rFonts w:ascii="Times New Roman" w:eastAsia="Times New Roman" w:hAnsi="Times New Roman"/>
      <w:lang w:val="fr-FR" w:eastAsia="fr-FR"/>
    </w:rPr>
  </w:style>
  <w:style w:type="character" w:styleId="Lienhypertextesuivivisit">
    <w:name w:val="FollowedHyperlink"/>
    <w:basedOn w:val="Policepardfaut"/>
    <w:uiPriority w:val="99"/>
    <w:semiHidden/>
    <w:unhideWhenUsed/>
    <w:rsid w:val="003B0668"/>
    <w:rPr>
      <w:color w:val="954F72" w:themeColor="followedHyperlink"/>
      <w:u w:val="single"/>
    </w:rPr>
  </w:style>
  <w:style w:type="character" w:customStyle="1" w:styleId="hps">
    <w:name w:val="hps"/>
    <w:rsid w:val="003B0668"/>
  </w:style>
  <w:style w:type="character" w:styleId="lev">
    <w:name w:val="Strong"/>
    <w:basedOn w:val="Policepardfaut"/>
    <w:uiPriority w:val="22"/>
    <w:qFormat/>
    <w:rsid w:val="003B0668"/>
    <w:rPr>
      <w:b/>
      <w:bCs/>
    </w:rPr>
  </w:style>
  <w:style w:type="paragraph" w:customStyle="1" w:styleId="OGParagraphLevel1Numbered">
    <w:name w:val="OG Paragraph Level 1 Numbered"/>
    <w:basedOn w:val="Normal"/>
    <w:uiPriority w:val="1"/>
    <w:qFormat/>
    <w:rsid w:val="003B0668"/>
    <w:pPr>
      <w:keepLines/>
      <w:numPr>
        <w:numId w:val="24"/>
      </w:numPr>
      <w:suppressAutoHyphens/>
      <w:spacing w:after="200"/>
      <w:jc w:val="both"/>
    </w:pPr>
    <w:rPr>
      <w:rFonts w:eastAsiaTheme="minorEastAsia" w:cstheme="minorBidi"/>
      <w:spacing w:val="-4"/>
      <w:sz w:val="22"/>
      <w:szCs w:val="22"/>
      <w:lang w:val="en-US" w:eastAsia="zh-CN"/>
      <w14:ligatures w14:val="standardContextual"/>
    </w:rPr>
  </w:style>
  <w:style w:type="paragraph" w:styleId="Rvision">
    <w:name w:val="Revision"/>
    <w:hidden/>
    <w:uiPriority w:val="99"/>
    <w:semiHidden/>
    <w:rsid w:val="0071273F"/>
    <w:rPr>
      <w:rFonts w:ascii="Times New Roman" w:eastAsia="Times New Roman" w:hAnsi="Times New Roman"/>
      <w:sz w:val="24"/>
      <w:szCs w:val="24"/>
      <w:lang w:val="fr-FR" w:eastAsia="fr-FR"/>
    </w:rPr>
  </w:style>
  <w:style w:type="character" w:customStyle="1" w:styleId="Mentionnonrsolue1">
    <w:name w:val="Mention non résolue1"/>
    <w:basedOn w:val="Policepardfaut"/>
    <w:uiPriority w:val="99"/>
    <w:semiHidden/>
    <w:unhideWhenUsed/>
    <w:rsid w:val="00E81592"/>
    <w:rPr>
      <w:color w:val="605E5C"/>
      <w:shd w:val="clear" w:color="auto" w:fill="E1DFDD"/>
    </w:rPr>
  </w:style>
  <w:style w:type="character" w:customStyle="1" w:styleId="UnresolvedMention">
    <w:name w:val="Unresolved Mention"/>
    <w:basedOn w:val="Policepardfaut"/>
    <w:uiPriority w:val="99"/>
    <w:semiHidden/>
    <w:unhideWhenUsed/>
    <w:rsid w:val="00F45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821">
      <w:bodyDiv w:val="1"/>
      <w:marLeft w:val="0"/>
      <w:marRight w:val="0"/>
      <w:marTop w:val="0"/>
      <w:marBottom w:val="0"/>
      <w:divBdr>
        <w:top w:val="none" w:sz="0" w:space="0" w:color="auto"/>
        <w:left w:val="none" w:sz="0" w:space="0" w:color="auto"/>
        <w:bottom w:val="none" w:sz="0" w:space="0" w:color="auto"/>
        <w:right w:val="none" w:sz="0" w:space="0" w:color="auto"/>
      </w:divBdr>
    </w:div>
    <w:div w:id="500700091">
      <w:bodyDiv w:val="1"/>
      <w:marLeft w:val="0"/>
      <w:marRight w:val="0"/>
      <w:marTop w:val="0"/>
      <w:marBottom w:val="0"/>
      <w:divBdr>
        <w:top w:val="none" w:sz="0" w:space="0" w:color="auto"/>
        <w:left w:val="none" w:sz="0" w:space="0" w:color="auto"/>
        <w:bottom w:val="none" w:sz="0" w:space="0" w:color="auto"/>
        <w:right w:val="none" w:sz="0" w:space="0" w:color="auto"/>
      </w:divBdr>
    </w:div>
    <w:div w:id="76515564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9096096">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3.COM/6" TargetMode="External"/><Relationship Id="rId13" Type="http://schemas.openxmlformats.org/officeDocument/2006/relationships/hyperlink" Target="https://ich.unesco.org/en/Decisions/13.COM/10" TargetMode="External"/><Relationship Id="rId18" Type="http://schemas.openxmlformats.org/officeDocument/2006/relationships/hyperlink" Target="https://ich.unesco.org/doc/src/LHE-19-14.COM-14-EN.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en/Decisions/14.COM/14" TargetMode="External"/><Relationship Id="rId7" Type="http://schemas.openxmlformats.org/officeDocument/2006/relationships/endnotes" Target="endnotes.xml"/><Relationship Id="rId12" Type="http://schemas.openxmlformats.org/officeDocument/2006/relationships/hyperlink" Target="https://ich.unesco.org/en/Decisions/13.COM/6" TargetMode="External"/><Relationship Id="rId17" Type="http://schemas.openxmlformats.org/officeDocument/2006/relationships/hyperlink" Target="https://ich.unesco.org/doc/src/LHE-19-14.COM-14-E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0-8.GA-10-EN.docx" TargetMode="External"/><Relationship Id="rId20" Type="http://schemas.openxmlformats.org/officeDocument/2006/relationships/hyperlink" Target="https://ich.unesco.org/en/Decisions/13.COM/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1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en/Decisions/13.COM/10" TargetMode="External"/><Relationship Id="rId23" Type="http://schemas.openxmlformats.org/officeDocument/2006/relationships/header" Target="header2.xml"/><Relationship Id="rId10" Type="http://schemas.openxmlformats.org/officeDocument/2006/relationships/hyperlink" Target="https://ich.unesco.org/en/Decisions/14.COM/14" TargetMode="External"/><Relationship Id="rId19" Type="http://schemas.openxmlformats.org/officeDocument/2006/relationships/hyperlink" Target="https://ich.unesco.org/en/Decisions/13.COM/6" TargetMode="External"/><Relationship Id="rId4" Type="http://schemas.openxmlformats.org/officeDocument/2006/relationships/settings" Target="settings.xml"/><Relationship Id="rId9" Type="http://schemas.openxmlformats.org/officeDocument/2006/relationships/hyperlink" Target="https://ich.unesco.org/en/Decisions/13.COM/10" TargetMode="External"/><Relationship Id="rId14" Type="http://schemas.openxmlformats.org/officeDocument/2006/relationships/hyperlink" Target="https://ich.unesco.org/en/Decisions/14.COM/14"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2E95-C011-40EA-82C1-22DA1322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227</TotalTime>
  <Pages>5</Pages>
  <Words>1905</Words>
  <Characters>10481</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Ohinata, Fumiko</cp:lastModifiedBy>
  <cp:revision>31</cp:revision>
  <cp:lastPrinted>2020-07-30T15:51:00Z</cp:lastPrinted>
  <dcterms:created xsi:type="dcterms:W3CDTF">2020-07-29T13:58:00Z</dcterms:created>
  <dcterms:modified xsi:type="dcterms:W3CDTF">2020-08-07T16:33:00Z</dcterms:modified>
</cp:coreProperties>
</file>