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830B" w14:textId="77777777" w:rsidR="002938F2" w:rsidRPr="00080D6A" w:rsidRDefault="002938F2" w:rsidP="00AE1B18">
      <w:pPr>
        <w:spacing w:before="1440"/>
        <w:jc w:val="center"/>
        <w:rPr>
          <w:rFonts w:ascii="Arial" w:hAnsi="Arial" w:cs="Arial"/>
          <w:b/>
          <w:szCs w:val="22"/>
        </w:rPr>
      </w:pPr>
      <w:r w:rsidRPr="00080D6A">
        <w:rPr>
          <w:rFonts w:ascii="Arial" w:hAnsi="Arial" w:cs="Arial"/>
          <w:b/>
          <w:szCs w:val="22"/>
        </w:rPr>
        <w:t>CONVENT</w:t>
      </w:r>
      <w:r w:rsidR="00E72B36" w:rsidRPr="00080D6A">
        <w:rPr>
          <w:rFonts w:ascii="Arial" w:hAnsi="Arial" w:cs="Arial"/>
          <w:b/>
          <w:szCs w:val="22"/>
        </w:rPr>
        <w:t>ION FOR THE SAFEGUARDING OF THE</w:t>
      </w:r>
      <w:r w:rsidRPr="00080D6A">
        <w:rPr>
          <w:rFonts w:ascii="Arial" w:hAnsi="Arial" w:cs="Arial"/>
          <w:b/>
          <w:szCs w:val="22"/>
        </w:rPr>
        <w:br/>
        <w:t>INTANGIBLE CULTURAL HERITAGE</w:t>
      </w:r>
    </w:p>
    <w:p w14:paraId="1D2DE622" w14:textId="77777777" w:rsidR="007E4E37" w:rsidRPr="00080D6A" w:rsidRDefault="007E4E37" w:rsidP="007E4E37">
      <w:pPr>
        <w:spacing w:before="1200"/>
        <w:jc w:val="center"/>
        <w:rPr>
          <w:rFonts w:ascii="Arial" w:hAnsi="Arial" w:cs="Arial"/>
          <w:b/>
          <w:szCs w:val="22"/>
        </w:rPr>
      </w:pPr>
      <w:r w:rsidRPr="00080D6A">
        <w:rPr>
          <w:rFonts w:ascii="Arial" w:hAnsi="Arial" w:cs="Arial"/>
          <w:b/>
          <w:szCs w:val="22"/>
        </w:rPr>
        <w:t>INTERGOVERNMENTAL COMMITTEE FOR THE</w:t>
      </w:r>
      <w:r w:rsidRPr="00080D6A">
        <w:rPr>
          <w:rFonts w:ascii="Arial" w:hAnsi="Arial" w:cs="Arial"/>
          <w:b/>
          <w:szCs w:val="22"/>
        </w:rPr>
        <w:br/>
        <w:t>SAFEGUARDING OF THE INTANGIBLE CULTURAL HERITAGE</w:t>
      </w:r>
    </w:p>
    <w:p w14:paraId="04E2757B" w14:textId="0A11D304" w:rsidR="00FD1941" w:rsidRPr="00080D6A" w:rsidRDefault="00483688" w:rsidP="00FD1941">
      <w:pPr>
        <w:spacing w:before="840" w:after="0"/>
        <w:jc w:val="center"/>
        <w:rPr>
          <w:rFonts w:ascii="Arial" w:eastAsiaTheme="minorEastAsia" w:hAnsi="Arial" w:cs="Arial"/>
          <w:b/>
          <w:szCs w:val="22"/>
          <w:lang w:eastAsia="ko-KR"/>
        </w:rPr>
      </w:pPr>
      <w:bookmarkStart w:id="0" w:name="_Hlk70514086"/>
      <w:r w:rsidRPr="00080D6A">
        <w:rPr>
          <w:rFonts w:ascii="Arial" w:eastAsiaTheme="minorEastAsia" w:hAnsi="Arial" w:cs="Arial"/>
          <w:b/>
          <w:szCs w:val="22"/>
          <w:lang w:eastAsia="ko-KR"/>
        </w:rPr>
        <w:t xml:space="preserve">Sixteenth </w:t>
      </w:r>
      <w:bookmarkEnd w:id="0"/>
      <w:r w:rsidR="00FD1941" w:rsidRPr="00080D6A">
        <w:rPr>
          <w:rFonts w:ascii="Arial" w:eastAsiaTheme="minorEastAsia" w:hAnsi="Arial" w:cs="Arial"/>
          <w:b/>
          <w:szCs w:val="22"/>
          <w:lang w:eastAsia="ko-KR"/>
        </w:rPr>
        <w:t>session</w:t>
      </w:r>
    </w:p>
    <w:p w14:paraId="7EC19BF6" w14:textId="3A2B0E6C" w:rsidR="00FD1941" w:rsidRPr="00080D6A" w:rsidRDefault="005D07C4" w:rsidP="00483688">
      <w:pPr>
        <w:spacing w:after="0"/>
        <w:jc w:val="center"/>
        <w:rPr>
          <w:rFonts w:ascii="Arial" w:eastAsiaTheme="minorEastAsia" w:hAnsi="Arial" w:cs="Arial"/>
          <w:b/>
          <w:szCs w:val="22"/>
          <w:lang w:eastAsia="ko-KR"/>
        </w:rPr>
      </w:pPr>
      <w:bookmarkStart w:id="1" w:name="_Hlk70514101"/>
      <w:r>
        <w:rPr>
          <w:rFonts w:ascii="Arial" w:eastAsiaTheme="minorEastAsia" w:hAnsi="Arial" w:cs="Arial"/>
          <w:b/>
          <w:szCs w:val="22"/>
          <w:lang w:eastAsia="ko-KR"/>
        </w:rPr>
        <w:t>Online</w:t>
      </w:r>
    </w:p>
    <w:p w14:paraId="648939FB" w14:textId="7D34D3B6" w:rsidR="00FD1941" w:rsidRPr="00080D6A" w:rsidRDefault="00FD1941" w:rsidP="00FD1941">
      <w:pPr>
        <w:spacing w:after="0"/>
        <w:jc w:val="center"/>
        <w:rPr>
          <w:rFonts w:ascii="Arial" w:eastAsiaTheme="minorEastAsia" w:hAnsi="Arial" w:cs="Arial"/>
          <w:b/>
          <w:szCs w:val="22"/>
          <w:lang w:eastAsia="ko-KR"/>
        </w:rPr>
      </w:pPr>
      <w:r w:rsidRPr="00080D6A">
        <w:rPr>
          <w:rFonts w:ascii="Arial" w:eastAsiaTheme="minorEastAsia" w:hAnsi="Arial" w:cs="Arial"/>
          <w:b/>
          <w:szCs w:val="22"/>
          <w:lang w:eastAsia="ko-KR"/>
        </w:rPr>
        <w:t>1</w:t>
      </w:r>
      <w:r w:rsidR="00483688" w:rsidRPr="00080D6A">
        <w:rPr>
          <w:rFonts w:ascii="Arial" w:eastAsiaTheme="minorEastAsia" w:hAnsi="Arial" w:cs="Arial"/>
          <w:b/>
          <w:szCs w:val="22"/>
          <w:lang w:eastAsia="ko-KR"/>
        </w:rPr>
        <w:t>3</w:t>
      </w:r>
      <w:r w:rsidRPr="00080D6A">
        <w:rPr>
          <w:rFonts w:ascii="Arial" w:eastAsiaTheme="minorEastAsia" w:hAnsi="Arial" w:cs="Arial"/>
          <w:b/>
          <w:szCs w:val="22"/>
          <w:lang w:eastAsia="ko-KR"/>
        </w:rPr>
        <w:t xml:space="preserve"> to 1</w:t>
      </w:r>
      <w:r w:rsidR="00483688" w:rsidRPr="00080D6A">
        <w:rPr>
          <w:rFonts w:ascii="Arial" w:eastAsiaTheme="minorEastAsia" w:hAnsi="Arial" w:cs="Arial"/>
          <w:b/>
          <w:szCs w:val="22"/>
          <w:lang w:eastAsia="ko-KR"/>
        </w:rPr>
        <w:t>8</w:t>
      </w:r>
      <w:r w:rsidRPr="00080D6A">
        <w:rPr>
          <w:rFonts w:ascii="Arial" w:eastAsiaTheme="minorEastAsia" w:hAnsi="Arial" w:cs="Arial"/>
          <w:b/>
          <w:szCs w:val="22"/>
          <w:lang w:eastAsia="ko-KR"/>
        </w:rPr>
        <w:t xml:space="preserve"> December 202</w:t>
      </w:r>
      <w:r w:rsidR="00483688" w:rsidRPr="00080D6A">
        <w:rPr>
          <w:rFonts w:ascii="Arial" w:eastAsiaTheme="minorEastAsia" w:hAnsi="Arial" w:cs="Arial"/>
          <w:b/>
          <w:szCs w:val="22"/>
          <w:lang w:eastAsia="ko-KR"/>
        </w:rPr>
        <w:t>1</w:t>
      </w:r>
    </w:p>
    <w:bookmarkEnd w:id="1"/>
    <w:p w14:paraId="003D8757" w14:textId="77777777" w:rsidR="003F682C" w:rsidRPr="00080D6A" w:rsidRDefault="003F682C" w:rsidP="003F682C">
      <w:pPr>
        <w:pStyle w:val="Sansinterligne2"/>
        <w:spacing w:before="1200" w:after="1200"/>
        <w:contextualSpacing/>
        <w:jc w:val="center"/>
        <w:rPr>
          <w:rFonts w:ascii="Arial" w:hAnsi="Arial" w:cs="Arial"/>
          <w:b/>
          <w:sz w:val="22"/>
          <w:szCs w:val="22"/>
          <w:lang w:val="en-GB"/>
        </w:rPr>
      </w:pPr>
      <w:r w:rsidRPr="00080D6A">
        <w:rPr>
          <w:rFonts w:ascii="Arial" w:hAnsi="Arial" w:cs="Arial"/>
          <w:b/>
          <w:sz w:val="22"/>
          <w:szCs w:val="22"/>
          <w:lang w:val="en-GB"/>
        </w:rPr>
        <w:t>FINANCIAL REPORT FOR THE PERIOD</w:t>
      </w:r>
    </w:p>
    <w:p w14:paraId="537DD08C" w14:textId="6B0385A1" w:rsidR="003F682C" w:rsidRPr="00080D6A" w:rsidRDefault="003F682C" w:rsidP="00C82C82">
      <w:pPr>
        <w:pStyle w:val="Sansinterligne2"/>
        <w:spacing w:before="1200" w:after="960"/>
        <w:contextualSpacing/>
        <w:jc w:val="center"/>
        <w:rPr>
          <w:rFonts w:ascii="Arial" w:hAnsi="Arial" w:cs="Arial"/>
          <w:b/>
          <w:sz w:val="22"/>
          <w:szCs w:val="22"/>
          <w:lang w:val="en-GB"/>
        </w:rPr>
      </w:pPr>
      <w:r w:rsidRPr="00080D6A">
        <w:rPr>
          <w:rFonts w:ascii="Arial" w:hAnsi="Arial" w:cs="Arial"/>
          <w:b/>
          <w:sz w:val="22"/>
          <w:szCs w:val="22"/>
          <w:lang w:val="en-GB"/>
        </w:rPr>
        <w:t xml:space="preserve">1 JANUARY 2020 </w:t>
      </w:r>
      <w:r w:rsidR="003E4D4C" w:rsidRPr="00080D6A">
        <w:rPr>
          <w:rFonts w:ascii="Arial" w:hAnsi="Arial" w:cs="Arial"/>
          <w:b/>
          <w:sz w:val="22"/>
          <w:szCs w:val="22"/>
          <w:lang w:val="en-GB"/>
        </w:rPr>
        <w:t>TO</w:t>
      </w:r>
      <w:r w:rsidR="00BA0E50" w:rsidRPr="00080D6A">
        <w:rPr>
          <w:rFonts w:ascii="Arial" w:hAnsi="Arial" w:cs="Arial"/>
          <w:b/>
          <w:sz w:val="22"/>
          <w:szCs w:val="22"/>
          <w:lang w:val="en-GB"/>
        </w:rPr>
        <w:t xml:space="preserve"> </w:t>
      </w:r>
      <w:r w:rsidRPr="00080D6A">
        <w:rPr>
          <w:rFonts w:ascii="Arial" w:hAnsi="Arial" w:cs="Arial"/>
          <w:b/>
          <w:sz w:val="22"/>
          <w:szCs w:val="22"/>
          <w:lang w:val="en-GB"/>
        </w:rPr>
        <w:t>30 JUNE 2021</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3F682C" w:rsidRPr="00080D6A" w14:paraId="2B92B843" w14:textId="77777777" w:rsidTr="00F06459">
        <w:trPr>
          <w:jc w:val="center"/>
        </w:trPr>
        <w:tc>
          <w:tcPr>
            <w:tcW w:w="5670" w:type="dxa"/>
            <w:vAlign w:val="center"/>
          </w:tcPr>
          <w:p w14:paraId="469A4BF6" w14:textId="77777777" w:rsidR="003F682C" w:rsidRPr="00080D6A" w:rsidRDefault="003F682C" w:rsidP="00F06459">
            <w:pPr>
              <w:pStyle w:val="Sansinterligne1"/>
              <w:spacing w:before="200" w:after="200"/>
              <w:jc w:val="center"/>
              <w:rPr>
                <w:rFonts w:ascii="Arial" w:hAnsi="Arial" w:cs="Arial"/>
                <w:b/>
                <w:sz w:val="22"/>
                <w:szCs w:val="22"/>
                <w:lang w:val="en-GB"/>
              </w:rPr>
            </w:pPr>
            <w:r w:rsidRPr="00080D6A">
              <w:rPr>
                <w:rFonts w:ascii="Arial" w:hAnsi="Arial" w:cs="Arial"/>
                <w:b/>
                <w:sz w:val="22"/>
                <w:szCs w:val="22"/>
                <w:lang w:val="en-GB"/>
              </w:rPr>
              <w:t>Summary</w:t>
            </w:r>
          </w:p>
          <w:p w14:paraId="2860FB3A" w14:textId="617D6F9B" w:rsidR="003F682C" w:rsidRPr="00080D6A" w:rsidRDefault="00800561" w:rsidP="00800561">
            <w:pPr>
              <w:pStyle w:val="Sansinterligne2"/>
              <w:spacing w:before="200" w:after="200"/>
              <w:jc w:val="both"/>
              <w:rPr>
                <w:rFonts w:ascii="Arial" w:hAnsi="Arial" w:cs="Arial"/>
                <w:sz w:val="22"/>
                <w:szCs w:val="22"/>
                <w:lang w:val="en-GB"/>
              </w:rPr>
            </w:pPr>
            <w:r w:rsidRPr="00080D6A">
              <w:rPr>
                <w:rFonts w:ascii="Arial" w:hAnsi="Arial" w:cs="Arial"/>
                <w:sz w:val="22"/>
                <w:szCs w:val="22"/>
                <w:lang w:val="en-GB"/>
              </w:rPr>
              <w:t>In conformity with Article 10.1 of the Special Account for the Fund for the Safeguarding of the Intangible Cultural Heritage’s Financial Regulations, a biennial financial report showing the income and expenditure ‘shall be prepared and submitted to the Committee and the General Assembly’. The present document includes the Financial Report for the Intangible Cultural Heritage Fund for the period 1 January 20</w:t>
            </w:r>
            <w:r w:rsidR="00106685" w:rsidRPr="00080D6A">
              <w:rPr>
                <w:rFonts w:ascii="Arial" w:hAnsi="Arial" w:cs="Arial"/>
                <w:sz w:val="22"/>
                <w:szCs w:val="22"/>
                <w:lang w:val="en-GB"/>
              </w:rPr>
              <w:t>20</w:t>
            </w:r>
            <w:r w:rsidRPr="00080D6A">
              <w:rPr>
                <w:rFonts w:ascii="Arial" w:hAnsi="Arial" w:cs="Arial"/>
                <w:sz w:val="22"/>
                <w:szCs w:val="22"/>
                <w:lang w:val="en-GB"/>
              </w:rPr>
              <w:t xml:space="preserve"> to </w:t>
            </w:r>
            <w:r w:rsidR="00106685" w:rsidRPr="00080D6A">
              <w:rPr>
                <w:rFonts w:ascii="Arial" w:hAnsi="Arial" w:cs="Arial"/>
                <w:sz w:val="22"/>
                <w:szCs w:val="22"/>
                <w:lang w:val="en-GB"/>
              </w:rPr>
              <w:t>30 June 2021</w:t>
            </w:r>
            <w:r w:rsidRPr="00080D6A">
              <w:rPr>
                <w:rFonts w:ascii="Arial" w:hAnsi="Arial" w:cs="Arial"/>
                <w:sz w:val="22"/>
                <w:szCs w:val="22"/>
                <w:lang w:val="en-GB"/>
              </w:rPr>
              <w:t>.</w:t>
            </w:r>
          </w:p>
        </w:tc>
      </w:tr>
    </w:tbl>
    <w:p w14:paraId="4F0AE962" w14:textId="0CA2F683" w:rsidR="00B53C9D" w:rsidRPr="00080D6A" w:rsidRDefault="00851458" w:rsidP="00B53C9D">
      <w:pPr>
        <w:pStyle w:val="COMPara"/>
        <w:numPr>
          <w:ilvl w:val="0"/>
          <w:numId w:val="10"/>
        </w:numPr>
        <w:tabs>
          <w:tab w:val="left" w:pos="567"/>
        </w:tabs>
        <w:ind w:left="567" w:hanging="567"/>
        <w:jc w:val="both"/>
      </w:pPr>
      <w:r w:rsidRPr="00080D6A">
        <w:br w:type="page"/>
      </w:r>
      <w:r w:rsidR="003F682C" w:rsidRPr="00080D6A">
        <w:lastRenderedPageBreak/>
        <w:t xml:space="preserve">The </w:t>
      </w:r>
      <w:r w:rsidR="006C7F8A" w:rsidRPr="00080D6A">
        <w:t xml:space="preserve">present </w:t>
      </w:r>
      <w:r w:rsidR="003F682C" w:rsidRPr="00080D6A">
        <w:t xml:space="preserve">Financial Report </w:t>
      </w:r>
      <w:r w:rsidR="00611692" w:rsidRPr="00080D6A">
        <w:t xml:space="preserve">of </w:t>
      </w:r>
      <w:r w:rsidR="00B53C9D" w:rsidRPr="00080D6A">
        <w:t>the Special Account for the Fund for the Safeguarding of the Intangible Cultural Heritage (hereafter ‘the Fund’)</w:t>
      </w:r>
      <w:r w:rsidR="00B53C9D" w:rsidRPr="00080D6A" w:rsidDel="00601C54">
        <w:t xml:space="preserve"> </w:t>
      </w:r>
      <w:r w:rsidR="003F682C" w:rsidRPr="00080D6A">
        <w:t xml:space="preserve">covers the period </w:t>
      </w:r>
      <w:r w:rsidR="003F682C" w:rsidRPr="00080D6A">
        <w:rPr>
          <w:u w:val="single"/>
        </w:rPr>
        <w:t>1 January 20</w:t>
      </w:r>
      <w:r w:rsidR="003A1DAD" w:rsidRPr="00080D6A">
        <w:rPr>
          <w:u w:val="single"/>
        </w:rPr>
        <w:t>20</w:t>
      </w:r>
      <w:r w:rsidR="003F682C" w:rsidRPr="00080D6A">
        <w:rPr>
          <w:u w:val="single"/>
        </w:rPr>
        <w:t xml:space="preserve"> to 30 June 20</w:t>
      </w:r>
      <w:r w:rsidR="003A1DAD" w:rsidRPr="00080D6A">
        <w:rPr>
          <w:u w:val="single"/>
        </w:rPr>
        <w:t>21</w:t>
      </w:r>
      <w:r w:rsidR="00B53C9D" w:rsidRPr="00080D6A">
        <w:t xml:space="preserve">. </w:t>
      </w:r>
      <w:r w:rsidR="00674529" w:rsidRPr="00080D6A">
        <w:t>The Fund is governed by its Financial Regulations, adopted by the Committee at its first extraordinary session and last amended by the General Assembly at its eighth session (</w:t>
      </w:r>
      <w:r w:rsidR="00DC0435" w:rsidRPr="00080D6A">
        <w:t xml:space="preserve">Resolution </w:t>
      </w:r>
      <w:hyperlink r:id="rId8" w:history="1">
        <w:r w:rsidR="00DC0435" w:rsidRPr="00080D6A">
          <w:rPr>
            <w:rStyle w:val="Hyperlink"/>
          </w:rPr>
          <w:t>8.GA 7</w:t>
        </w:r>
      </w:hyperlink>
      <w:r w:rsidR="00674529" w:rsidRPr="00080D6A">
        <w:t xml:space="preserve">). </w:t>
      </w:r>
      <w:r w:rsidR="00B53C9D" w:rsidRPr="00080D6A">
        <w:t>According to Article 10.1 of the Financial Regulations of the Fund, a financial report for the entire biennium (1 January 2020 to 31 December 2021) will be submitted to the General Assembly of the States Parties at its ninth session in June 2022.</w:t>
      </w:r>
    </w:p>
    <w:p w14:paraId="7DC6FDD7" w14:textId="203B6A27" w:rsidR="003F682C" w:rsidRPr="00080D6A" w:rsidRDefault="00674529" w:rsidP="00567902">
      <w:pPr>
        <w:pStyle w:val="COMPara"/>
        <w:numPr>
          <w:ilvl w:val="0"/>
          <w:numId w:val="10"/>
        </w:numPr>
        <w:tabs>
          <w:tab w:val="left" w:pos="567"/>
        </w:tabs>
        <w:ind w:left="567" w:hanging="567"/>
        <w:jc w:val="both"/>
      </w:pPr>
      <w:r w:rsidRPr="00080D6A">
        <w:t>The</w:t>
      </w:r>
      <w:r w:rsidR="003F682C" w:rsidRPr="00080D6A">
        <w:t xml:space="preserve"> sources of income</w:t>
      </w:r>
      <w:r w:rsidRPr="00080D6A">
        <w:t xml:space="preserve"> of the Fund</w:t>
      </w:r>
      <w:r w:rsidR="003F682C" w:rsidRPr="00080D6A">
        <w:t xml:space="preserve"> are </w:t>
      </w:r>
      <w:r w:rsidR="006C7F8A" w:rsidRPr="00080D6A">
        <w:t>stipulated in</w:t>
      </w:r>
      <w:r w:rsidR="003F682C" w:rsidRPr="00080D6A">
        <w:t xml:space="preserve"> Article 25.3 of the Convention and Article </w:t>
      </w:r>
      <w:r w:rsidR="00106685" w:rsidRPr="00080D6A">
        <w:t>5</w:t>
      </w:r>
      <w:r w:rsidR="003F682C" w:rsidRPr="00080D6A">
        <w:t xml:space="preserve"> of the above-mentioned Financial Regulations.</w:t>
      </w:r>
      <w:r w:rsidR="00B53C9D" w:rsidRPr="00080D6A">
        <w:t xml:space="preserve"> During the reporting period, the resources of the Fund related to the compulsory and voluntary assessed contributions from States Parties were utilized according to the Plan for the use of the resources of the Fund approved by the eighth session of the General Assembly in September 2020 (Resolution </w:t>
      </w:r>
      <w:hyperlink r:id="rId9" w:history="1">
        <w:r w:rsidR="00B53C9D" w:rsidRPr="00080D6A">
          <w:rPr>
            <w:rStyle w:val="Hyperlink"/>
          </w:rPr>
          <w:t>8.GA 7</w:t>
        </w:r>
      </w:hyperlink>
      <w:r w:rsidR="00B53C9D" w:rsidRPr="00080D6A">
        <w:t>).</w:t>
      </w:r>
    </w:p>
    <w:p w14:paraId="56050E20" w14:textId="77777777" w:rsidR="003F682C" w:rsidRPr="00080D6A" w:rsidRDefault="003F682C" w:rsidP="003F682C">
      <w:pPr>
        <w:pStyle w:val="Default"/>
        <w:keepNext/>
        <w:numPr>
          <w:ilvl w:val="0"/>
          <w:numId w:val="11"/>
        </w:numPr>
        <w:spacing w:before="240" w:after="120"/>
        <w:ind w:left="567" w:hanging="567"/>
        <w:jc w:val="both"/>
        <w:rPr>
          <w:b/>
          <w:bCs/>
          <w:sz w:val="22"/>
          <w:szCs w:val="22"/>
          <w:lang w:val="en-GB"/>
        </w:rPr>
      </w:pPr>
      <w:r w:rsidRPr="00080D6A">
        <w:rPr>
          <w:b/>
          <w:bCs/>
          <w:sz w:val="22"/>
          <w:szCs w:val="22"/>
          <w:lang w:val="en-GB"/>
        </w:rPr>
        <w:t xml:space="preserve">Income </w:t>
      </w:r>
      <w:r w:rsidRPr="00080D6A">
        <w:rPr>
          <w:rFonts w:eastAsia="MS Mincho" w:cs="Times New Roman"/>
          <w:b/>
          <w:bCs/>
          <w:color w:val="auto"/>
          <w:sz w:val="22"/>
          <w:lang w:val="en-GB"/>
        </w:rPr>
        <w:t>(Statement I)</w:t>
      </w:r>
      <w:r w:rsidRPr="00080D6A">
        <w:rPr>
          <w:rStyle w:val="FootnoteReference"/>
          <w:b/>
          <w:bCs/>
          <w:sz w:val="22"/>
          <w:szCs w:val="22"/>
          <w:lang w:val="en-GB"/>
        </w:rPr>
        <w:footnoteReference w:id="1"/>
      </w:r>
    </w:p>
    <w:p w14:paraId="1AFBC68E" w14:textId="2A81694C" w:rsidR="003F682C" w:rsidRPr="00080D6A" w:rsidRDefault="003F682C" w:rsidP="003F682C">
      <w:pPr>
        <w:pStyle w:val="COMPara"/>
        <w:numPr>
          <w:ilvl w:val="0"/>
          <w:numId w:val="10"/>
        </w:numPr>
        <w:tabs>
          <w:tab w:val="left" w:pos="567"/>
        </w:tabs>
        <w:ind w:left="567" w:hanging="567"/>
        <w:jc w:val="both"/>
      </w:pPr>
      <w:r w:rsidRPr="00080D6A">
        <w:t>During the reporting period, the income of the Fund consisted of:</w:t>
      </w:r>
    </w:p>
    <w:tbl>
      <w:tblPr>
        <w:tblW w:w="9072" w:type="dxa"/>
        <w:tblInd w:w="567" w:type="dxa"/>
        <w:tblLayout w:type="fixed"/>
        <w:tblLook w:val="04A0" w:firstRow="1" w:lastRow="0" w:firstColumn="1" w:lastColumn="0" w:noHBand="0" w:noVBand="1"/>
      </w:tblPr>
      <w:tblGrid>
        <w:gridCol w:w="7225"/>
        <w:gridCol w:w="1847"/>
      </w:tblGrid>
      <w:tr w:rsidR="003F682C" w:rsidRPr="00080D6A" w14:paraId="06C03AF0" w14:textId="77777777" w:rsidTr="00F06459">
        <w:trPr>
          <w:cantSplit/>
        </w:trPr>
        <w:tc>
          <w:tcPr>
            <w:tcW w:w="7225" w:type="dxa"/>
            <w:shd w:val="clear" w:color="auto" w:fill="auto"/>
            <w:vAlign w:val="center"/>
          </w:tcPr>
          <w:p w14:paraId="47FD02C3" w14:textId="77777777" w:rsidR="003F682C" w:rsidRPr="00080D6A" w:rsidRDefault="003F682C" w:rsidP="003F682C">
            <w:pPr>
              <w:pStyle w:val="Paragraph"/>
              <w:numPr>
                <w:ilvl w:val="0"/>
                <w:numId w:val="12"/>
              </w:numPr>
              <w:spacing w:before="60" w:after="60"/>
              <w:ind w:left="357" w:hanging="357"/>
              <w:jc w:val="left"/>
              <w:rPr>
                <w:rFonts w:eastAsia="MS Mincho"/>
                <w:bCs w:val="0"/>
                <w:sz w:val="20"/>
                <w:szCs w:val="20"/>
              </w:rPr>
            </w:pPr>
            <w:r w:rsidRPr="00080D6A">
              <w:rPr>
                <w:bCs w:val="0"/>
                <w:sz w:val="20"/>
                <w:szCs w:val="20"/>
                <w:u w:val="single"/>
              </w:rPr>
              <w:t>Compulsory and voluntary assessed contributions from States Parties</w:t>
            </w:r>
            <w:r w:rsidRPr="00080D6A">
              <w:rPr>
                <w:rStyle w:val="FootnoteReference"/>
                <w:bCs w:val="0"/>
                <w:sz w:val="20"/>
                <w:szCs w:val="20"/>
              </w:rPr>
              <w:footnoteReference w:id="2"/>
            </w:r>
          </w:p>
        </w:tc>
        <w:tc>
          <w:tcPr>
            <w:tcW w:w="1847" w:type="dxa"/>
            <w:shd w:val="clear" w:color="auto" w:fill="auto"/>
            <w:vAlign w:val="center"/>
          </w:tcPr>
          <w:p w14:paraId="505FD020" w14:textId="77777777" w:rsidR="003F682C" w:rsidRPr="00080D6A" w:rsidRDefault="003F682C" w:rsidP="00F06459">
            <w:pPr>
              <w:pStyle w:val="Paragraph"/>
              <w:spacing w:before="60" w:after="60"/>
              <w:jc w:val="right"/>
              <w:rPr>
                <w:bCs w:val="0"/>
                <w:sz w:val="20"/>
                <w:szCs w:val="20"/>
              </w:rPr>
            </w:pPr>
            <w:r w:rsidRPr="00080D6A">
              <w:rPr>
                <w:bCs w:val="0"/>
                <w:sz w:val="20"/>
                <w:szCs w:val="20"/>
              </w:rPr>
              <w:br/>
            </w:r>
          </w:p>
        </w:tc>
      </w:tr>
      <w:tr w:rsidR="003F682C" w:rsidRPr="00080D6A" w14:paraId="378B1DBA" w14:textId="77777777" w:rsidTr="00F06459">
        <w:trPr>
          <w:cantSplit/>
        </w:trPr>
        <w:tc>
          <w:tcPr>
            <w:tcW w:w="7225" w:type="dxa"/>
            <w:shd w:val="clear" w:color="auto" w:fill="auto"/>
            <w:vAlign w:val="center"/>
          </w:tcPr>
          <w:p w14:paraId="17A1BE77" w14:textId="50576D63" w:rsidR="003F682C" w:rsidRPr="00080D6A" w:rsidRDefault="003F682C" w:rsidP="003F482D">
            <w:pPr>
              <w:pStyle w:val="Paragraph"/>
              <w:spacing w:before="60" w:after="60"/>
              <w:ind w:left="317"/>
              <w:rPr>
                <w:rFonts w:eastAsia="MS Mincho"/>
                <w:bCs w:val="0"/>
                <w:sz w:val="20"/>
                <w:szCs w:val="20"/>
              </w:rPr>
            </w:pPr>
            <w:r w:rsidRPr="00080D6A">
              <w:rPr>
                <w:rFonts w:eastAsia="MS Mincho"/>
                <w:bCs w:val="0"/>
                <w:sz w:val="20"/>
                <w:szCs w:val="20"/>
              </w:rPr>
              <w:t xml:space="preserve">Compulsory contributions from </w:t>
            </w:r>
            <w:r w:rsidR="009540D6" w:rsidRPr="00080D6A">
              <w:rPr>
                <w:rFonts w:eastAsia="MS Mincho"/>
                <w:bCs w:val="0"/>
                <w:sz w:val="20"/>
                <w:szCs w:val="20"/>
              </w:rPr>
              <w:t>175</w:t>
            </w:r>
            <w:r w:rsidRPr="00080D6A">
              <w:rPr>
                <w:rFonts w:eastAsia="MS Mincho"/>
                <w:bCs w:val="0"/>
                <w:sz w:val="20"/>
                <w:szCs w:val="20"/>
              </w:rPr>
              <w:t xml:space="preserve"> States Parties to the Convention, as described in Article 26.1 of the Convention</w:t>
            </w:r>
          </w:p>
        </w:tc>
        <w:tc>
          <w:tcPr>
            <w:tcW w:w="1847" w:type="dxa"/>
            <w:shd w:val="clear" w:color="auto" w:fill="auto"/>
            <w:vAlign w:val="center"/>
          </w:tcPr>
          <w:p w14:paraId="33149454" w14:textId="7D7745D5" w:rsidR="003F682C" w:rsidRPr="00080D6A" w:rsidRDefault="003F682C" w:rsidP="00F06459">
            <w:pPr>
              <w:pStyle w:val="Paragraph"/>
              <w:spacing w:before="60" w:after="60"/>
              <w:jc w:val="right"/>
              <w:rPr>
                <w:rFonts w:eastAsia="MS Mincho"/>
                <w:bCs w:val="0"/>
                <w:sz w:val="20"/>
                <w:szCs w:val="20"/>
              </w:rPr>
            </w:pPr>
            <w:r w:rsidRPr="00080D6A">
              <w:rPr>
                <w:bCs w:val="0"/>
                <w:sz w:val="20"/>
                <w:szCs w:val="20"/>
              </w:rPr>
              <w:t>US$3,</w:t>
            </w:r>
            <w:r w:rsidR="00106685" w:rsidRPr="00080D6A">
              <w:rPr>
                <w:bCs w:val="0"/>
                <w:sz w:val="20"/>
                <w:szCs w:val="20"/>
              </w:rPr>
              <w:t>800</w:t>
            </w:r>
            <w:r w:rsidRPr="00080D6A">
              <w:rPr>
                <w:bCs w:val="0"/>
                <w:sz w:val="20"/>
                <w:szCs w:val="20"/>
              </w:rPr>
              <w:t>,</w:t>
            </w:r>
            <w:r w:rsidR="00106685" w:rsidRPr="00080D6A">
              <w:rPr>
                <w:bCs w:val="0"/>
                <w:sz w:val="20"/>
                <w:szCs w:val="20"/>
              </w:rPr>
              <w:t>602</w:t>
            </w:r>
          </w:p>
        </w:tc>
      </w:tr>
      <w:tr w:rsidR="003F682C" w:rsidRPr="00080D6A" w14:paraId="33C6BC38" w14:textId="77777777" w:rsidTr="00F06459">
        <w:trPr>
          <w:cantSplit/>
        </w:trPr>
        <w:tc>
          <w:tcPr>
            <w:tcW w:w="7225" w:type="dxa"/>
            <w:shd w:val="clear" w:color="auto" w:fill="auto"/>
            <w:vAlign w:val="center"/>
          </w:tcPr>
          <w:p w14:paraId="6F003FC9" w14:textId="6F896FD9" w:rsidR="003F682C" w:rsidRPr="00080D6A" w:rsidRDefault="003F682C" w:rsidP="003F482D">
            <w:pPr>
              <w:pStyle w:val="Paragraph"/>
              <w:spacing w:before="60" w:after="60"/>
              <w:ind w:left="317"/>
              <w:rPr>
                <w:rFonts w:eastAsia="MS Mincho"/>
                <w:bCs w:val="0"/>
                <w:sz w:val="20"/>
                <w:szCs w:val="20"/>
              </w:rPr>
            </w:pPr>
            <w:r w:rsidRPr="00080D6A">
              <w:rPr>
                <w:rFonts w:eastAsia="MS Mincho"/>
                <w:bCs w:val="0"/>
                <w:sz w:val="20"/>
                <w:szCs w:val="20"/>
              </w:rPr>
              <w:t xml:space="preserve">Voluntary contributions received from </w:t>
            </w:r>
            <w:r w:rsidR="00E675B1" w:rsidRPr="00080D6A">
              <w:rPr>
                <w:rFonts w:eastAsia="MS Mincho"/>
                <w:bCs w:val="0"/>
                <w:sz w:val="20"/>
                <w:szCs w:val="20"/>
              </w:rPr>
              <w:t>three</w:t>
            </w:r>
            <w:r w:rsidRPr="00080D6A">
              <w:rPr>
                <w:rFonts w:eastAsia="MS Mincho"/>
                <w:bCs w:val="0"/>
                <w:sz w:val="20"/>
                <w:szCs w:val="20"/>
              </w:rPr>
              <w:t xml:space="preserve"> of the five States Parties which, at the time of their ratification, had recourse to Article 26.2 of the Convention</w:t>
            </w:r>
            <w:r w:rsidR="00F130AF" w:rsidRPr="00080D6A">
              <w:rPr>
                <w:rStyle w:val="FootnoteReference"/>
                <w:rFonts w:eastAsia="MS Mincho"/>
                <w:bCs w:val="0"/>
                <w:sz w:val="20"/>
                <w:szCs w:val="20"/>
              </w:rPr>
              <w:footnoteReference w:id="3"/>
            </w:r>
          </w:p>
        </w:tc>
        <w:tc>
          <w:tcPr>
            <w:tcW w:w="1847" w:type="dxa"/>
            <w:shd w:val="clear" w:color="auto" w:fill="auto"/>
            <w:vAlign w:val="center"/>
          </w:tcPr>
          <w:p w14:paraId="779BEC57" w14:textId="2DD09E64" w:rsidR="003F682C" w:rsidRPr="00080D6A" w:rsidRDefault="003F682C" w:rsidP="00F06459">
            <w:pPr>
              <w:pStyle w:val="Paragraph"/>
              <w:spacing w:before="60" w:after="60"/>
              <w:jc w:val="right"/>
              <w:rPr>
                <w:rFonts w:eastAsia="MS Mincho"/>
                <w:bCs w:val="0"/>
                <w:sz w:val="20"/>
                <w:szCs w:val="20"/>
              </w:rPr>
            </w:pPr>
            <w:r w:rsidRPr="00080D6A">
              <w:rPr>
                <w:bCs w:val="0"/>
                <w:sz w:val="20"/>
                <w:szCs w:val="20"/>
              </w:rPr>
              <w:t>US$</w:t>
            </w:r>
            <w:r w:rsidR="009540D6" w:rsidRPr="00080D6A">
              <w:rPr>
                <w:bCs w:val="0"/>
                <w:sz w:val="20"/>
                <w:szCs w:val="20"/>
              </w:rPr>
              <w:t>430</w:t>
            </w:r>
            <w:r w:rsidRPr="00080D6A">
              <w:rPr>
                <w:bCs w:val="0"/>
                <w:sz w:val="20"/>
                <w:szCs w:val="20"/>
              </w:rPr>
              <w:t>,</w:t>
            </w:r>
            <w:r w:rsidR="009540D6" w:rsidRPr="00080D6A">
              <w:rPr>
                <w:bCs w:val="0"/>
                <w:sz w:val="20"/>
                <w:szCs w:val="20"/>
              </w:rPr>
              <w:t>019</w:t>
            </w:r>
          </w:p>
        </w:tc>
      </w:tr>
      <w:tr w:rsidR="003F682C" w:rsidRPr="00080D6A" w14:paraId="29542095" w14:textId="77777777" w:rsidTr="00F06459">
        <w:trPr>
          <w:cantSplit/>
        </w:trPr>
        <w:tc>
          <w:tcPr>
            <w:tcW w:w="7225" w:type="dxa"/>
            <w:shd w:val="clear" w:color="auto" w:fill="auto"/>
            <w:vAlign w:val="center"/>
          </w:tcPr>
          <w:p w14:paraId="6A2F787F" w14:textId="77777777" w:rsidR="003F682C" w:rsidRPr="00080D6A" w:rsidRDefault="003F682C" w:rsidP="003F682C">
            <w:pPr>
              <w:pStyle w:val="Paragraph"/>
              <w:keepNext/>
              <w:numPr>
                <w:ilvl w:val="0"/>
                <w:numId w:val="12"/>
              </w:numPr>
              <w:spacing w:before="240" w:after="60"/>
              <w:ind w:left="357" w:hanging="357"/>
              <w:jc w:val="left"/>
              <w:rPr>
                <w:rFonts w:eastAsia="MS Mincho"/>
                <w:bCs w:val="0"/>
                <w:sz w:val="20"/>
                <w:szCs w:val="20"/>
              </w:rPr>
            </w:pPr>
            <w:r w:rsidRPr="00080D6A">
              <w:rPr>
                <w:rFonts w:eastAsia="MS Mincho"/>
                <w:bCs w:val="0"/>
                <w:sz w:val="20"/>
                <w:szCs w:val="20"/>
                <w:u w:val="single"/>
              </w:rPr>
              <w:t>Voluntary supplementary contributions</w:t>
            </w:r>
          </w:p>
        </w:tc>
        <w:tc>
          <w:tcPr>
            <w:tcW w:w="1847" w:type="dxa"/>
            <w:shd w:val="clear" w:color="auto" w:fill="auto"/>
            <w:vAlign w:val="center"/>
          </w:tcPr>
          <w:p w14:paraId="3A2E9D45" w14:textId="77777777" w:rsidR="003F682C" w:rsidRPr="00080D6A" w:rsidRDefault="003F682C" w:rsidP="00F06459">
            <w:pPr>
              <w:pStyle w:val="Paragraph"/>
              <w:keepNext/>
              <w:spacing w:before="60" w:after="60"/>
              <w:jc w:val="right"/>
              <w:rPr>
                <w:sz w:val="20"/>
                <w:szCs w:val="20"/>
                <w:highlight w:val="yellow"/>
              </w:rPr>
            </w:pPr>
          </w:p>
        </w:tc>
      </w:tr>
      <w:tr w:rsidR="003F682C" w:rsidRPr="00080D6A" w14:paraId="3185B899" w14:textId="77777777" w:rsidTr="00A20CE8">
        <w:trPr>
          <w:cantSplit/>
        </w:trPr>
        <w:tc>
          <w:tcPr>
            <w:tcW w:w="7225" w:type="dxa"/>
            <w:shd w:val="clear" w:color="auto" w:fill="auto"/>
            <w:vAlign w:val="center"/>
          </w:tcPr>
          <w:p w14:paraId="1B72B6AB" w14:textId="77777777" w:rsidR="003F682C" w:rsidRPr="00080D6A" w:rsidRDefault="003F682C" w:rsidP="003F482D">
            <w:pPr>
              <w:pStyle w:val="Paragraph"/>
              <w:keepNext/>
              <w:spacing w:before="60" w:after="60"/>
              <w:rPr>
                <w:rFonts w:eastAsia="MS Mincho"/>
                <w:bCs w:val="0"/>
                <w:i/>
                <w:sz w:val="20"/>
                <w:szCs w:val="20"/>
              </w:rPr>
            </w:pPr>
            <w:r w:rsidRPr="00080D6A">
              <w:rPr>
                <w:rFonts w:eastAsia="MS Mincho"/>
                <w:bCs w:val="0"/>
                <w:i/>
                <w:iCs/>
                <w:sz w:val="20"/>
                <w:szCs w:val="20"/>
              </w:rPr>
              <w:t>Contributions made for specific purposes relating to specific projects approved by the Committee, in accordance with Article 25.5 of the Convention</w:t>
            </w:r>
          </w:p>
        </w:tc>
        <w:tc>
          <w:tcPr>
            <w:tcW w:w="1847" w:type="dxa"/>
            <w:shd w:val="clear" w:color="auto" w:fill="auto"/>
            <w:vAlign w:val="center"/>
          </w:tcPr>
          <w:p w14:paraId="1AD67CFD" w14:textId="77777777" w:rsidR="003F682C" w:rsidRPr="00080D6A" w:rsidRDefault="003F682C" w:rsidP="00F06459">
            <w:pPr>
              <w:pStyle w:val="Paragraph"/>
              <w:keepNext/>
              <w:spacing w:before="60" w:after="60"/>
              <w:jc w:val="right"/>
              <w:rPr>
                <w:i/>
                <w:strike/>
                <w:sz w:val="20"/>
                <w:szCs w:val="20"/>
                <w:highlight w:val="yellow"/>
              </w:rPr>
            </w:pPr>
          </w:p>
        </w:tc>
      </w:tr>
      <w:tr w:rsidR="00E675B1" w:rsidRPr="00080D6A" w14:paraId="2FC826E9" w14:textId="77777777" w:rsidTr="00A20CE8">
        <w:trPr>
          <w:cantSplit/>
        </w:trPr>
        <w:tc>
          <w:tcPr>
            <w:tcW w:w="7225" w:type="dxa"/>
            <w:shd w:val="clear" w:color="auto" w:fill="auto"/>
            <w:vAlign w:val="center"/>
          </w:tcPr>
          <w:p w14:paraId="5FB85BFD" w14:textId="1505ADF2" w:rsidR="00E675B1" w:rsidRPr="00C82C82" w:rsidRDefault="00E675B1" w:rsidP="003F482D">
            <w:pPr>
              <w:pStyle w:val="Paragraph"/>
              <w:spacing w:before="60" w:after="60"/>
              <w:ind w:left="360"/>
              <w:rPr>
                <w:rFonts w:eastAsia="MS Mincho"/>
                <w:bCs w:val="0"/>
                <w:sz w:val="20"/>
                <w:szCs w:val="20"/>
              </w:rPr>
            </w:pPr>
            <w:r w:rsidRPr="00C82C82">
              <w:rPr>
                <w:rFonts w:eastAsia="MS Mincho"/>
                <w:bCs w:val="0"/>
                <w:sz w:val="20"/>
                <w:szCs w:val="20"/>
              </w:rPr>
              <w:t xml:space="preserve">From Azerbaijan to support </w:t>
            </w:r>
            <w:r w:rsidR="00893BE7" w:rsidRPr="00C82C82">
              <w:rPr>
                <w:rFonts w:eastAsia="MS Mincho"/>
                <w:bCs w:val="0"/>
                <w:sz w:val="20"/>
                <w:szCs w:val="20"/>
              </w:rPr>
              <w:t>the development and implementation of capacity-building activities for safeguarding intangible cultural heritage in conflict-related situations, including situations of forced displacement</w:t>
            </w:r>
            <w:r w:rsidR="00A20CE8" w:rsidRPr="00C82C82">
              <w:rPr>
                <w:rFonts w:eastAsia="MS Mincho"/>
                <w:bCs w:val="0"/>
                <w:sz w:val="20"/>
                <w:szCs w:val="20"/>
              </w:rPr>
              <w:t xml:space="preserve"> (</w:t>
            </w:r>
            <w:r w:rsidR="00DC0435" w:rsidRPr="00C82C82">
              <w:rPr>
                <w:rFonts w:eastAsia="MS Mincho"/>
                <w:bCs w:val="0"/>
                <w:sz w:val="20"/>
                <w:szCs w:val="20"/>
              </w:rPr>
              <w:t xml:space="preserve">Decision </w:t>
            </w:r>
            <w:hyperlink r:id="rId10" w:history="1">
              <w:r w:rsidR="00DC0435" w:rsidRPr="00C82C82">
                <w:rPr>
                  <w:rStyle w:val="Hyperlink"/>
                  <w:rFonts w:eastAsia="MS Mincho"/>
                  <w:bCs w:val="0"/>
                  <w:sz w:val="20"/>
                  <w:szCs w:val="20"/>
                </w:rPr>
                <w:t>12.COM 6</w:t>
              </w:r>
            </w:hyperlink>
            <w:r w:rsidR="00A20CE8" w:rsidRPr="00C82C82">
              <w:rPr>
                <w:rFonts w:eastAsia="MS Mincho"/>
                <w:bCs w:val="0"/>
                <w:sz w:val="20"/>
                <w:szCs w:val="20"/>
              </w:rPr>
              <w:t>)</w:t>
            </w:r>
          </w:p>
        </w:tc>
        <w:tc>
          <w:tcPr>
            <w:tcW w:w="1847" w:type="dxa"/>
            <w:shd w:val="clear" w:color="auto" w:fill="auto"/>
          </w:tcPr>
          <w:p w14:paraId="6F67681D" w14:textId="77777777" w:rsidR="00E675B1" w:rsidRPr="00080D6A" w:rsidRDefault="00E675B1" w:rsidP="00A20CE8">
            <w:pPr>
              <w:pStyle w:val="Paragraph"/>
              <w:spacing w:before="60" w:after="60"/>
              <w:ind w:left="360"/>
              <w:jc w:val="right"/>
              <w:rPr>
                <w:sz w:val="20"/>
                <w:szCs w:val="20"/>
              </w:rPr>
            </w:pPr>
            <w:r w:rsidRPr="00080D6A">
              <w:rPr>
                <w:sz w:val="20"/>
                <w:szCs w:val="20"/>
              </w:rPr>
              <w:t>US$100,000</w:t>
            </w:r>
          </w:p>
          <w:p w14:paraId="3EADE21C" w14:textId="77777777" w:rsidR="00E675B1" w:rsidRPr="00080D6A" w:rsidRDefault="00E675B1" w:rsidP="00A20CE8">
            <w:pPr>
              <w:pStyle w:val="Paragraph"/>
              <w:keepNext/>
              <w:spacing w:before="60" w:after="60"/>
              <w:ind w:left="360" w:right="200"/>
              <w:jc w:val="right"/>
              <w:rPr>
                <w:sz w:val="20"/>
                <w:szCs w:val="20"/>
              </w:rPr>
            </w:pPr>
          </w:p>
        </w:tc>
      </w:tr>
      <w:tr w:rsidR="00E675B1" w:rsidRPr="00080D6A" w14:paraId="48E836D6" w14:textId="77777777" w:rsidTr="00A20CE8">
        <w:trPr>
          <w:cantSplit/>
        </w:trPr>
        <w:tc>
          <w:tcPr>
            <w:tcW w:w="7225" w:type="dxa"/>
            <w:shd w:val="clear" w:color="auto" w:fill="auto"/>
            <w:vAlign w:val="center"/>
          </w:tcPr>
          <w:p w14:paraId="223C8D1E" w14:textId="0468B9A6" w:rsidR="00E675B1" w:rsidRPr="00C82C82" w:rsidRDefault="00E675B1" w:rsidP="003F482D">
            <w:pPr>
              <w:pStyle w:val="Paragraph"/>
              <w:spacing w:before="60" w:after="60"/>
              <w:ind w:left="357"/>
              <w:rPr>
                <w:rFonts w:eastAsia="MS Mincho"/>
                <w:bCs w:val="0"/>
                <w:sz w:val="20"/>
                <w:szCs w:val="20"/>
              </w:rPr>
            </w:pPr>
            <w:r w:rsidRPr="00C82C82">
              <w:rPr>
                <w:rFonts w:eastAsia="MS Mincho"/>
                <w:bCs w:val="0"/>
                <w:sz w:val="20"/>
                <w:szCs w:val="20"/>
              </w:rPr>
              <w:t>From France</w:t>
            </w:r>
            <w:r w:rsidR="00A20CE8" w:rsidRPr="00C82C82">
              <w:rPr>
                <w:sz w:val="20"/>
                <w:szCs w:val="20"/>
              </w:rPr>
              <w:t xml:space="preserve"> for the implementation of the programme ‘</w:t>
            </w:r>
            <w:r w:rsidR="00A20CE8" w:rsidRPr="00C82C82">
              <w:rPr>
                <w:rFonts w:eastAsia="MS Mincho"/>
                <w:bCs w:val="0"/>
                <w:sz w:val="20"/>
                <w:szCs w:val="20"/>
              </w:rPr>
              <w:t xml:space="preserve">Strengthening capacities to safeguard intangible cultural heritage and contribute to sustainable development’ (Decision </w:t>
            </w:r>
            <w:hyperlink r:id="rId11" w:history="1">
              <w:r w:rsidR="00A20CE8" w:rsidRPr="00C82C82">
                <w:rPr>
                  <w:rStyle w:val="Hyperlink"/>
                  <w:sz w:val="20"/>
                  <w:szCs w:val="20"/>
                </w:rPr>
                <w:t>12.COM 6</w:t>
              </w:r>
            </w:hyperlink>
            <w:r w:rsidR="00A20CE8" w:rsidRPr="00C82C82">
              <w:rPr>
                <w:rFonts w:eastAsia="MS Mincho"/>
                <w:bCs w:val="0"/>
                <w:sz w:val="20"/>
                <w:szCs w:val="20"/>
              </w:rPr>
              <w:t>)</w:t>
            </w:r>
          </w:p>
        </w:tc>
        <w:tc>
          <w:tcPr>
            <w:tcW w:w="1847" w:type="dxa"/>
            <w:shd w:val="clear" w:color="auto" w:fill="auto"/>
          </w:tcPr>
          <w:p w14:paraId="07FE7C03" w14:textId="223929CE" w:rsidR="00E675B1" w:rsidRPr="00080D6A" w:rsidRDefault="00E675B1" w:rsidP="00A20CE8">
            <w:pPr>
              <w:pStyle w:val="Paragraph"/>
              <w:keepNext/>
              <w:spacing w:before="60" w:after="60"/>
              <w:ind w:left="360"/>
              <w:jc w:val="right"/>
              <w:rPr>
                <w:sz w:val="20"/>
                <w:szCs w:val="20"/>
              </w:rPr>
            </w:pPr>
            <w:r w:rsidRPr="00080D6A">
              <w:rPr>
                <w:sz w:val="20"/>
                <w:szCs w:val="20"/>
              </w:rPr>
              <w:t>US$271,445</w:t>
            </w:r>
          </w:p>
        </w:tc>
      </w:tr>
      <w:tr w:rsidR="00E675B1" w:rsidRPr="00080D6A" w14:paraId="2A8B58E1" w14:textId="77777777" w:rsidTr="00A20CE8">
        <w:trPr>
          <w:cantSplit/>
        </w:trPr>
        <w:tc>
          <w:tcPr>
            <w:tcW w:w="7225" w:type="dxa"/>
            <w:shd w:val="clear" w:color="auto" w:fill="auto"/>
            <w:vAlign w:val="center"/>
          </w:tcPr>
          <w:p w14:paraId="2A83B256" w14:textId="1AB86ABB" w:rsidR="00E675B1" w:rsidRPr="00C82C82" w:rsidRDefault="00E675B1" w:rsidP="003F482D">
            <w:pPr>
              <w:pStyle w:val="Paragraph"/>
              <w:spacing w:before="60" w:after="60"/>
              <w:ind w:left="357"/>
              <w:rPr>
                <w:rFonts w:eastAsia="MS Mincho"/>
                <w:bCs w:val="0"/>
                <w:sz w:val="20"/>
                <w:szCs w:val="20"/>
              </w:rPr>
            </w:pPr>
            <w:r w:rsidRPr="00C82C82">
              <w:rPr>
                <w:rFonts w:eastAsia="MS Mincho"/>
                <w:bCs w:val="0"/>
                <w:sz w:val="20"/>
                <w:szCs w:val="20"/>
              </w:rPr>
              <w:t>From Kuwait</w:t>
            </w:r>
            <w:r w:rsidR="00A20CE8" w:rsidRPr="00C82C82">
              <w:rPr>
                <w:rFonts w:eastAsia="MS Mincho"/>
                <w:bCs w:val="0"/>
                <w:sz w:val="20"/>
                <w:szCs w:val="20"/>
              </w:rPr>
              <w:t xml:space="preserve"> for the implementation of the programme ‘Strengthening capacities at the national and local levels for the safeguarding of intangible cultural heritage in Dominica</w:t>
            </w:r>
            <w:r w:rsidR="00611692" w:rsidRPr="00C82C82">
              <w:rPr>
                <w:rFonts w:eastAsia="MS Mincho"/>
                <w:bCs w:val="0"/>
                <w:sz w:val="20"/>
                <w:szCs w:val="20"/>
              </w:rPr>
              <w:t>’</w:t>
            </w:r>
            <w:r w:rsidR="00A20CE8" w:rsidRPr="00C82C82">
              <w:rPr>
                <w:rFonts w:eastAsia="MS Mincho"/>
                <w:bCs w:val="0"/>
                <w:sz w:val="20"/>
                <w:szCs w:val="20"/>
              </w:rPr>
              <w:t xml:space="preserve"> (Decision </w:t>
            </w:r>
            <w:hyperlink r:id="rId12" w:history="1">
              <w:r w:rsidR="00A20CE8" w:rsidRPr="00C82C82">
                <w:rPr>
                  <w:rStyle w:val="Hyperlink"/>
                  <w:sz w:val="20"/>
                  <w:szCs w:val="20"/>
                </w:rPr>
                <w:t>12.COM 6</w:t>
              </w:r>
            </w:hyperlink>
            <w:r w:rsidR="00A20CE8" w:rsidRPr="00C82C82">
              <w:rPr>
                <w:rFonts w:eastAsia="MS Mincho"/>
                <w:bCs w:val="0"/>
                <w:sz w:val="20"/>
                <w:szCs w:val="20"/>
              </w:rPr>
              <w:t>)</w:t>
            </w:r>
          </w:p>
        </w:tc>
        <w:tc>
          <w:tcPr>
            <w:tcW w:w="1847" w:type="dxa"/>
            <w:shd w:val="clear" w:color="auto" w:fill="auto"/>
          </w:tcPr>
          <w:p w14:paraId="195D4777" w14:textId="309F3A2A" w:rsidR="00E675B1" w:rsidRPr="00080D6A" w:rsidRDefault="00E675B1" w:rsidP="00A20CE8">
            <w:pPr>
              <w:pStyle w:val="Paragraph"/>
              <w:keepNext/>
              <w:spacing w:before="60" w:after="60"/>
              <w:ind w:left="360"/>
              <w:jc w:val="right"/>
              <w:rPr>
                <w:sz w:val="20"/>
                <w:szCs w:val="20"/>
              </w:rPr>
            </w:pPr>
            <w:r w:rsidRPr="00080D6A">
              <w:rPr>
                <w:sz w:val="20"/>
                <w:szCs w:val="20"/>
              </w:rPr>
              <w:t>US$65,000</w:t>
            </w:r>
          </w:p>
        </w:tc>
      </w:tr>
      <w:tr w:rsidR="00E675B1" w:rsidRPr="00080D6A" w14:paraId="75264B8F" w14:textId="77777777" w:rsidTr="00A20CE8">
        <w:trPr>
          <w:cantSplit/>
        </w:trPr>
        <w:tc>
          <w:tcPr>
            <w:tcW w:w="7225" w:type="dxa"/>
            <w:shd w:val="clear" w:color="auto" w:fill="auto"/>
            <w:vAlign w:val="center"/>
          </w:tcPr>
          <w:p w14:paraId="155B3063" w14:textId="116F236A" w:rsidR="00E675B1" w:rsidRPr="00C82C82" w:rsidRDefault="00E675B1" w:rsidP="003F482D">
            <w:pPr>
              <w:pStyle w:val="Paragraph"/>
              <w:spacing w:before="60" w:after="60"/>
              <w:ind w:left="357"/>
              <w:rPr>
                <w:rFonts w:eastAsia="MS Mincho"/>
                <w:bCs w:val="0"/>
                <w:sz w:val="20"/>
                <w:szCs w:val="20"/>
              </w:rPr>
            </w:pPr>
            <w:r w:rsidRPr="00C82C82">
              <w:rPr>
                <w:rFonts w:eastAsia="MS Mincho"/>
                <w:bCs w:val="0"/>
                <w:sz w:val="20"/>
                <w:szCs w:val="20"/>
              </w:rPr>
              <w:t>From Switzerland</w:t>
            </w:r>
            <w:r w:rsidR="00A20CE8" w:rsidRPr="00C82C82">
              <w:rPr>
                <w:rFonts w:eastAsia="MS Mincho"/>
                <w:bCs w:val="0"/>
                <w:sz w:val="20"/>
                <w:szCs w:val="20"/>
              </w:rPr>
              <w:t xml:space="preserve"> to support capacity-building in the field of intangible cultural heritage and natural disasters (Decision </w:t>
            </w:r>
            <w:hyperlink r:id="rId13" w:history="1">
              <w:r w:rsidR="00A20CE8" w:rsidRPr="00C82C82">
                <w:rPr>
                  <w:rStyle w:val="Hyperlink"/>
                  <w:sz w:val="20"/>
                  <w:szCs w:val="20"/>
                </w:rPr>
                <w:t>12.COM 6</w:t>
              </w:r>
            </w:hyperlink>
            <w:r w:rsidR="00A20CE8" w:rsidRPr="00C82C82">
              <w:rPr>
                <w:rFonts w:eastAsia="MS Mincho"/>
                <w:bCs w:val="0"/>
                <w:sz w:val="20"/>
                <w:szCs w:val="20"/>
              </w:rPr>
              <w:t>)</w:t>
            </w:r>
          </w:p>
        </w:tc>
        <w:tc>
          <w:tcPr>
            <w:tcW w:w="1847" w:type="dxa"/>
            <w:shd w:val="clear" w:color="auto" w:fill="auto"/>
          </w:tcPr>
          <w:p w14:paraId="665C11DD" w14:textId="4E6BD4D0" w:rsidR="00E675B1" w:rsidRPr="00080D6A" w:rsidRDefault="00E675B1" w:rsidP="00A20CE8">
            <w:pPr>
              <w:pStyle w:val="Paragraph"/>
              <w:keepNext/>
              <w:spacing w:before="60" w:after="60"/>
              <w:ind w:left="360"/>
              <w:jc w:val="right"/>
              <w:rPr>
                <w:sz w:val="20"/>
                <w:szCs w:val="20"/>
              </w:rPr>
            </w:pPr>
            <w:r w:rsidRPr="00080D6A">
              <w:rPr>
                <w:sz w:val="20"/>
                <w:szCs w:val="20"/>
              </w:rPr>
              <w:t>US$100,000</w:t>
            </w:r>
          </w:p>
        </w:tc>
      </w:tr>
      <w:tr w:rsidR="009540D6" w:rsidRPr="00080D6A" w14:paraId="183B7BB3" w14:textId="77777777" w:rsidTr="00A20CE8">
        <w:trPr>
          <w:cantSplit/>
        </w:trPr>
        <w:tc>
          <w:tcPr>
            <w:tcW w:w="7225" w:type="dxa"/>
            <w:shd w:val="clear" w:color="auto" w:fill="auto"/>
          </w:tcPr>
          <w:p w14:paraId="72079261" w14:textId="7B4511E7" w:rsidR="009540D6" w:rsidRPr="00C82C82" w:rsidRDefault="00E675B1" w:rsidP="003F482D">
            <w:pPr>
              <w:pStyle w:val="Paragraph"/>
              <w:spacing w:before="60" w:after="60"/>
              <w:ind w:left="360"/>
              <w:rPr>
                <w:rFonts w:eastAsia="MS Mincho"/>
                <w:bCs w:val="0"/>
                <w:sz w:val="20"/>
                <w:szCs w:val="20"/>
              </w:rPr>
            </w:pPr>
            <w:r w:rsidRPr="00C82C82">
              <w:rPr>
                <w:rFonts w:eastAsia="MS Mincho"/>
                <w:bCs w:val="0"/>
                <w:sz w:val="20"/>
                <w:szCs w:val="20"/>
              </w:rPr>
              <w:t>From ICHCAP</w:t>
            </w:r>
            <w:r w:rsidR="00B104FE" w:rsidRPr="00C82C82">
              <w:rPr>
                <w:rFonts w:eastAsia="MS Mincho"/>
                <w:bCs w:val="0"/>
                <w:sz w:val="20"/>
                <w:szCs w:val="20"/>
              </w:rPr>
              <w:t xml:space="preserve"> (International Information and Networking Centre for Intangible Cultural Heritage in the Asia-Pacific Region)</w:t>
            </w:r>
            <w:r w:rsidR="009540D6" w:rsidRPr="00C82C82">
              <w:rPr>
                <w:rFonts w:eastAsia="MS Mincho"/>
                <w:bCs w:val="0"/>
                <w:sz w:val="20"/>
                <w:szCs w:val="20"/>
              </w:rPr>
              <w:t xml:space="preserve"> for the implementation o</w:t>
            </w:r>
            <w:r w:rsidR="009540D6" w:rsidRPr="00C82C82">
              <w:rPr>
                <w:sz w:val="20"/>
                <w:szCs w:val="20"/>
              </w:rPr>
              <w:t>f the programme</w:t>
            </w:r>
            <w:r w:rsidR="00893BE7" w:rsidRPr="00C82C82">
              <w:rPr>
                <w:sz w:val="20"/>
                <w:szCs w:val="20"/>
              </w:rPr>
              <w:t xml:space="preserve"> ‘Living Heritage and the Sustainable Development Goals: Safeguarding intangible cultural heritage through formal and non-formal education in the Asia and the Pacific Region and in Africa</w:t>
            </w:r>
            <w:r w:rsidR="009540D6" w:rsidRPr="00C82C82">
              <w:rPr>
                <w:sz w:val="20"/>
                <w:szCs w:val="20"/>
              </w:rPr>
              <w:t xml:space="preserve">’ </w:t>
            </w:r>
            <w:r w:rsidR="00A20CE8" w:rsidRPr="00C82C82">
              <w:rPr>
                <w:rFonts w:eastAsia="MS Mincho"/>
                <w:bCs w:val="0"/>
                <w:sz w:val="20"/>
                <w:szCs w:val="20"/>
              </w:rPr>
              <w:t xml:space="preserve">(Decision </w:t>
            </w:r>
            <w:hyperlink r:id="rId14" w:history="1">
              <w:r w:rsidR="00A20CE8" w:rsidRPr="00C82C82">
                <w:rPr>
                  <w:rStyle w:val="Hyperlink"/>
                  <w:sz w:val="20"/>
                  <w:szCs w:val="20"/>
                </w:rPr>
                <w:t>12.COM 6</w:t>
              </w:r>
            </w:hyperlink>
            <w:r w:rsidR="00A20CE8" w:rsidRPr="00C82C82">
              <w:rPr>
                <w:rFonts w:eastAsia="MS Mincho"/>
                <w:bCs w:val="0"/>
                <w:sz w:val="20"/>
                <w:szCs w:val="20"/>
              </w:rPr>
              <w:t>)</w:t>
            </w:r>
          </w:p>
        </w:tc>
        <w:tc>
          <w:tcPr>
            <w:tcW w:w="1847" w:type="dxa"/>
            <w:shd w:val="clear" w:color="auto" w:fill="auto"/>
          </w:tcPr>
          <w:p w14:paraId="27879A69" w14:textId="30FF5B7B" w:rsidR="009540D6" w:rsidRPr="00080D6A" w:rsidRDefault="009540D6" w:rsidP="00A20CE8">
            <w:pPr>
              <w:pStyle w:val="Paragraph"/>
              <w:spacing w:before="60" w:after="60"/>
              <w:ind w:left="360"/>
              <w:jc w:val="right"/>
              <w:rPr>
                <w:rFonts w:eastAsia="MS Mincho"/>
                <w:bCs w:val="0"/>
                <w:sz w:val="20"/>
                <w:szCs w:val="20"/>
              </w:rPr>
            </w:pPr>
            <w:r w:rsidRPr="00080D6A">
              <w:rPr>
                <w:sz w:val="20"/>
                <w:szCs w:val="20"/>
              </w:rPr>
              <w:t>US$</w:t>
            </w:r>
            <w:r w:rsidR="00E675B1" w:rsidRPr="00080D6A">
              <w:rPr>
                <w:sz w:val="20"/>
                <w:szCs w:val="20"/>
              </w:rPr>
              <w:t>180,000</w:t>
            </w:r>
          </w:p>
        </w:tc>
      </w:tr>
      <w:tr w:rsidR="009540D6" w:rsidRPr="00080D6A" w14:paraId="19646245" w14:textId="77777777" w:rsidTr="00A20CE8">
        <w:trPr>
          <w:cantSplit/>
          <w:trHeight w:val="692"/>
        </w:trPr>
        <w:tc>
          <w:tcPr>
            <w:tcW w:w="7225" w:type="dxa"/>
            <w:shd w:val="clear" w:color="auto" w:fill="auto"/>
            <w:vAlign w:val="center"/>
          </w:tcPr>
          <w:p w14:paraId="3D05356E" w14:textId="69F1EC9A" w:rsidR="009540D6" w:rsidRPr="00080D6A" w:rsidRDefault="009540D6" w:rsidP="003F482D">
            <w:pPr>
              <w:pStyle w:val="Paragraph"/>
              <w:spacing w:before="60" w:after="60"/>
              <w:rPr>
                <w:i/>
                <w:sz w:val="20"/>
                <w:szCs w:val="20"/>
              </w:rPr>
            </w:pPr>
            <w:r w:rsidRPr="00080D6A">
              <w:rPr>
                <w:bCs w:val="0"/>
                <w:i/>
                <w:iCs/>
                <w:sz w:val="20"/>
                <w:szCs w:val="20"/>
              </w:rPr>
              <w:lastRenderedPageBreak/>
              <w:t>Sub-fund intended exclusively to strengthen the human capacities of the Secretariat</w:t>
            </w:r>
            <w:r w:rsidR="00A20CE8" w:rsidRPr="00080D6A">
              <w:rPr>
                <w:bCs w:val="0"/>
                <w:i/>
                <w:iCs/>
                <w:sz w:val="20"/>
                <w:szCs w:val="20"/>
              </w:rPr>
              <w:t xml:space="preserve"> </w:t>
            </w:r>
            <w:r w:rsidRPr="00080D6A">
              <w:rPr>
                <w:bCs w:val="0"/>
                <w:sz w:val="20"/>
                <w:szCs w:val="20"/>
              </w:rPr>
              <w:t>(</w:t>
            </w:r>
            <w:r w:rsidR="00DC0435" w:rsidRPr="00080D6A">
              <w:rPr>
                <w:bCs w:val="0"/>
                <w:sz w:val="20"/>
                <w:szCs w:val="20"/>
              </w:rPr>
              <w:t>Resolution</w:t>
            </w:r>
            <w:r w:rsidR="00DC0435" w:rsidRPr="00080D6A">
              <w:rPr>
                <w:bCs w:val="0"/>
                <w:i/>
                <w:iCs/>
                <w:sz w:val="20"/>
                <w:szCs w:val="20"/>
              </w:rPr>
              <w:t xml:space="preserve"> </w:t>
            </w:r>
            <w:hyperlink r:id="rId15" w:history="1">
              <w:r w:rsidR="00DC0435" w:rsidRPr="00080D6A">
                <w:rPr>
                  <w:rStyle w:val="Hyperlink"/>
                  <w:iCs/>
                  <w:sz w:val="20"/>
                  <w:szCs w:val="20"/>
                </w:rPr>
                <w:t>3.GA 9</w:t>
              </w:r>
            </w:hyperlink>
            <w:r w:rsidRPr="00080D6A">
              <w:rPr>
                <w:bCs w:val="0"/>
                <w:i/>
                <w:iCs/>
                <w:sz w:val="20"/>
                <w:szCs w:val="20"/>
              </w:rPr>
              <w:t>)</w:t>
            </w:r>
            <w:r w:rsidRPr="00080D6A">
              <w:rPr>
                <w:bCs w:val="0"/>
                <w:sz w:val="20"/>
                <w:szCs w:val="20"/>
                <w:vertAlign w:val="superscript"/>
              </w:rPr>
              <w:footnoteReference w:id="4"/>
            </w:r>
          </w:p>
        </w:tc>
        <w:tc>
          <w:tcPr>
            <w:tcW w:w="1847" w:type="dxa"/>
            <w:shd w:val="clear" w:color="auto" w:fill="auto"/>
            <w:vAlign w:val="center"/>
          </w:tcPr>
          <w:p w14:paraId="0BDF87AB" w14:textId="77777777" w:rsidR="009540D6" w:rsidRPr="00080D6A" w:rsidRDefault="009540D6" w:rsidP="009540D6">
            <w:pPr>
              <w:pStyle w:val="Paragraph"/>
              <w:spacing w:before="60" w:after="60"/>
              <w:jc w:val="right"/>
              <w:rPr>
                <w:sz w:val="20"/>
                <w:szCs w:val="20"/>
              </w:rPr>
            </w:pPr>
          </w:p>
        </w:tc>
      </w:tr>
      <w:tr w:rsidR="009540D6" w:rsidRPr="00080D6A" w14:paraId="04C0F687" w14:textId="77777777" w:rsidTr="00F06459">
        <w:trPr>
          <w:cantSplit/>
        </w:trPr>
        <w:tc>
          <w:tcPr>
            <w:tcW w:w="7225" w:type="dxa"/>
            <w:shd w:val="clear" w:color="auto" w:fill="auto"/>
            <w:vAlign w:val="center"/>
          </w:tcPr>
          <w:p w14:paraId="3B1ABEEB" w14:textId="5F603173" w:rsidR="009540D6" w:rsidRPr="00C82C82" w:rsidRDefault="00E675B1" w:rsidP="003F482D">
            <w:pPr>
              <w:pStyle w:val="Paragraph"/>
              <w:spacing w:before="60" w:after="60"/>
              <w:ind w:left="318"/>
              <w:rPr>
                <w:rFonts w:eastAsia="MS Mincho"/>
                <w:bCs w:val="0"/>
                <w:sz w:val="20"/>
                <w:szCs w:val="20"/>
                <w:lang w:val="es-ES"/>
              </w:rPr>
            </w:pPr>
            <w:r w:rsidRPr="00C82C82">
              <w:rPr>
                <w:rFonts w:eastAsia="MS Mincho"/>
                <w:bCs w:val="0"/>
                <w:sz w:val="20"/>
                <w:szCs w:val="20"/>
                <w:lang w:val="es-ES"/>
              </w:rPr>
              <w:t>Lithuania, Monaco, Palestine, Slovakia and Fondazione Museo del Violino Antonio Stradivari</w:t>
            </w:r>
          </w:p>
        </w:tc>
        <w:tc>
          <w:tcPr>
            <w:tcW w:w="1847" w:type="dxa"/>
            <w:shd w:val="clear" w:color="auto" w:fill="auto"/>
            <w:vAlign w:val="center"/>
          </w:tcPr>
          <w:p w14:paraId="0C1B0CA6" w14:textId="76D691BE" w:rsidR="009540D6" w:rsidRPr="00080D6A" w:rsidRDefault="009540D6" w:rsidP="009540D6">
            <w:pPr>
              <w:pStyle w:val="Paragraph"/>
              <w:spacing w:before="60" w:after="60"/>
              <w:jc w:val="right"/>
              <w:rPr>
                <w:rFonts w:eastAsia="MS Mincho"/>
                <w:bCs w:val="0"/>
                <w:sz w:val="20"/>
                <w:szCs w:val="20"/>
              </w:rPr>
            </w:pPr>
            <w:r w:rsidRPr="00080D6A">
              <w:rPr>
                <w:bCs w:val="0"/>
                <w:sz w:val="20"/>
                <w:szCs w:val="20"/>
              </w:rPr>
              <w:t>US$40,823</w:t>
            </w:r>
          </w:p>
        </w:tc>
      </w:tr>
      <w:tr w:rsidR="009540D6" w:rsidRPr="00080D6A" w14:paraId="53F25CD4" w14:textId="77777777" w:rsidTr="00F06459">
        <w:trPr>
          <w:cantSplit/>
        </w:trPr>
        <w:tc>
          <w:tcPr>
            <w:tcW w:w="7225" w:type="dxa"/>
            <w:shd w:val="clear" w:color="auto" w:fill="auto"/>
            <w:vAlign w:val="center"/>
          </w:tcPr>
          <w:p w14:paraId="79BE51B0" w14:textId="77777777" w:rsidR="009540D6" w:rsidRPr="00080D6A" w:rsidRDefault="009540D6" w:rsidP="009540D6">
            <w:pPr>
              <w:pStyle w:val="Paragraph"/>
              <w:numPr>
                <w:ilvl w:val="0"/>
                <w:numId w:val="12"/>
              </w:numPr>
              <w:spacing w:before="240" w:after="60"/>
              <w:ind w:left="357" w:hanging="357"/>
              <w:jc w:val="left"/>
              <w:rPr>
                <w:rFonts w:eastAsia="MS Mincho"/>
                <w:bCs w:val="0"/>
                <w:sz w:val="20"/>
                <w:szCs w:val="20"/>
              </w:rPr>
            </w:pPr>
            <w:r w:rsidRPr="00080D6A">
              <w:rPr>
                <w:rFonts w:eastAsia="MS Mincho"/>
                <w:bCs w:val="0"/>
                <w:sz w:val="20"/>
                <w:szCs w:val="20"/>
                <w:u w:val="single"/>
              </w:rPr>
              <w:t>Interest credited to the Fund</w:t>
            </w:r>
          </w:p>
        </w:tc>
        <w:tc>
          <w:tcPr>
            <w:tcW w:w="1847" w:type="dxa"/>
            <w:shd w:val="clear" w:color="auto" w:fill="auto"/>
            <w:vAlign w:val="center"/>
          </w:tcPr>
          <w:p w14:paraId="1550B311" w14:textId="56245349" w:rsidR="009540D6" w:rsidRPr="00080D6A" w:rsidRDefault="009540D6" w:rsidP="009540D6">
            <w:pPr>
              <w:pStyle w:val="Paragraph"/>
              <w:spacing w:before="240" w:after="60"/>
              <w:jc w:val="right"/>
              <w:rPr>
                <w:rFonts w:eastAsia="MS Mincho"/>
                <w:bCs w:val="0"/>
                <w:sz w:val="20"/>
                <w:szCs w:val="20"/>
              </w:rPr>
            </w:pPr>
            <w:r w:rsidRPr="00080D6A">
              <w:rPr>
                <w:rFonts w:eastAsia="MS Mincho"/>
                <w:bCs w:val="0"/>
                <w:sz w:val="20"/>
                <w:szCs w:val="20"/>
              </w:rPr>
              <w:t>US$184,853</w:t>
            </w:r>
          </w:p>
        </w:tc>
      </w:tr>
      <w:tr w:rsidR="009540D6" w:rsidRPr="00080D6A" w14:paraId="20FCD0E2" w14:textId="77777777" w:rsidTr="00F06459">
        <w:trPr>
          <w:cantSplit/>
        </w:trPr>
        <w:tc>
          <w:tcPr>
            <w:tcW w:w="7225" w:type="dxa"/>
            <w:shd w:val="clear" w:color="auto" w:fill="auto"/>
            <w:vAlign w:val="center"/>
          </w:tcPr>
          <w:p w14:paraId="13E02010" w14:textId="77777777" w:rsidR="009540D6" w:rsidRPr="00080D6A" w:rsidRDefault="009540D6" w:rsidP="009540D6">
            <w:pPr>
              <w:pStyle w:val="Paragraph"/>
              <w:spacing w:before="240" w:after="60"/>
              <w:ind w:firstLine="34"/>
              <w:jc w:val="right"/>
              <w:rPr>
                <w:b/>
                <w:sz w:val="20"/>
                <w:szCs w:val="20"/>
              </w:rPr>
            </w:pPr>
            <w:r w:rsidRPr="00080D6A">
              <w:rPr>
                <w:b/>
                <w:sz w:val="20"/>
                <w:szCs w:val="20"/>
              </w:rPr>
              <w:t>TOTAL</w:t>
            </w:r>
          </w:p>
        </w:tc>
        <w:tc>
          <w:tcPr>
            <w:tcW w:w="1847" w:type="dxa"/>
            <w:shd w:val="clear" w:color="auto" w:fill="auto"/>
            <w:vAlign w:val="center"/>
          </w:tcPr>
          <w:p w14:paraId="183AC0A2" w14:textId="19074D6A" w:rsidR="009540D6" w:rsidRPr="00080D6A" w:rsidRDefault="009540D6" w:rsidP="009540D6">
            <w:pPr>
              <w:pStyle w:val="ListParagraph1"/>
              <w:spacing w:before="240" w:after="60"/>
              <w:ind w:left="142"/>
              <w:jc w:val="right"/>
              <w:rPr>
                <w:rFonts w:eastAsia="MS Mincho"/>
                <w:b/>
                <w:sz w:val="20"/>
                <w:szCs w:val="20"/>
              </w:rPr>
            </w:pPr>
            <w:r w:rsidRPr="00080D6A">
              <w:rPr>
                <w:b/>
                <w:bCs/>
                <w:sz w:val="20"/>
                <w:szCs w:val="20"/>
              </w:rPr>
              <w:t>US$</w:t>
            </w:r>
            <w:r w:rsidR="00E675B1" w:rsidRPr="00080D6A">
              <w:rPr>
                <w:b/>
                <w:bCs/>
                <w:sz w:val="20"/>
                <w:szCs w:val="20"/>
              </w:rPr>
              <w:t>5,172,742</w:t>
            </w:r>
          </w:p>
        </w:tc>
      </w:tr>
    </w:tbl>
    <w:p w14:paraId="3A6E6BE3" w14:textId="566E9072" w:rsidR="00567902" w:rsidRPr="00C82C82" w:rsidRDefault="00567902" w:rsidP="00567902">
      <w:pPr>
        <w:pStyle w:val="COMPara"/>
        <w:numPr>
          <w:ilvl w:val="0"/>
          <w:numId w:val="10"/>
        </w:numPr>
        <w:tabs>
          <w:tab w:val="left" w:pos="567"/>
        </w:tabs>
        <w:spacing w:before="240"/>
        <w:ind w:left="567" w:hanging="567"/>
        <w:jc w:val="both"/>
      </w:pPr>
      <w:r w:rsidRPr="00080D6A">
        <w:t xml:space="preserve">Compared to the </w:t>
      </w:r>
      <w:r w:rsidR="00F8363F" w:rsidRPr="00080D6A">
        <w:t xml:space="preserve">same period in the </w:t>
      </w:r>
      <w:r w:rsidRPr="00080D6A">
        <w:t>preceding biennium, the total income during the reporting period increased by 16% due mainly to the increase of voluntary supplementary contributions (from US$77,</w:t>
      </w:r>
      <w:r w:rsidRPr="00C82C82">
        <w:t xml:space="preserve">772 to US$757,268). While interests decreased by </w:t>
      </w:r>
      <w:r w:rsidR="00F8363F" w:rsidRPr="00C82C82">
        <w:t>50</w:t>
      </w:r>
      <w:r w:rsidRPr="00C82C82">
        <w:t xml:space="preserve">%, </w:t>
      </w:r>
      <w:r w:rsidR="008F2ACE" w:rsidRPr="00C82C82">
        <w:t xml:space="preserve">this </w:t>
      </w:r>
      <w:r w:rsidRPr="00C82C82">
        <w:t xml:space="preserve">was </w:t>
      </w:r>
      <w:r w:rsidR="006838AE" w:rsidRPr="00C82C82">
        <w:t>offset</w:t>
      </w:r>
      <w:r w:rsidRPr="00C82C82">
        <w:t xml:space="preserve"> by the increase</w:t>
      </w:r>
      <w:r w:rsidR="006838AE" w:rsidRPr="00C82C82">
        <w:t xml:space="preserve"> </w:t>
      </w:r>
      <w:r w:rsidR="00915BC3" w:rsidRPr="00C82C82">
        <w:t>in</w:t>
      </w:r>
      <w:r w:rsidR="006838AE" w:rsidRPr="00C82C82">
        <w:t xml:space="preserve"> voluntary assessed contributions (from US$363,260 to US$430,019)</w:t>
      </w:r>
      <w:r w:rsidRPr="00C82C82">
        <w:t xml:space="preserve"> </w:t>
      </w:r>
      <w:r w:rsidR="006838AE" w:rsidRPr="00C82C82">
        <w:t>and</w:t>
      </w:r>
      <w:r w:rsidRPr="00C82C82">
        <w:t xml:space="preserve"> compulsory assessed contributions</w:t>
      </w:r>
      <w:r w:rsidR="00915BC3" w:rsidRPr="00C82C82">
        <w:t xml:space="preserve"> (from US$3,629,786 to US$3,800,602)</w:t>
      </w:r>
      <w:r w:rsidRPr="00C82C82">
        <w:t xml:space="preserve">. </w:t>
      </w:r>
      <w:r w:rsidR="00F8363F" w:rsidRPr="00C82C82">
        <w:t>A</w:t>
      </w:r>
      <w:r w:rsidRPr="00C82C82">
        <w:t xml:space="preserve">s </w:t>
      </w:r>
      <w:r w:rsidR="008F2ACE" w:rsidRPr="00C82C82">
        <w:t xml:space="preserve">of </w:t>
      </w:r>
      <w:r w:rsidR="00F8363F" w:rsidRPr="00C82C82">
        <w:t>30 June 2021</w:t>
      </w:r>
      <w:r w:rsidRPr="00C82C82">
        <w:t xml:space="preserve">, the total unpaid balance of assessed contributions represented the equivalent of </w:t>
      </w:r>
      <w:r w:rsidR="0065304C" w:rsidRPr="00C82C82">
        <w:t>74</w:t>
      </w:r>
      <w:r w:rsidRPr="00C82C82">
        <w:t>% of compulsory contributions</w:t>
      </w:r>
      <w:r w:rsidR="0065304C" w:rsidRPr="00C82C82">
        <w:t xml:space="preserve"> assessed for 2021</w:t>
      </w:r>
      <w:r w:rsidRPr="00C82C82">
        <w:t>.</w:t>
      </w:r>
    </w:p>
    <w:p w14:paraId="23495DEB" w14:textId="493E7A1A" w:rsidR="003F682C" w:rsidRPr="00C82C82" w:rsidRDefault="003F682C" w:rsidP="003F682C">
      <w:pPr>
        <w:pStyle w:val="Default"/>
        <w:keepNext/>
        <w:numPr>
          <w:ilvl w:val="0"/>
          <w:numId w:val="11"/>
        </w:numPr>
        <w:spacing w:before="240" w:after="120"/>
        <w:ind w:left="567" w:hanging="567"/>
        <w:jc w:val="both"/>
        <w:rPr>
          <w:b/>
          <w:bCs/>
          <w:sz w:val="22"/>
          <w:szCs w:val="22"/>
          <w:lang w:val="en-GB"/>
        </w:rPr>
      </w:pPr>
      <w:r w:rsidRPr="00C82C82">
        <w:rPr>
          <w:b/>
          <w:bCs/>
          <w:sz w:val="22"/>
          <w:szCs w:val="22"/>
          <w:lang w:val="en-GB"/>
        </w:rPr>
        <w:t xml:space="preserve">Schedule of appropriations and expenditure (Statement I and Schedule 1.1, pages </w:t>
      </w:r>
      <w:r w:rsidR="00AE627F" w:rsidRPr="00C82C82">
        <w:rPr>
          <w:b/>
          <w:bCs/>
          <w:sz w:val="22"/>
          <w:szCs w:val="22"/>
          <w:lang w:val="en-GB"/>
        </w:rPr>
        <w:t>6</w:t>
      </w:r>
      <w:r w:rsidRPr="00C82C82">
        <w:rPr>
          <w:rFonts w:eastAsia="MS Mincho"/>
          <w:b/>
          <w:sz w:val="22"/>
          <w:szCs w:val="22"/>
          <w:lang w:val="en-GB"/>
        </w:rPr>
        <w:t>–</w:t>
      </w:r>
      <w:r w:rsidR="00AE627F" w:rsidRPr="00C82C82">
        <w:rPr>
          <w:rFonts w:eastAsia="MS Mincho"/>
          <w:b/>
          <w:sz w:val="22"/>
          <w:szCs w:val="22"/>
          <w:lang w:val="en-GB"/>
        </w:rPr>
        <w:t>7</w:t>
      </w:r>
      <w:r w:rsidRPr="00C82C82">
        <w:rPr>
          <w:b/>
          <w:bCs/>
          <w:sz w:val="22"/>
          <w:szCs w:val="22"/>
          <w:lang w:val="en-GB"/>
        </w:rPr>
        <w:t>)</w:t>
      </w:r>
      <w:r w:rsidRPr="00C82C82">
        <w:rPr>
          <w:rStyle w:val="FootnoteReference"/>
          <w:bCs/>
          <w:sz w:val="22"/>
          <w:szCs w:val="22"/>
          <w:lang w:val="en-GB"/>
        </w:rPr>
        <w:footnoteReference w:id="5"/>
      </w:r>
    </w:p>
    <w:p w14:paraId="50A4CC46" w14:textId="4A27166E" w:rsidR="003F682C" w:rsidRPr="00C82C82" w:rsidRDefault="003F682C" w:rsidP="003F682C">
      <w:pPr>
        <w:pStyle w:val="COMPara"/>
        <w:numPr>
          <w:ilvl w:val="0"/>
          <w:numId w:val="10"/>
        </w:numPr>
        <w:tabs>
          <w:tab w:val="left" w:pos="567"/>
        </w:tabs>
        <w:ind w:left="567" w:hanging="567"/>
        <w:jc w:val="both"/>
      </w:pPr>
      <w:r w:rsidRPr="00C82C82">
        <w:t xml:space="preserve">By its </w:t>
      </w:r>
      <w:r w:rsidR="006838AE" w:rsidRPr="00C82C82">
        <w:t>Resolution 8.GA 7,</w:t>
      </w:r>
      <w:r w:rsidRPr="00C82C82">
        <w:t xml:space="preserve"> the General Assembly approved a budget of US</w:t>
      </w:r>
      <w:r w:rsidR="006838AE" w:rsidRPr="00C82C82">
        <w:t>$7,840,379</w:t>
      </w:r>
      <w:r w:rsidRPr="00C82C82">
        <w:t xml:space="preserve"> for the period 1 January 20</w:t>
      </w:r>
      <w:r w:rsidR="006838AE" w:rsidRPr="00C82C82">
        <w:t>20</w:t>
      </w:r>
      <w:r w:rsidRPr="00C82C82">
        <w:t xml:space="preserve"> to 31 December 20</w:t>
      </w:r>
      <w:r w:rsidR="006838AE" w:rsidRPr="00C82C82">
        <w:t>21</w:t>
      </w:r>
      <w:r w:rsidRPr="00C82C82">
        <w:t xml:space="preserve">, as shown by the schedule of appropriations and expenditure. This corresponds to the balance of the Fund </w:t>
      </w:r>
      <w:r w:rsidR="006838AE" w:rsidRPr="00C82C82">
        <w:t xml:space="preserve">(excluding the sub-fund dedicated to specific activities approved by the Committee and the sub-fund for Enhancing the human capacities of the Secretariat) </w:t>
      </w:r>
      <w:r w:rsidRPr="00C82C82">
        <w:t xml:space="preserve">on </w:t>
      </w:r>
      <w:r w:rsidR="00601484" w:rsidRPr="00C82C82">
        <w:t>31 December 2019</w:t>
      </w:r>
      <w:r w:rsidRPr="00C82C82">
        <w:t xml:space="preserve"> (US$</w:t>
      </w:r>
      <w:r w:rsidR="00915BC3" w:rsidRPr="00C82C82">
        <w:t>8</w:t>
      </w:r>
      <w:r w:rsidRPr="00C82C82">
        <w:t>,</w:t>
      </w:r>
      <w:r w:rsidR="006838AE" w:rsidRPr="00C82C82">
        <w:t>840,379</w:t>
      </w:r>
      <w:r w:rsidRPr="00C82C82">
        <w:t xml:space="preserve">) </w:t>
      </w:r>
      <w:r w:rsidR="003F482D" w:rsidRPr="00C82C82">
        <w:t>less</w:t>
      </w:r>
      <w:r w:rsidR="00A535F3" w:rsidRPr="00C82C82">
        <w:t xml:space="preserve"> </w:t>
      </w:r>
      <w:r w:rsidRPr="00C82C82">
        <w:t>the Reserve Fund accumulated up to that date (US$1,000,000).</w:t>
      </w:r>
    </w:p>
    <w:p w14:paraId="12F4022B" w14:textId="05BE71BA" w:rsidR="006838AE" w:rsidRPr="00C82C82" w:rsidRDefault="006838AE" w:rsidP="00915BC3">
      <w:pPr>
        <w:pStyle w:val="COMPara"/>
        <w:numPr>
          <w:ilvl w:val="0"/>
          <w:numId w:val="10"/>
        </w:numPr>
        <w:tabs>
          <w:tab w:val="left" w:pos="567"/>
        </w:tabs>
        <w:ind w:left="567" w:hanging="567"/>
        <w:jc w:val="both"/>
      </w:pPr>
      <w:r w:rsidRPr="00C82C82">
        <w:t xml:space="preserve">The Financial Report (Schedule 1.1) shows </w:t>
      </w:r>
      <w:r w:rsidR="00915BC3" w:rsidRPr="00C82C82">
        <w:t xml:space="preserve">a </w:t>
      </w:r>
      <w:r w:rsidRPr="00C82C82">
        <w:t>total expenditure of US$</w:t>
      </w:r>
      <w:r w:rsidR="006E7B3F" w:rsidRPr="00C82C82">
        <w:t>2,537,375</w:t>
      </w:r>
      <w:r w:rsidRPr="00C82C82">
        <w:t xml:space="preserve"> as of </w:t>
      </w:r>
      <w:r w:rsidR="006E7B3F" w:rsidRPr="00C82C82">
        <w:t>30 June 2021</w:t>
      </w:r>
      <w:r w:rsidRPr="00C82C82">
        <w:t xml:space="preserve">, which is </w:t>
      </w:r>
      <w:r w:rsidR="006E7B3F" w:rsidRPr="00C82C82">
        <w:t>32</w:t>
      </w:r>
      <w:r w:rsidRPr="00C82C82">
        <w:t>% of the approved</w:t>
      </w:r>
      <w:r w:rsidRPr="00C82C82" w:rsidDel="001D30C3">
        <w:t xml:space="preserve"> </w:t>
      </w:r>
      <w:r w:rsidRPr="00C82C82">
        <w:t xml:space="preserve">budget. </w:t>
      </w:r>
      <w:r w:rsidR="006E7B3F" w:rsidRPr="00C82C82">
        <w:t>This represents a decrease c</w:t>
      </w:r>
      <w:r w:rsidRPr="00C82C82">
        <w:t xml:space="preserve">ompared to the </w:t>
      </w:r>
      <w:r w:rsidR="006E7B3F" w:rsidRPr="00C82C82">
        <w:t xml:space="preserve">situation </w:t>
      </w:r>
      <w:r w:rsidR="00140312" w:rsidRPr="00C82C82">
        <w:t xml:space="preserve">in the </w:t>
      </w:r>
      <w:r w:rsidRPr="00C82C82">
        <w:t>20</w:t>
      </w:r>
      <w:r w:rsidR="006E7B3F" w:rsidRPr="00C82C82">
        <w:t>18</w:t>
      </w:r>
      <w:r w:rsidRPr="00C82C82">
        <w:t>–201</w:t>
      </w:r>
      <w:r w:rsidR="006E7B3F" w:rsidRPr="00C82C82">
        <w:t>9</w:t>
      </w:r>
      <w:r w:rsidRPr="00C82C82">
        <w:t xml:space="preserve"> biennium</w:t>
      </w:r>
      <w:r w:rsidR="00915BC3" w:rsidRPr="00C82C82">
        <w:t xml:space="preserve"> (</w:t>
      </w:r>
      <w:r w:rsidR="00140312" w:rsidRPr="00C82C82">
        <w:t>47%</w:t>
      </w:r>
      <w:r w:rsidR="00915BC3" w:rsidRPr="00C82C82">
        <w:t xml:space="preserve"> expenditure rate</w:t>
      </w:r>
      <w:r w:rsidR="00140312" w:rsidRPr="00C82C82">
        <w:t xml:space="preserve"> on 30 June 201</w:t>
      </w:r>
      <w:r w:rsidR="00915BC3" w:rsidRPr="00C82C82">
        <w:t>9), which is largely due to the impacts of the COVID-19 pandemic on the implementation of operational projects and the organization of statutory meetings</w:t>
      </w:r>
      <w:r w:rsidR="006E7B3F" w:rsidRPr="00C82C82">
        <w:t xml:space="preserve">. </w:t>
      </w:r>
      <w:r w:rsidRPr="00C82C82">
        <w:t>Explanations for each budget line of the schedule of appropriations and expenditure are provided below.</w:t>
      </w:r>
    </w:p>
    <w:p w14:paraId="44DACB69" w14:textId="6F559CBE" w:rsidR="006C76C3" w:rsidRPr="00C82C82" w:rsidRDefault="003F682C">
      <w:pPr>
        <w:pStyle w:val="COMPara"/>
        <w:numPr>
          <w:ilvl w:val="0"/>
          <w:numId w:val="10"/>
        </w:numPr>
        <w:tabs>
          <w:tab w:val="left" w:pos="567"/>
        </w:tabs>
        <w:ind w:left="567" w:hanging="567"/>
        <w:jc w:val="both"/>
      </w:pPr>
      <w:r w:rsidRPr="00C82C82">
        <w:t>In line with the priorities set by the Guidelines for the use of the resources of the Fund in Chapter II.1 of the Operational Directives, the General Assembly decided that the majority of the resources (</w:t>
      </w:r>
      <w:r w:rsidRPr="00C82C82">
        <w:rPr>
          <w:b/>
          <w:bCs/>
        </w:rPr>
        <w:t>budget line 1</w:t>
      </w:r>
      <w:r w:rsidRPr="00C82C82">
        <w:t xml:space="preserve">, </w:t>
      </w:r>
      <w:r w:rsidR="00140312" w:rsidRPr="00C82C82">
        <w:t>51.96</w:t>
      </w:r>
      <w:r w:rsidRPr="00C82C82">
        <w:t>%</w:t>
      </w:r>
      <w:r w:rsidR="00235C4A" w:rsidRPr="00C82C82">
        <w:t xml:space="preserve"> of approved budget</w:t>
      </w:r>
      <w:r w:rsidRPr="00C82C82">
        <w:t xml:space="preserve">) would continue to be allocated to the provision of International Assistance to States Parties. </w:t>
      </w:r>
      <w:r w:rsidR="006C76C3" w:rsidRPr="00C82C82">
        <w:t xml:space="preserve">The expenditure rate (25%) </w:t>
      </w:r>
      <w:r w:rsidRPr="00C82C82">
        <w:t>correspond</w:t>
      </w:r>
      <w:r w:rsidR="006C76C3" w:rsidRPr="00C82C82">
        <w:t>s</w:t>
      </w:r>
      <w:r w:rsidRPr="00C82C82">
        <w:t xml:space="preserve"> to International Assistance granted by the Committee or its Bureau for </w:t>
      </w:r>
      <w:r w:rsidR="00AD501E" w:rsidRPr="00C82C82">
        <w:t>eleven</w:t>
      </w:r>
      <w:r w:rsidRPr="00C82C82">
        <w:t xml:space="preserve"> projects,</w:t>
      </w:r>
      <w:r w:rsidR="00AD501E" w:rsidRPr="00C82C82">
        <w:t xml:space="preserve"> eight of which</w:t>
      </w:r>
      <w:r w:rsidR="006078B2" w:rsidRPr="00C82C82">
        <w:t xml:space="preserve"> were</w:t>
      </w:r>
      <w:r w:rsidR="00AD501E" w:rsidRPr="00C82C82">
        <w:t xml:space="preserve"> </w:t>
      </w:r>
      <w:r w:rsidR="006675D9" w:rsidRPr="00C82C82">
        <w:t>initiated in Africa</w:t>
      </w:r>
      <w:r w:rsidR="003E4D4C" w:rsidRPr="00C82C82">
        <w:t xml:space="preserve"> </w:t>
      </w:r>
      <w:r w:rsidR="006675D9" w:rsidRPr="00C82C82">
        <w:t>during the reporting period</w:t>
      </w:r>
      <w:r w:rsidR="00AD501E" w:rsidRPr="00C82C82">
        <w:t xml:space="preserve">. </w:t>
      </w:r>
      <w:r w:rsidR="00700E43" w:rsidRPr="00C82C82">
        <w:t>The</w:t>
      </w:r>
      <w:r w:rsidR="006C76C3" w:rsidRPr="00C82C82">
        <w:t xml:space="preserve"> decrease by 56%</w:t>
      </w:r>
      <w:r w:rsidR="00700E43" w:rsidRPr="00C82C82">
        <w:t xml:space="preserve"> of the use of this line</w:t>
      </w:r>
      <w:r w:rsidR="006C76C3" w:rsidRPr="00C82C82">
        <w:t xml:space="preserve"> compared to the same period in the previous biennium</w:t>
      </w:r>
      <w:r w:rsidR="00700E43" w:rsidRPr="00C82C82">
        <w:t xml:space="preserve"> is largely due to</w:t>
      </w:r>
      <w:r w:rsidR="006C76C3" w:rsidRPr="00C82C82">
        <w:t xml:space="preserve"> the </w:t>
      </w:r>
      <w:r w:rsidR="00700E43" w:rsidRPr="00C82C82">
        <w:t>lower</w:t>
      </w:r>
      <w:r w:rsidR="006C76C3" w:rsidRPr="00C82C82">
        <w:t xml:space="preserve"> number of International Assistance requests submitted by States Parties since January 2020 (</w:t>
      </w:r>
      <w:r w:rsidR="00E64160" w:rsidRPr="00C82C82">
        <w:t xml:space="preserve">27 </w:t>
      </w:r>
      <w:r w:rsidR="00861F9D" w:rsidRPr="00C82C82">
        <w:t xml:space="preserve">requests </w:t>
      </w:r>
      <w:r w:rsidR="004B53CD" w:rsidRPr="00C82C82">
        <w:t xml:space="preserve">registered and </w:t>
      </w:r>
      <w:r w:rsidR="00861F9D" w:rsidRPr="00C82C82">
        <w:t>treated</w:t>
      </w:r>
      <w:r w:rsidR="004B53CD" w:rsidRPr="00C82C82">
        <w:t xml:space="preserve"> by the Secretariat</w:t>
      </w:r>
      <w:r w:rsidR="00861F9D" w:rsidRPr="00C82C82">
        <w:t xml:space="preserve"> during the reporting period against 48 in the 2018–2019 biennium</w:t>
      </w:r>
      <w:r w:rsidR="006C76C3" w:rsidRPr="00C82C82">
        <w:t>).</w:t>
      </w:r>
    </w:p>
    <w:p w14:paraId="197ECF9D" w14:textId="0FC94633" w:rsidR="003F682C" w:rsidRPr="00C82C82" w:rsidRDefault="003F682C">
      <w:pPr>
        <w:pStyle w:val="COMPara"/>
        <w:numPr>
          <w:ilvl w:val="0"/>
          <w:numId w:val="10"/>
        </w:numPr>
        <w:tabs>
          <w:tab w:val="left" w:pos="567"/>
        </w:tabs>
        <w:ind w:left="567" w:hanging="567"/>
        <w:jc w:val="both"/>
      </w:pPr>
      <w:r w:rsidRPr="00C82C82">
        <w:t>As of 30 June 20</w:t>
      </w:r>
      <w:r w:rsidR="004C47C9" w:rsidRPr="00C82C82">
        <w:t>21</w:t>
      </w:r>
      <w:r w:rsidRPr="00C82C82">
        <w:t xml:space="preserve">, </w:t>
      </w:r>
      <w:r w:rsidR="004C47C9" w:rsidRPr="00C82C82">
        <w:t>nine</w:t>
      </w:r>
      <w:r w:rsidRPr="00C82C82">
        <w:t xml:space="preserve"> other projects – </w:t>
      </w:r>
      <w:r w:rsidR="00DB6990" w:rsidRPr="00C82C82">
        <w:t>eight</w:t>
      </w:r>
      <w:r w:rsidRPr="00C82C82">
        <w:t xml:space="preserve"> granted by the Bureau that met in </w:t>
      </w:r>
      <w:r w:rsidR="004C47C9" w:rsidRPr="00C82C82">
        <w:t>October</w:t>
      </w:r>
      <w:r w:rsidRPr="00C82C82">
        <w:t xml:space="preserve"> 201</w:t>
      </w:r>
      <w:r w:rsidR="004C47C9" w:rsidRPr="00C82C82">
        <w:t>9</w:t>
      </w:r>
      <w:r w:rsidRPr="00C82C82">
        <w:t xml:space="preserve"> (</w:t>
      </w:r>
      <w:r w:rsidR="00D235E6" w:rsidRPr="00C82C82">
        <w:t xml:space="preserve">Decision </w:t>
      </w:r>
      <w:hyperlink r:id="rId16" w:history="1">
        <w:r w:rsidR="00D235E6" w:rsidRPr="00C82C82">
          <w:rPr>
            <w:rStyle w:val="Hyperlink"/>
          </w:rPr>
          <w:t>14.COM 4.BUR 4.1</w:t>
        </w:r>
      </w:hyperlink>
      <w:r w:rsidRPr="00C82C82">
        <w:t>),</w:t>
      </w:r>
      <w:r w:rsidR="00DB6990" w:rsidRPr="00C82C82">
        <w:t xml:space="preserve"> September 2020 (</w:t>
      </w:r>
      <w:r w:rsidR="00D235E6" w:rsidRPr="00C82C82">
        <w:t xml:space="preserve">Decisions </w:t>
      </w:r>
      <w:hyperlink r:id="rId17" w:history="1">
        <w:r w:rsidR="00D235E6" w:rsidRPr="00C82C82">
          <w:rPr>
            <w:rStyle w:val="Hyperlink"/>
          </w:rPr>
          <w:t>15.COM 2.BUR 3.1, 15.COM 2.BUR 3.3 and 15.COM 2.BUR 3.5</w:t>
        </w:r>
      </w:hyperlink>
      <w:r w:rsidR="00DB6990" w:rsidRPr="00C82C82">
        <w:t>), October 2020 (</w:t>
      </w:r>
      <w:r w:rsidR="00D235E6" w:rsidRPr="00C82C82">
        <w:t xml:space="preserve">Decision </w:t>
      </w:r>
      <w:hyperlink r:id="rId18" w:history="1">
        <w:r w:rsidR="00D235E6" w:rsidRPr="00C82C82">
          <w:rPr>
            <w:rStyle w:val="Hyperlink"/>
          </w:rPr>
          <w:t>15.COM 3.BUR 3.1</w:t>
        </w:r>
      </w:hyperlink>
      <w:r w:rsidR="00DB6990" w:rsidRPr="00C82C82">
        <w:t>), May 2021 (</w:t>
      </w:r>
      <w:r w:rsidR="00D235E6" w:rsidRPr="00C82C82">
        <w:t xml:space="preserve">Decisions </w:t>
      </w:r>
      <w:hyperlink r:id="rId19" w:history="1">
        <w:r w:rsidR="00D235E6" w:rsidRPr="00C82C82">
          <w:rPr>
            <w:rStyle w:val="Hyperlink"/>
          </w:rPr>
          <w:t>16.COM 2.BUR 3.1, 16.COM 2.BUR 3.2 and 16.COM 2.BUR 3.3</w:t>
        </w:r>
      </w:hyperlink>
      <w:r w:rsidR="00DB6990" w:rsidRPr="00C82C82">
        <w:t>) as well as one request approved</w:t>
      </w:r>
      <w:r w:rsidRPr="00C82C82">
        <w:t xml:space="preserve"> by the last Committee (</w:t>
      </w:r>
      <w:r w:rsidR="00D235E6" w:rsidRPr="00C82C82">
        <w:t xml:space="preserve">Decision </w:t>
      </w:r>
      <w:hyperlink r:id="rId20" w:history="1">
        <w:r w:rsidR="00D235E6" w:rsidRPr="00C82C82">
          <w:rPr>
            <w:rStyle w:val="Hyperlink"/>
          </w:rPr>
          <w:t>15.COM 8.a.4</w:t>
        </w:r>
      </w:hyperlink>
      <w:r w:rsidR="00DB6990" w:rsidRPr="00C82C82">
        <w:t xml:space="preserve">) </w:t>
      </w:r>
      <w:r w:rsidRPr="00C82C82">
        <w:t xml:space="preserve">– </w:t>
      </w:r>
      <w:r w:rsidR="008F5D3C" w:rsidRPr="00C82C82">
        <w:t xml:space="preserve">for which contracts have not </w:t>
      </w:r>
      <w:r w:rsidR="00125577" w:rsidRPr="00C82C82">
        <w:t xml:space="preserve">yet </w:t>
      </w:r>
      <w:r w:rsidR="008F5D3C" w:rsidRPr="00C82C82">
        <w:t xml:space="preserve">been </w:t>
      </w:r>
      <w:r w:rsidR="00641D9F" w:rsidRPr="00C82C82">
        <w:t>established</w:t>
      </w:r>
      <w:r w:rsidR="00125577" w:rsidRPr="00C82C82">
        <w:t xml:space="preserve"> and </w:t>
      </w:r>
      <w:r w:rsidRPr="00C82C82">
        <w:t xml:space="preserve">are therefore not reflected in Statement I. The expenditure rate </w:t>
      </w:r>
      <w:r w:rsidR="007F3A9F" w:rsidRPr="00C82C82">
        <w:t>should</w:t>
      </w:r>
      <w:r w:rsidRPr="00C82C82">
        <w:t xml:space="preserve"> rise </w:t>
      </w:r>
      <w:r w:rsidR="006C76C3" w:rsidRPr="00C82C82">
        <w:t xml:space="preserve">up to </w:t>
      </w:r>
      <w:r w:rsidR="00421C98" w:rsidRPr="00C82C82">
        <w:t>5</w:t>
      </w:r>
      <w:r w:rsidR="00601484" w:rsidRPr="00C82C82">
        <w:t>7</w:t>
      </w:r>
      <w:r w:rsidRPr="00C82C82">
        <w:t xml:space="preserve">% at the end of the biennium </w:t>
      </w:r>
      <w:r w:rsidR="007F3A9F" w:rsidRPr="00C82C82">
        <w:t xml:space="preserve">when </w:t>
      </w:r>
      <w:r w:rsidR="006C76C3" w:rsidRPr="00C82C82">
        <w:t xml:space="preserve">all of </w:t>
      </w:r>
      <w:r w:rsidRPr="00C82C82">
        <w:t xml:space="preserve">the above-mentioned contracts </w:t>
      </w:r>
      <w:r w:rsidRPr="00C82C82">
        <w:lastRenderedPageBreak/>
        <w:t>are established</w:t>
      </w:r>
      <w:r w:rsidR="00DF190B" w:rsidRPr="00C82C82">
        <w:t>, which would be on par with the expenditure rate achieved at the end of the previous 2018–2019 biennium (61%)</w:t>
      </w:r>
      <w:r w:rsidRPr="00C82C82">
        <w:t>.</w:t>
      </w:r>
    </w:p>
    <w:p w14:paraId="3A4011F2" w14:textId="4FEF4B8C" w:rsidR="00F97351" w:rsidRPr="00C82C82" w:rsidRDefault="003F682C" w:rsidP="00191AE3">
      <w:pPr>
        <w:pStyle w:val="COMPara"/>
        <w:numPr>
          <w:ilvl w:val="0"/>
          <w:numId w:val="10"/>
        </w:numPr>
        <w:tabs>
          <w:tab w:val="left" w:pos="567"/>
        </w:tabs>
        <w:ind w:left="567" w:hanging="567"/>
        <w:jc w:val="both"/>
      </w:pPr>
      <w:r w:rsidRPr="00C82C82">
        <w:t xml:space="preserve">The </w:t>
      </w:r>
      <w:r w:rsidRPr="00C82C82">
        <w:rPr>
          <w:b/>
        </w:rPr>
        <w:t>budget line 1.1</w:t>
      </w:r>
      <w:r w:rsidRPr="00C82C82">
        <w:t xml:space="preserve"> </w:t>
      </w:r>
      <w:r w:rsidR="00530E51" w:rsidRPr="00C82C82">
        <w:t xml:space="preserve">(10.79%) </w:t>
      </w:r>
      <w:r w:rsidR="00F97351" w:rsidRPr="00C82C82">
        <w:t>is used to cover the biennial costs of three extra-budgetary fixed-term posts (one P3, one P2 and one G5) that were created by the General Assembly at in 2018 to fully activate the International Assistance mechanisms and effectively monitor and evaluate their implementation (</w:t>
      </w:r>
      <w:r w:rsidR="00DC0435" w:rsidRPr="00C82C82">
        <w:t>Resolution </w:t>
      </w:r>
      <w:hyperlink r:id="rId21" w:history="1">
        <w:r w:rsidR="00DC0435" w:rsidRPr="00C82C82">
          <w:rPr>
            <w:rStyle w:val="Hyperlink"/>
          </w:rPr>
          <w:t>7.GA 8</w:t>
        </w:r>
      </w:hyperlink>
      <w:r w:rsidR="00F97351" w:rsidRPr="00C82C82">
        <w:t xml:space="preserve">). </w:t>
      </w:r>
      <w:r w:rsidR="00881BC8" w:rsidRPr="00C82C82">
        <w:t>A</w:t>
      </w:r>
      <w:r w:rsidR="00F97351" w:rsidRPr="00C82C82">
        <w:t xml:space="preserve"> ‘Safeguarding Implementation and Monitoring Team’</w:t>
      </w:r>
      <w:r w:rsidR="00881BC8" w:rsidRPr="00C82C82">
        <w:t xml:space="preserve"> was established and </w:t>
      </w:r>
      <w:r w:rsidR="008F2ACE" w:rsidRPr="00C82C82">
        <w:t>has been</w:t>
      </w:r>
      <w:r w:rsidR="00881BC8" w:rsidRPr="00C82C82">
        <w:t xml:space="preserve"> </w:t>
      </w:r>
      <w:r w:rsidR="00F97351" w:rsidRPr="00C82C82">
        <w:t xml:space="preserve">fully operational </w:t>
      </w:r>
      <w:r w:rsidR="00881BC8" w:rsidRPr="00C82C82">
        <w:t>since</w:t>
      </w:r>
      <w:r w:rsidR="00F97351" w:rsidRPr="00C82C82">
        <w:t xml:space="preserve"> February 2020.</w:t>
      </w:r>
    </w:p>
    <w:p w14:paraId="6B99B426" w14:textId="734F789A" w:rsidR="003F682C" w:rsidRPr="00C82C82" w:rsidRDefault="00530E51" w:rsidP="003F682C">
      <w:pPr>
        <w:pStyle w:val="COMPara"/>
        <w:numPr>
          <w:ilvl w:val="0"/>
          <w:numId w:val="10"/>
        </w:numPr>
        <w:tabs>
          <w:tab w:val="left" w:pos="567"/>
        </w:tabs>
        <w:ind w:left="567" w:hanging="567"/>
        <w:jc w:val="both"/>
      </w:pPr>
      <w:r w:rsidRPr="00C82C82">
        <w:rPr>
          <w:rFonts w:cs="Times New Roman"/>
        </w:rPr>
        <w:t xml:space="preserve">Concerning the </w:t>
      </w:r>
      <w:r w:rsidRPr="00C82C82">
        <w:rPr>
          <w:rFonts w:cs="Times New Roman"/>
          <w:b/>
        </w:rPr>
        <w:t>budget line 2</w:t>
      </w:r>
      <w:r w:rsidRPr="00C82C82">
        <w:rPr>
          <w:rFonts w:cs="Times New Roman"/>
        </w:rPr>
        <w:t xml:space="preserve"> (2%),</w:t>
      </w:r>
      <w:r w:rsidR="003F682C" w:rsidRPr="00C82C82">
        <w:t xml:space="preserve"> </w:t>
      </w:r>
      <w:r w:rsidR="008F2ACE" w:rsidRPr="00C82C82">
        <w:t xml:space="preserve">the </w:t>
      </w:r>
      <w:r w:rsidR="00E73CA8" w:rsidRPr="00C82C82">
        <w:t>e</w:t>
      </w:r>
      <w:r w:rsidR="003F682C" w:rsidRPr="00C82C82">
        <w:t xml:space="preserve">xpenditures reflected include the provision of technical assistance to </w:t>
      </w:r>
      <w:r w:rsidR="00A6499A" w:rsidRPr="00C82C82">
        <w:t>four</w:t>
      </w:r>
      <w:r w:rsidR="003F682C" w:rsidRPr="00C82C82">
        <w:t xml:space="preserve"> States Parties for</w:t>
      </w:r>
      <w:r w:rsidR="00A6499A" w:rsidRPr="00C82C82">
        <w:t xml:space="preserve"> the development and revision of</w:t>
      </w:r>
      <w:r w:rsidR="003F682C" w:rsidRPr="00C82C82">
        <w:t xml:space="preserve"> their International Assistance requests, in accordance with</w:t>
      </w:r>
      <w:r w:rsidR="00D235E6" w:rsidRPr="00C82C82">
        <w:t xml:space="preserve"> Decision</w:t>
      </w:r>
      <w:r w:rsidR="003F682C" w:rsidRPr="00C82C82">
        <w:t xml:space="preserve"> </w:t>
      </w:r>
      <w:hyperlink r:id="rId22" w:history="1">
        <w:r w:rsidR="00D235E6" w:rsidRPr="00C82C82">
          <w:rPr>
            <w:rStyle w:val="Hyperlink"/>
          </w:rPr>
          <w:t>8.COM 7.c</w:t>
        </w:r>
      </w:hyperlink>
      <w:r w:rsidR="003F682C" w:rsidRPr="00C82C82">
        <w:t>.</w:t>
      </w:r>
      <w:r w:rsidR="00314BD8" w:rsidRPr="00C82C82">
        <w:t xml:space="preserve"> In one case, technical assistance was postponed due to difficulties organizing a field mission in the context of the COVID-19 pandemic.</w:t>
      </w:r>
    </w:p>
    <w:p w14:paraId="3D17DFD7" w14:textId="54C7D0AD" w:rsidR="008D7DF1" w:rsidRPr="00C82C82" w:rsidRDefault="00530E51" w:rsidP="008D7DF1">
      <w:pPr>
        <w:pStyle w:val="COMPara"/>
        <w:numPr>
          <w:ilvl w:val="0"/>
          <w:numId w:val="10"/>
        </w:numPr>
        <w:tabs>
          <w:tab w:val="left" w:pos="567"/>
        </w:tabs>
        <w:ind w:left="567" w:hanging="567"/>
        <w:jc w:val="both"/>
        <w:rPr>
          <w:bCs/>
        </w:rPr>
      </w:pPr>
      <w:r w:rsidRPr="00C82C82">
        <w:t xml:space="preserve">In conformity with </w:t>
      </w:r>
      <w:r w:rsidR="008D7DF1" w:rsidRPr="00C82C82">
        <w:t>the</w:t>
      </w:r>
      <w:r w:rsidRPr="00C82C82">
        <w:t xml:space="preserve"> new approval procedure </w:t>
      </w:r>
      <w:r w:rsidR="008D7DF1" w:rsidRPr="00C82C82">
        <w:rPr>
          <w:bCs/>
        </w:rPr>
        <w:t xml:space="preserve">of </w:t>
      </w:r>
      <w:r w:rsidRPr="00C82C82">
        <w:rPr>
          <w:bCs/>
        </w:rPr>
        <w:t xml:space="preserve">the spending plan </w:t>
      </w:r>
      <w:r w:rsidR="00C70617" w:rsidRPr="00C82C82">
        <w:rPr>
          <w:bCs/>
        </w:rPr>
        <w:t>for the ‘other</w:t>
      </w:r>
      <w:r w:rsidR="00AD128B" w:rsidRPr="00C82C82">
        <w:rPr>
          <w:bCs/>
        </w:rPr>
        <w:t>s</w:t>
      </w:r>
      <w:r w:rsidR="00C70617" w:rsidRPr="00C82C82">
        <w:rPr>
          <w:bCs/>
        </w:rPr>
        <w:t xml:space="preserve"> functions of the Committee’ (</w:t>
      </w:r>
      <w:r w:rsidR="00C70617" w:rsidRPr="00C82C82">
        <w:rPr>
          <w:b/>
        </w:rPr>
        <w:t>budget line 3</w:t>
      </w:r>
      <w:r w:rsidR="00477901" w:rsidRPr="00C82C82">
        <w:rPr>
          <w:bCs/>
        </w:rPr>
        <w:t>:</w:t>
      </w:r>
      <w:r w:rsidR="00C70617" w:rsidRPr="00C82C82">
        <w:rPr>
          <w:bCs/>
        </w:rPr>
        <w:t xml:space="preserve"> 20%) </w:t>
      </w:r>
      <w:r w:rsidRPr="00C82C82">
        <w:rPr>
          <w:bCs/>
        </w:rPr>
        <w:t xml:space="preserve">established by the Committee in 2019 </w:t>
      </w:r>
      <w:r w:rsidR="00EC309C" w:rsidRPr="00C82C82">
        <w:rPr>
          <w:bCs/>
        </w:rPr>
        <w:t>and its transitional implementation for 2020</w:t>
      </w:r>
      <w:r w:rsidR="00EC5A79" w:rsidRPr="00C82C82">
        <w:t>–</w:t>
      </w:r>
      <w:r w:rsidR="00EC309C" w:rsidRPr="00C82C82">
        <w:rPr>
          <w:bCs/>
        </w:rPr>
        <w:t xml:space="preserve">2021 </w:t>
      </w:r>
      <w:r w:rsidRPr="00C82C82">
        <w:rPr>
          <w:bCs/>
        </w:rPr>
        <w:t>(</w:t>
      </w:r>
      <w:r w:rsidR="008D7DF1" w:rsidRPr="00C82C82">
        <w:rPr>
          <w:bCs/>
        </w:rPr>
        <w:t xml:space="preserve">paragraphs 8 and 9 in </w:t>
      </w:r>
      <w:r w:rsidR="00D235E6" w:rsidRPr="00C82C82">
        <w:rPr>
          <w:bCs/>
        </w:rPr>
        <w:t xml:space="preserve">Decision </w:t>
      </w:r>
      <w:hyperlink r:id="rId23" w:history="1">
        <w:r w:rsidR="00D235E6" w:rsidRPr="00C82C82">
          <w:rPr>
            <w:rStyle w:val="Hyperlink"/>
            <w:bCs/>
          </w:rPr>
          <w:t>14.COM 7</w:t>
        </w:r>
      </w:hyperlink>
      <w:r w:rsidRPr="00C82C82">
        <w:rPr>
          <w:bCs/>
        </w:rPr>
        <w:t xml:space="preserve">), </w:t>
      </w:r>
      <w:r w:rsidR="008D7DF1" w:rsidRPr="00C82C82">
        <w:rPr>
          <w:bCs/>
        </w:rPr>
        <w:t>the use of the 2020</w:t>
      </w:r>
      <w:r w:rsidR="00EC5A79" w:rsidRPr="00C82C82">
        <w:t>–</w:t>
      </w:r>
      <w:r w:rsidR="008D7DF1" w:rsidRPr="00C82C82">
        <w:rPr>
          <w:bCs/>
        </w:rPr>
        <w:t xml:space="preserve">2021 budget was endorsed by the eighth session of the General Assembly based on a percentage breakdown in terms of Expected Results as per the approved C/5 </w:t>
      </w:r>
      <w:r w:rsidR="008D7DF1" w:rsidRPr="00C82C82">
        <w:t>(Resolution 7.GA 8).</w:t>
      </w:r>
      <w:r w:rsidR="008D7DF1" w:rsidRPr="00C82C82">
        <w:rPr>
          <w:bCs/>
        </w:rPr>
        <w:t xml:space="preserve"> According to the plan approved by the General Assembly (see document </w:t>
      </w:r>
      <w:hyperlink r:id="rId24" w:history="1">
        <w:r w:rsidR="008D7DF1" w:rsidRPr="00C82C82">
          <w:rPr>
            <w:rStyle w:val="Hyperlink"/>
            <w:bCs/>
          </w:rPr>
          <w:t>LHE/20/8.GA/7 Re</w:t>
        </w:r>
        <w:r w:rsidR="00E46EAF" w:rsidRPr="00C82C82">
          <w:rPr>
            <w:rStyle w:val="Hyperlink"/>
            <w:bCs/>
          </w:rPr>
          <w:t>v.</w:t>
        </w:r>
      </w:hyperlink>
      <w:r w:rsidR="008D7DF1" w:rsidRPr="00C82C82">
        <w:rPr>
          <w:bCs/>
        </w:rPr>
        <w:t>), these funds were dedicated to: capacity building and guidance on safeguarding measures and good practices (3</w:t>
      </w:r>
      <w:r w:rsidR="00EC309C" w:rsidRPr="00C82C82">
        <w:rPr>
          <w:bCs/>
        </w:rPr>
        <w:t>3</w:t>
      </w:r>
      <w:r w:rsidR="008D7DF1" w:rsidRPr="00C82C82">
        <w:rPr>
          <w:bCs/>
        </w:rPr>
        <w:t>%</w:t>
      </w:r>
      <w:r w:rsidR="00EC309C" w:rsidRPr="00C82C82">
        <w:rPr>
          <w:bCs/>
        </w:rPr>
        <w:t xml:space="preserve"> of budget line 3</w:t>
      </w:r>
      <w:r w:rsidR="008D7DF1" w:rsidRPr="00C82C82">
        <w:rPr>
          <w:bCs/>
        </w:rPr>
        <w:t xml:space="preserve">); awareness raising and outreach (27%); </w:t>
      </w:r>
      <w:r w:rsidR="00EC309C" w:rsidRPr="00C82C82">
        <w:rPr>
          <w:bCs/>
        </w:rPr>
        <w:t xml:space="preserve">enhanced monitoring and </w:t>
      </w:r>
      <w:r w:rsidR="008D7DF1" w:rsidRPr="00C82C82">
        <w:rPr>
          <w:bCs/>
        </w:rPr>
        <w:t>knowledge</w:t>
      </w:r>
      <w:r w:rsidR="00EC5A79" w:rsidRPr="00C82C82">
        <w:rPr>
          <w:bCs/>
        </w:rPr>
        <w:t>-</w:t>
      </w:r>
      <w:r w:rsidR="008D7DF1" w:rsidRPr="00C82C82">
        <w:rPr>
          <w:bCs/>
        </w:rPr>
        <w:t>management services (2</w:t>
      </w:r>
      <w:r w:rsidR="00EC309C" w:rsidRPr="00C82C82">
        <w:rPr>
          <w:bCs/>
        </w:rPr>
        <w:t>7</w:t>
      </w:r>
      <w:r w:rsidR="008D7DF1" w:rsidRPr="00C82C82">
        <w:rPr>
          <w:bCs/>
        </w:rPr>
        <w:t>%); and the integration of intangible cultural heritage into development plans, policies and programmes (1</w:t>
      </w:r>
      <w:r w:rsidR="00EC309C" w:rsidRPr="00C82C82">
        <w:rPr>
          <w:bCs/>
        </w:rPr>
        <w:t>3</w:t>
      </w:r>
      <w:r w:rsidR="008D7DF1" w:rsidRPr="00C82C82">
        <w:rPr>
          <w:bCs/>
        </w:rPr>
        <w:t xml:space="preserve">%). </w:t>
      </w:r>
      <w:r w:rsidR="002F3021" w:rsidRPr="00C82C82">
        <w:rPr>
          <w:bCs/>
        </w:rPr>
        <w:t xml:space="preserve">Furthermore, </w:t>
      </w:r>
      <w:r w:rsidR="00EC309C" w:rsidRPr="00C82C82">
        <w:rPr>
          <w:bCs/>
        </w:rPr>
        <w:t>44</w:t>
      </w:r>
      <w:r w:rsidR="008D7DF1" w:rsidRPr="00C82C82">
        <w:rPr>
          <w:bCs/>
        </w:rPr>
        <w:t>% of the funds approved for the current biennium were obligated as of 30 June 20</w:t>
      </w:r>
      <w:r w:rsidR="00EC309C" w:rsidRPr="00C82C82">
        <w:rPr>
          <w:bCs/>
        </w:rPr>
        <w:t>21</w:t>
      </w:r>
      <w:r w:rsidR="008D7DF1" w:rsidRPr="00C82C82">
        <w:rPr>
          <w:bCs/>
        </w:rPr>
        <w:t xml:space="preserve">. </w:t>
      </w:r>
      <w:r w:rsidR="00E64160" w:rsidRPr="00C82C82">
        <w:rPr>
          <w:bCs/>
        </w:rPr>
        <w:t xml:space="preserve">Based on activities and associated contracts that the Secretariat has established since 1 July 2021 and will establish until the end of the year, the expenditure rate is expected to reach 74% at the end of the biennium. </w:t>
      </w:r>
      <w:r w:rsidR="008D7DF1" w:rsidRPr="00C82C82">
        <w:rPr>
          <w:bCs/>
        </w:rPr>
        <w:t xml:space="preserve">A detailed report on the progress of the implementation of these funds can be found in document </w:t>
      </w:r>
      <w:hyperlink r:id="rId25" w:history="1">
        <w:r w:rsidR="008D7DF1" w:rsidRPr="00C82C82">
          <w:rPr>
            <w:rStyle w:val="Hyperlink"/>
            <w:bCs/>
          </w:rPr>
          <w:t>LHE/</w:t>
        </w:r>
        <w:r w:rsidR="00EC309C" w:rsidRPr="00C82C82">
          <w:rPr>
            <w:rStyle w:val="Hyperlink"/>
            <w:bCs/>
          </w:rPr>
          <w:t>21/16.COM</w:t>
        </w:r>
        <w:r w:rsidR="00F130AF" w:rsidRPr="00C82C82">
          <w:rPr>
            <w:rStyle w:val="Hyperlink"/>
            <w:bCs/>
          </w:rPr>
          <w:t>/</w:t>
        </w:r>
        <w:r w:rsidR="00EC309C" w:rsidRPr="00C82C82">
          <w:rPr>
            <w:rStyle w:val="Hyperlink"/>
            <w:bCs/>
          </w:rPr>
          <w:t>INF.</w:t>
        </w:r>
        <w:r w:rsidR="004D6642" w:rsidRPr="00C82C82">
          <w:rPr>
            <w:rStyle w:val="Hyperlink"/>
            <w:bCs/>
          </w:rPr>
          <w:t>1</w:t>
        </w:r>
        <w:r w:rsidR="00F130AF" w:rsidRPr="00C82C82">
          <w:rPr>
            <w:rStyle w:val="Hyperlink"/>
            <w:bCs/>
          </w:rPr>
          <w:t>3</w:t>
        </w:r>
        <w:r w:rsidR="00EC309C" w:rsidRPr="00C82C82">
          <w:rPr>
            <w:rStyle w:val="Hyperlink"/>
            <w:bCs/>
          </w:rPr>
          <w:t>.2</w:t>
        </w:r>
      </w:hyperlink>
      <w:r w:rsidR="008D7DF1" w:rsidRPr="00C82C82">
        <w:rPr>
          <w:bCs/>
        </w:rPr>
        <w:t>, ‘</w:t>
      </w:r>
      <w:r w:rsidR="00E90D71" w:rsidRPr="00C82C82">
        <w:rPr>
          <w:bCs/>
        </w:rPr>
        <w:t xml:space="preserve">Implementation report of the spending plan for the ‘other functions of the Committee’ for the period 1 January </w:t>
      </w:r>
      <w:r w:rsidR="00C726F7" w:rsidRPr="00C82C82">
        <w:rPr>
          <w:bCs/>
        </w:rPr>
        <w:t xml:space="preserve">2018 </w:t>
      </w:r>
      <w:r w:rsidR="00E90D71" w:rsidRPr="00C82C82">
        <w:rPr>
          <w:bCs/>
        </w:rPr>
        <w:t>– 30 June 2021</w:t>
      </w:r>
      <w:r w:rsidR="008D7DF1" w:rsidRPr="00C82C82">
        <w:rPr>
          <w:bCs/>
        </w:rPr>
        <w:t>’.</w:t>
      </w:r>
    </w:p>
    <w:p w14:paraId="33F5FE78" w14:textId="41A8BC96" w:rsidR="007F103E" w:rsidRPr="00C82C82" w:rsidRDefault="007F103E" w:rsidP="007F103E">
      <w:pPr>
        <w:pStyle w:val="COMPara"/>
        <w:numPr>
          <w:ilvl w:val="0"/>
          <w:numId w:val="10"/>
        </w:numPr>
        <w:tabs>
          <w:tab w:val="left" w:pos="567"/>
        </w:tabs>
        <w:ind w:left="567" w:hanging="567"/>
        <w:jc w:val="both"/>
        <w:rPr>
          <w:rFonts w:cs="Times New Roman"/>
        </w:rPr>
      </w:pPr>
      <w:r w:rsidRPr="00C82C82">
        <w:t>Following the Internal Oversight Service’s recommendation in its audit of the working methods of cultur</w:t>
      </w:r>
      <w:r w:rsidR="00D5675C" w:rsidRPr="00C82C82">
        <w:t>al</w:t>
      </w:r>
      <w:r w:rsidRPr="00C82C82">
        <w:t xml:space="preserve"> conventions (</w:t>
      </w:r>
      <w:hyperlink r:id="rId26" w:history="1">
        <w:r w:rsidRPr="00C82C82">
          <w:rPr>
            <w:rStyle w:val="Hyperlink"/>
          </w:rPr>
          <w:t>IOS/AUD/2013/06</w:t>
        </w:r>
      </w:hyperlink>
      <w:r w:rsidRPr="00C82C82">
        <w:t>), the Committee requested that the Secretariat apply the cost recovery policy consistently when using the resources of the Fund (</w:t>
      </w:r>
      <w:r w:rsidR="00D235E6" w:rsidRPr="00C82C82">
        <w:t xml:space="preserve">Decision </w:t>
      </w:r>
      <w:hyperlink r:id="rId27" w:history="1">
        <w:r w:rsidR="00D235E6" w:rsidRPr="00C82C82">
          <w:rPr>
            <w:rStyle w:val="Hyperlink"/>
          </w:rPr>
          <w:t>8.COM 11</w:t>
        </w:r>
      </w:hyperlink>
      <w:r w:rsidRPr="00C82C82">
        <w:t>). Consequently</w:t>
      </w:r>
      <w:r w:rsidR="003E4D4C" w:rsidRPr="00C82C82">
        <w:t xml:space="preserve">, </w:t>
      </w:r>
      <w:r w:rsidRPr="00C82C82">
        <w:t>budget lines 1 to 3 were charged with direct expenses related to their implementation.</w:t>
      </w:r>
    </w:p>
    <w:p w14:paraId="52F7ABD6" w14:textId="5D0F1278" w:rsidR="00314BD8" w:rsidRPr="00C82C82" w:rsidRDefault="00314BD8" w:rsidP="002C390F">
      <w:pPr>
        <w:pStyle w:val="COMPara"/>
        <w:numPr>
          <w:ilvl w:val="0"/>
          <w:numId w:val="10"/>
        </w:numPr>
        <w:tabs>
          <w:tab w:val="left" w:pos="567"/>
        </w:tabs>
        <w:ind w:left="567" w:hanging="567"/>
        <w:jc w:val="both"/>
      </w:pPr>
      <w:r w:rsidRPr="00C82C82">
        <w:t xml:space="preserve">Due to the impossibility of holding a meeting </w:t>
      </w:r>
      <w:r w:rsidRPr="00C82C82">
        <w:rPr>
          <w:i/>
          <w:iCs/>
        </w:rPr>
        <w:t>in</w:t>
      </w:r>
      <w:r w:rsidR="00070956" w:rsidRPr="00C82C82">
        <w:rPr>
          <w:i/>
          <w:iCs/>
        </w:rPr>
        <w:t xml:space="preserve"> </w:t>
      </w:r>
      <w:r w:rsidRPr="00C82C82">
        <w:rPr>
          <w:i/>
          <w:iCs/>
        </w:rPr>
        <w:t>presentia</w:t>
      </w:r>
      <w:r w:rsidRPr="00C82C82">
        <w:t xml:space="preserve"> during the COVID-19 pandemic, the Bureau of the Committee decided – through electronic consultation held from 9 to 12</w:t>
      </w:r>
      <w:r w:rsidR="00477901" w:rsidRPr="00C82C82">
        <w:t> </w:t>
      </w:r>
      <w:r w:rsidRPr="00C82C82">
        <w:t>November 2020 – that the fifteenth session of the Committee take place exceptionally as a fully online meeting from 14 to 19 December 2020 (</w:t>
      </w:r>
      <w:r w:rsidR="00D235E6" w:rsidRPr="00C82C82">
        <w:t xml:space="preserve">Decision </w:t>
      </w:r>
      <w:hyperlink r:id="rId28" w:history="1">
        <w:r w:rsidR="00D235E6" w:rsidRPr="00C82C82">
          <w:rPr>
            <w:rStyle w:val="Hyperlink"/>
          </w:rPr>
          <w:t>15.COM 4.BUR 1</w:t>
        </w:r>
      </w:hyperlink>
      <w:r w:rsidRPr="00C82C82">
        <w:t xml:space="preserve">). </w:t>
      </w:r>
      <w:r w:rsidR="007A7872" w:rsidRPr="00C82C82">
        <w:t>For similar reasons, the 2020 and 2021 Evaluation Body adjusted their working methods, with the 2020</w:t>
      </w:r>
      <w:r w:rsidR="00477901" w:rsidRPr="00C82C82">
        <w:t> </w:t>
      </w:r>
      <w:r w:rsidR="007A7872" w:rsidRPr="00C82C82">
        <w:t xml:space="preserve">Body </w:t>
      </w:r>
      <w:r w:rsidR="00C473EE" w:rsidRPr="00C82C82">
        <w:t>meeting mostly online (with the exception of i</w:t>
      </w:r>
      <w:r w:rsidR="007A7872" w:rsidRPr="00C82C82">
        <w:t>ts first meeting at UNESCO Headquarters</w:t>
      </w:r>
      <w:r w:rsidR="00C473EE" w:rsidRPr="00C82C82">
        <w:t xml:space="preserve"> on</w:t>
      </w:r>
      <w:r w:rsidR="007A7872" w:rsidRPr="00C82C82">
        <w:t xml:space="preserve"> </w:t>
      </w:r>
      <w:r w:rsidR="00C473EE" w:rsidRPr="00C82C82">
        <w:t>2</w:t>
      </w:r>
      <w:r w:rsidR="007A7872" w:rsidRPr="00C82C82">
        <w:t xml:space="preserve">7 </w:t>
      </w:r>
      <w:r w:rsidR="00C473EE" w:rsidRPr="00C82C82">
        <w:t>and</w:t>
      </w:r>
      <w:r w:rsidR="007A7872" w:rsidRPr="00C82C82">
        <w:t xml:space="preserve"> 28 February 2020) while the 2021 Body carried out its work entirely through virtual means</w:t>
      </w:r>
      <w:r w:rsidR="00D5675C" w:rsidRPr="00C82C82">
        <w:t>,</w:t>
      </w:r>
      <w:r w:rsidR="007A7872" w:rsidRPr="00C82C82">
        <w:t xml:space="preserve"> including its three</w:t>
      </w:r>
      <w:r w:rsidR="00D5675C" w:rsidRPr="00C82C82">
        <w:t xml:space="preserve"> online</w:t>
      </w:r>
      <w:r w:rsidR="007A7872" w:rsidRPr="00C82C82">
        <w:t xml:space="preserve"> meetings in 2021.</w:t>
      </w:r>
      <w:r w:rsidR="00C473EE" w:rsidRPr="00C82C82">
        <w:t xml:space="preserve"> </w:t>
      </w:r>
      <w:r w:rsidR="00AC29A6" w:rsidRPr="00C82C82">
        <w:t xml:space="preserve">As budget lines 4, 5 and 6 are </w:t>
      </w:r>
      <w:r w:rsidR="00294BD8" w:rsidRPr="00C82C82">
        <w:t>almost exclusively</w:t>
      </w:r>
      <w:r w:rsidR="00AC29A6" w:rsidRPr="00C82C82">
        <w:t xml:space="preserve"> destined to </w:t>
      </w:r>
      <w:r w:rsidR="00C473EE" w:rsidRPr="00C82C82">
        <w:t>cover the travel costs</w:t>
      </w:r>
      <w:r w:rsidR="00AC29A6" w:rsidRPr="00C82C82">
        <w:t xml:space="preserve"> </w:t>
      </w:r>
      <w:r w:rsidR="00A6174E" w:rsidRPr="00C82C82">
        <w:t xml:space="preserve">of </w:t>
      </w:r>
      <w:r w:rsidR="005D63EA" w:rsidRPr="00C82C82">
        <w:t>experts</w:t>
      </w:r>
      <w:r w:rsidR="00C473EE" w:rsidRPr="00C82C82">
        <w:t xml:space="preserve"> and non-governmental organizations (NGOs) </w:t>
      </w:r>
      <w:r w:rsidR="00477901" w:rsidRPr="00C82C82">
        <w:t>for</w:t>
      </w:r>
      <w:r w:rsidR="00A6174E" w:rsidRPr="00C82C82">
        <w:t xml:space="preserve"> </w:t>
      </w:r>
      <w:r w:rsidR="00A6174E" w:rsidRPr="00C82C82">
        <w:rPr>
          <w:i/>
          <w:iCs/>
        </w:rPr>
        <w:t>in</w:t>
      </w:r>
      <w:r w:rsidR="00070956" w:rsidRPr="00C82C82">
        <w:rPr>
          <w:i/>
          <w:iCs/>
        </w:rPr>
        <w:t xml:space="preserve"> </w:t>
      </w:r>
      <w:r w:rsidR="00A6174E" w:rsidRPr="00C82C82">
        <w:rPr>
          <w:i/>
          <w:iCs/>
        </w:rPr>
        <w:t>presentia</w:t>
      </w:r>
      <w:r w:rsidR="00A6174E" w:rsidRPr="00C82C82">
        <w:t xml:space="preserve"> Committee sessions</w:t>
      </w:r>
      <w:r w:rsidR="005D63EA" w:rsidRPr="00C82C82">
        <w:t xml:space="preserve"> and Evaluation Body meetings</w:t>
      </w:r>
      <w:r w:rsidR="00A6174E" w:rsidRPr="00C82C82">
        <w:t xml:space="preserve">, the organization of the fifteenth session </w:t>
      </w:r>
      <w:r w:rsidR="00DA2E76" w:rsidRPr="00C82C82">
        <w:t xml:space="preserve">and of Evaluation Body meetings </w:t>
      </w:r>
      <w:r w:rsidR="00A6174E" w:rsidRPr="00C82C82">
        <w:t>as online meeting</w:t>
      </w:r>
      <w:r w:rsidR="00DA2E76" w:rsidRPr="00C82C82">
        <w:t>s</w:t>
      </w:r>
      <w:r w:rsidR="00A6174E" w:rsidRPr="00C82C82">
        <w:t xml:space="preserve"> impacted the expenditure rate of all three budget lines</w:t>
      </w:r>
      <w:r w:rsidR="004E6DA9" w:rsidRPr="00C82C82">
        <w:t xml:space="preserve"> and explains the exceptionally low implementation rate</w:t>
      </w:r>
      <w:r w:rsidR="00F5193C" w:rsidRPr="00C82C82">
        <w:t xml:space="preserve"> of these lines</w:t>
      </w:r>
      <w:r w:rsidR="00A6174E" w:rsidRPr="00C82C82">
        <w:t>.</w:t>
      </w:r>
    </w:p>
    <w:p w14:paraId="0E691A25" w14:textId="5A2184FC" w:rsidR="003F682C" w:rsidRPr="00C82C82" w:rsidRDefault="003F682C" w:rsidP="003F682C">
      <w:pPr>
        <w:pStyle w:val="COMPara"/>
        <w:numPr>
          <w:ilvl w:val="0"/>
          <w:numId w:val="10"/>
        </w:numPr>
        <w:tabs>
          <w:tab w:val="left" w:pos="567"/>
        </w:tabs>
        <w:ind w:left="567" w:hanging="567"/>
        <w:jc w:val="both"/>
      </w:pPr>
      <w:r w:rsidRPr="00C82C82">
        <w:rPr>
          <w:b/>
        </w:rPr>
        <w:t>Budget line 4</w:t>
      </w:r>
      <w:r w:rsidR="00412F26" w:rsidRPr="00C82C82">
        <w:rPr>
          <w:b/>
        </w:rPr>
        <w:t xml:space="preserve"> </w:t>
      </w:r>
      <w:r w:rsidR="00412F26" w:rsidRPr="00C82C82">
        <w:rPr>
          <w:bCs/>
        </w:rPr>
        <w:t>(2.63%)</w:t>
      </w:r>
      <w:r w:rsidRPr="00C82C82">
        <w:rPr>
          <w:bCs/>
        </w:rPr>
        <w:t xml:space="preserve">, </w:t>
      </w:r>
      <w:r w:rsidRPr="00C82C82">
        <w:t xml:space="preserve">which is used to finance the participation of experts representing developing States Members of the Committee, its Bureau and subsidiary bodies in its sessions, </w:t>
      </w:r>
      <w:r w:rsidR="00412F26" w:rsidRPr="00C82C82">
        <w:t>remained untouched, as the fifteenth session of the Committee took place online in December 2020</w:t>
      </w:r>
      <w:r w:rsidRPr="00C82C82">
        <w:t>.</w:t>
      </w:r>
    </w:p>
    <w:p w14:paraId="711CB110" w14:textId="68C628DA" w:rsidR="003F682C" w:rsidRPr="00C82C82" w:rsidRDefault="003F682C" w:rsidP="007A7872">
      <w:pPr>
        <w:pStyle w:val="COMPara"/>
        <w:numPr>
          <w:ilvl w:val="0"/>
          <w:numId w:val="10"/>
        </w:numPr>
        <w:tabs>
          <w:tab w:val="left" w:pos="567"/>
        </w:tabs>
        <w:ind w:left="567" w:hanging="567"/>
        <w:jc w:val="both"/>
      </w:pPr>
      <w:r w:rsidRPr="00C82C82">
        <w:t xml:space="preserve">The expenditure rate of </w:t>
      </w:r>
      <w:r w:rsidRPr="00C82C82">
        <w:rPr>
          <w:b/>
        </w:rPr>
        <w:t>budget line 5</w:t>
      </w:r>
      <w:r w:rsidRPr="00C82C82">
        <w:t xml:space="preserve"> </w:t>
      </w:r>
      <w:r w:rsidR="00B573E1" w:rsidRPr="00C82C82">
        <w:t>(3.31%)</w:t>
      </w:r>
      <w:r w:rsidR="005D63EA" w:rsidRPr="00C82C82">
        <w:t xml:space="preserve">, dedicated to facilitating the participation of experts from developing States Parties non-members of the Committee in Committee sessions </w:t>
      </w:r>
      <w:r w:rsidR="005D63EA" w:rsidRPr="00C82C82">
        <w:lastRenderedPageBreak/>
        <w:t xml:space="preserve">and those serving in the Evaluation Body to meetings of the Body, </w:t>
      </w:r>
      <w:r w:rsidRPr="00C82C82">
        <w:t xml:space="preserve">reached </w:t>
      </w:r>
      <w:r w:rsidR="00B573E1" w:rsidRPr="00C82C82">
        <w:t>2</w:t>
      </w:r>
      <w:r w:rsidRPr="00C82C82">
        <w:t>%. Disbursements</w:t>
      </w:r>
      <w:r w:rsidR="005D63EA" w:rsidRPr="00C82C82">
        <w:t xml:space="preserve"> </w:t>
      </w:r>
      <w:r w:rsidR="00520BCD" w:rsidRPr="00C82C82">
        <w:t xml:space="preserve">covered the participation costs of one expert in meetings of the 2020 Evaluation Body. They also include the </w:t>
      </w:r>
      <w:r w:rsidR="004D1933" w:rsidRPr="00C82C82">
        <w:t xml:space="preserve">funds committed for the </w:t>
      </w:r>
      <w:r w:rsidR="00520BCD" w:rsidRPr="00C82C82">
        <w:t xml:space="preserve">planned </w:t>
      </w:r>
      <w:r w:rsidR="005D63EA" w:rsidRPr="00C82C82">
        <w:t xml:space="preserve">participation costs of </w:t>
      </w:r>
      <w:r w:rsidR="00520BCD" w:rsidRPr="00C82C82">
        <w:t>one</w:t>
      </w:r>
      <w:r w:rsidR="005D63EA" w:rsidRPr="00C82C82">
        <w:t xml:space="preserve"> expert in meeting</w:t>
      </w:r>
      <w:r w:rsidR="00520BCD" w:rsidRPr="00C82C82">
        <w:t>s</w:t>
      </w:r>
      <w:r w:rsidR="005D63EA" w:rsidRPr="00C82C82">
        <w:t xml:space="preserve"> of the </w:t>
      </w:r>
      <w:r w:rsidR="00520BCD" w:rsidRPr="00C82C82">
        <w:t>2021</w:t>
      </w:r>
      <w:r w:rsidR="005D63EA" w:rsidRPr="00C82C82">
        <w:t xml:space="preserve"> Evaluation Body. </w:t>
      </w:r>
    </w:p>
    <w:p w14:paraId="74C1B8C8" w14:textId="4EF24CB2" w:rsidR="003F682C" w:rsidRPr="00C82C82" w:rsidRDefault="003F682C" w:rsidP="003F682C">
      <w:pPr>
        <w:pStyle w:val="COMPara"/>
        <w:numPr>
          <w:ilvl w:val="0"/>
          <w:numId w:val="10"/>
        </w:numPr>
        <w:tabs>
          <w:tab w:val="left" w:pos="567"/>
        </w:tabs>
        <w:ind w:left="567" w:hanging="567"/>
        <w:jc w:val="both"/>
      </w:pPr>
      <w:r w:rsidRPr="00C82C82">
        <w:rPr>
          <w:b/>
        </w:rPr>
        <w:t xml:space="preserve">Budget Line 6 </w:t>
      </w:r>
      <w:r w:rsidR="00B573E1" w:rsidRPr="00C82C82">
        <w:t xml:space="preserve">(3.31%) </w:t>
      </w:r>
      <w:r w:rsidR="007A7872" w:rsidRPr="00C82C82">
        <w:t xml:space="preserve">aims to facilitate the participation of </w:t>
      </w:r>
      <w:r w:rsidR="00477901" w:rsidRPr="00C82C82">
        <w:t>NGOs</w:t>
      </w:r>
      <w:r w:rsidR="007A7872" w:rsidRPr="00C82C82">
        <w:t xml:space="preserve"> in Committee sessions and in meetings of the Evaluation Body. The </w:t>
      </w:r>
      <w:r w:rsidRPr="00C82C82">
        <w:t xml:space="preserve">expenditure rate of </w:t>
      </w:r>
      <w:r w:rsidR="00B573E1" w:rsidRPr="00C82C82">
        <w:t>11</w:t>
      </w:r>
      <w:r w:rsidRPr="00C82C82">
        <w:t>% reflects the participation costs of the six accredited NGOs serving on the Evaluation Body in 20</w:t>
      </w:r>
      <w:r w:rsidR="00B573E1" w:rsidRPr="00C82C82">
        <w:t>20</w:t>
      </w:r>
      <w:r w:rsidRPr="00C82C82">
        <w:t xml:space="preserve"> and 20</w:t>
      </w:r>
      <w:r w:rsidR="00B573E1" w:rsidRPr="00C82C82">
        <w:t>21</w:t>
      </w:r>
      <w:r w:rsidRPr="00C82C82">
        <w:t>.</w:t>
      </w:r>
    </w:p>
    <w:p w14:paraId="46DAC82B" w14:textId="45821041" w:rsidR="003F682C" w:rsidRPr="00C82C82" w:rsidRDefault="003F682C" w:rsidP="003F682C">
      <w:pPr>
        <w:pStyle w:val="COMPara"/>
        <w:numPr>
          <w:ilvl w:val="0"/>
          <w:numId w:val="10"/>
        </w:numPr>
        <w:tabs>
          <w:tab w:val="left" w:pos="567"/>
        </w:tabs>
        <w:ind w:left="567" w:hanging="567"/>
        <w:jc w:val="both"/>
      </w:pPr>
      <w:r w:rsidRPr="00C82C82">
        <w:rPr>
          <w:b/>
        </w:rPr>
        <w:t>Budget line 7</w:t>
      </w:r>
      <w:r w:rsidRPr="00C82C82">
        <w:t xml:space="preserve"> </w:t>
      </w:r>
      <w:r w:rsidR="00B573E1" w:rsidRPr="00C82C82">
        <w:t xml:space="preserve">(6%) </w:t>
      </w:r>
      <w:r w:rsidRPr="00C82C82">
        <w:t>shows an expenditure rate of 4</w:t>
      </w:r>
      <w:r w:rsidR="00B573E1" w:rsidRPr="00C82C82">
        <w:t>2</w:t>
      </w:r>
      <w:r w:rsidRPr="00C82C82">
        <w:t>%, corresponding to the fees of the eligible members of the Evaluation Body (nine in 20</w:t>
      </w:r>
      <w:r w:rsidR="00F45FC2" w:rsidRPr="00C82C82">
        <w:t>20</w:t>
      </w:r>
      <w:r w:rsidRPr="00C82C82">
        <w:t xml:space="preserve"> and eight in 20</w:t>
      </w:r>
      <w:r w:rsidR="00F45FC2" w:rsidRPr="00C82C82">
        <w:t>21</w:t>
      </w:r>
      <w:r w:rsidRPr="00C82C82">
        <w:t>) and the fees paid to the Chairperson and the Rapporteur of the Body for the additional tasks they perform</w:t>
      </w:r>
      <w:r w:rsidR="00D5675C" w:rsidRPr="00C82C82">
        <w:t>ed</w:t>
      </w:r>
      <w:r w:rsidRPr="00C82C82">
        <w:t xml:space="preserve">. This rate remains relatively low </w:t>
      </w:r>
      <w:r w:rsidR="00B573E1" w:rsidRPr="00C82C82">
        <w:t xml:space="preserve">– in line with previous biennia – </w:t>
      </w:r>
      <w:r w:rsidRPr="00C82C82">
        <w:t>due</w:t>
      </w:r>
      <w:r w:rsidR="00B573E1" w:rsidRPr="00C82C82">
        <w:t xml:space="preserve"> </w:t>
      </w:r>
      <w:r w:rsidRPr="00C82C82">
        <w:t>to the need to establish the contract of the members of the Evaluation Body at the beginning of the evaluation cycle, when only one</w:t>
      </w:r>
      <w:r w:rsidR="00BE3D49" w:rsidRPr="00C82C82">
        <w:t>-</w:t>
      </w:r>
      <w:r w:rsidRPr="00C82C82">
        <w:t>fourth of the total budget is available.</w:t>
      </w:r>
    </w:p>
    <w:p w14:paraId="2C13DA2A" w14:textId="77777777" w:rsidR="003F682C" w:rsidRPr="00C82C82" w:rsidRDefault="003F682C" w:rsidP="003F682C">
      <w:pPr>
        <w:pStyle w:val="Default"/>
        <w:keepNext/>
        <w:numPr>
          <w:ilvl w:val="0"/>
          <w:numId w:val="11"/>
        </w:numPr>
        <w:spacing w:before="240" w:after="120"/>
        <w:ind w:left="567" w:hanging="567"/>
        <w:jc w:val="both"/>
        <w:rPr>
          <w:b/>
          <w:bCs/>
          <w:sz w:val="22"/>
          <w:szCs w:val="22"/>
          <w:lang w:val="en-GB"/>
        </w:rPr>
      </w:pPr>
      <w:r w:rsidRPr="00C82C82">
        <w:rPr>
          <w:b/>
          <w:bCs/>
          <w:sz w:val="22"/>
          <w:szCs w:val="22"/>
          <w:lang w:val="en-GB"/>
        </w:rPr>
        <w:t>Additional reports</w:t>
      </w:r>
    </w:p>
    <w:p w14:paraId="013CB4FA" w14:textId="24E2F0E1" w:rsidR="002F53FD" w:rsidRPr="00C82C82" w:rsidRDefault="003F682C" w:rsidP="003F682C">
      <w:pPr>
        <w:pStyle w:val="COMPara"/>
        <w:numPr>
          <w:ilvl w:val="0"/>
          <w:numId w:val="10"/>
        </w:numPr>
        <w:tabs>
          <w:tab w:val="left" w:pos="567"/>
        </w:tabs>
        <w:ind w:left="567" w:hanging="567"/>
        <w:jc w:val="both"/>
      </w:pPr>
      <w:r w:rsidRPr="00C82C82">
        <w:t>Annex II of the present document contains the list of voluntary supplementary contributions paid between January 20</w:t>
      </w:r>
      <w:r w:rsidR="007B7CB2" w:rsidRPr="00C82C82">
        <w:t>20</w:t>
      </w:r>
      <w:r w:rsidRPr="00C82C82">
        <w:t xml:space="preserve"> and June 20</w:t>
      </w:r>
      <w:r w:rsidR="007B7CB2" w:rsidRPr="00C82C82">
        <w:t>21</w:t>
      </w:r>
      <w:r w:rsidRPr="00C82C82">
        <w:t xml:space="preserve"> for specific purposes, as stipulated in Article 25.5 of the Convention, following a decision of the Committee. </w:t>
      </w:r>
      <w:r w:rsidR="007B7CB2" w:rsidRPr="00C82C82">
        <w:t>D</w:t>
      </w:r>
      <w:r w:rsidRPr="00C82C82">
        <w:t xml:space="preserve">ocument </w:t>
      </w:r>
      <w:hyperlink r:id="rId29" w:history="1">
        <w:r w:rsidRPr="00C82C82">
          <w:rPr>
            <w:rStyle w:val="Hyperlink"/>
          </w:rPr>
          <w:t>LHE/</w:t>
        </w:r>
        <w:r w:rsidR="007B7CB2" w:rsidRPr="00C82C82">
          <w:rPr>
            <w:rStyle w:val="Hyperlink"/>
          </w:rPr>
          <w:t>21/16.COM</w:t>
        </w:r>
        <w:r w:rsidRPr="00C82C82">
          <w:rPr>
            <w:rStyle w:val="Hyperlink"/>
          </w:rPr>
          <w:t>/</w:t>
        </w:r>
        <w:r w:rsidR="004D6642" w:rsidRPr="00C82C82">
          <w:rPr>
            <w:rStyle w:val="Hyperlink"/>
          </w:rPr>
          <w:t>1</w:t>
        </w:r>
        <w:r w:rsidR="00F130AF" w:rsidRPr="00C82C82">
          <w:rPr>
            <w:rStyle w:val="Hyperlink"/>
          </w:rPr>
          <w:t>2</w:t>
        </w:r>
      </w:hyperlink>
      <w:r w:rsidR="004D6642" w:rsidRPr="00C82C82">
        <w:t xml:space="preserve"> </w:t>
      </w:r>
      <w:r w:rsidRPr="00C82C82">
        <w:t>pr</w:t>
      </w:r>
      <w:r w:rsidR="007B7CB2" w:rsidRPr="00C82C82">
        <w:t xml:space="preserve">ovides further information on the implementation of ongoing projects supported by </w:t>
      </w:r>
      <w:r w:rsidRPr="00C82C82">
        <w:t xml:space="preserve">voluntary contributions received in support of the 2003 Convention. In addition, in conformity with paragraph 77 of the Operational Directives, </w:t>
      </w:r>
      <w:hyperlink r:id="rId30" w:history="1">
        <w:r w:rsidRPr="00C82C82">
          <w:rPr>
            <w:rStyle w:val="Hyperlink"/>
            <w:color w:val="auto"/>
            <w:u w:val="none"/>
          </w:rPr>
          <w:t>an</w:t>
        </w:r>
        <w:r w:rsidRPr="00C82C82">
          <w:t> </w:t>
        </w:r>
        <w:r w:rsidRPr="00C82C82">
          <w:rPr>
            <w:rStyle w:val="Hyperlink"/>
            <w:color w:val="auto"/>
            <w:u w:val="none"/>
          </w:rPr>
          <w:t xml:space="preserve">updated </w:t>
        </w:r>
        <w:r w:rsidRPr="00C82C82">
          <w:rPr>
            <w:rStyle w:val="Hyperlink"/>
          </w:rPr>
          <w:t>list of donors</w:t>
        </w:r>
      </w:hyperlink>
      <w:r w:rsidRPr="00C82C82">
        <w:t xml:space="preserve"> can be found on the website of the Convention. </w:t>
      </w:r>
    </w:p>
    <w:p w14:paraId="10A54245" w14:textId="17CC996C" w:rsidR="003F682C" w:rsidRPr="00C82C82" w:rsidRDefault="003F682C" w:rsidP="003F682C">
      <w:pPr>
        <w:pStyle w:val="COMPara"/>
        <w:numPr>
          <w:ilvl w:val="0"/>
          <w:numId w:val="10"/>
        </w:numPr>
        <w:tabs>
          <w:tab w:val="left" w:pos="567"/>
        </w:tabs>
        <w:ind w:left="567" w:hanging="567"/>
        <w:jc w:val="both"/>
      </w:pPr>
      <w:r w:rsidRPr="00C82C82">
        <w:t xml:space="preserve">Annex III shows the total expenditure incurred </w:t>
      </w:r>
      <w:r w:rsidR="002F53FD" w:rsidRPr="00C82C82">
        <w:t xml:space="preserve">for each specific activity/project approved by the Committee, from its beginning until </w:t>
      </w:r>
      <w:r w:rsidRPr="00C82C82">
        <w:t>30 June </w:t>
      </w:r>
      <w:r w:rsidR="007B7CB2" w:rsidRPr="00C82C82">
        <w:t>2021</w:t>
      </w:r>
      <w:r w:rsidRPr="00C82C82">
        <w:t>.</w:t>
      </w:r>
    </w:p>
    <w:p w14:paraId="312366E6" w14:textId="65654DF3" w:rsidR="006445EE" w:rsidRPr="00C82C82" w:rsidRDefault="003F682C" w:rsidP="00194F9E">
      <w:pPr>
        <w:pStyle w:val="COMPara"/>
        <w:numPr>
          <w:ilvl w:val="0"/>
          <w:numId w:val="10"/>
        </w:numPr>
        <w:tabs>
          <w:tab w:val="left" w:pos="567"/>
        </w:tabs>
        <w:ind w:left="567" w:hanging="567"/>
        <w:jc w:val="both"/>
      </w:pPr>
      <w:r w:rsidRPr="00C82C82">
        <w:t>Annex </w:t>
      </w:r>
      <w:r w:rsidRPr="00C82C82">
        <w:rPr>
          <w:rFonts w:eastAsia="Malgun Gothic"/>
          <w:lang w:eastAsia="ko-KR"/>
        </w:rPr>
        <w:t>IV</w:t>
      </w:r>
      <w:r w:rsidRPr="00C82C82">
        <w:t xml:space="preserve"> shows the forecasts as of 30 June 20</w:t>
      </w:r>
      <w:r w:rsidR="007B7CB2" w:rsidRPr="00C82C82">
        <w:t>21</w:t>
      </w:r>
      <w:r w:rsidRPr="00C82C82">
        <w:t xml:space="preserve">, based on the Secretariat’s estimation, for the future use of the funds allocated to ongoing </w:t>
      </w:r>
      <w:r w:rsidR="002F53FD" w:rsidRPr="00C82C82">
        <w:t>specific activities/projects approved by the Committee</w:t>
      </w:r>
      <w:r w:rsidRPr="00C82C82">
        <w:t>.</w:t>
      </w:r>
    </w:p>
    <w:p w14:paraId="7A6C413C" w14:textId="77777777" w:rsidR="006445EE" w:rsidRPr="00080D6A" w:rsidRDefault="006445EE">
      <w:pPr>
        <w:spacing w:after="0"/>
        <w:rPr>
          <w:rFonts w:ascii="Arial" w:hAnsi="Arial" w:cs="Arial"/>
          <w:snapToGrid w:val="0"/>
          <w:szCs w:val="22"/>
          <w:lang w:eastAsia="en-US"/>
        </w:rPr>
      </w:pPr>
      <w:r w:rsidRPr="00080D6A">
        <w:br w:type="page"/>
      </w:r>
    </w:p>
    <w:p w14:paraId="7215908C" w14:textId="77777777" w:rsidR="006445EE" w:rsidRPr="00080D6A" w:rsidRDefault="006445EE" w:rsidP="006445EE">
      <w:pPr>
        <w:pStyle w:val="ListParagraph"/>
        <w:numPr>
          <w:ilvl w:val="0"/>
          <w:numId w:val="0"/>
        </w:numPr>
        <w:jc w:val="center"/>
        <w:rPr>
          <w:b/>
        </w:rPr>
      </w:pPr>
      <w:r w:rsidRPr="00080D6A">
        <w:rPr>
          <w:b/>
        </w:rPr>
        <w:lastRenderedPageBreak/>
        <w:t>ANNEX I</w:t>
      </w:r>
    </w:p>
    <w:p w14:paraId="40574465" w14:textId="77777777" w:rsidR="006445EE" w:rsidRPr="00080D6A" w:rsidRDefault="006445EE" w:rsidP="006445EE">
      <w:pPr>
        <w:pStyle w:val="ListParagraph"/>
        <w:numPr>
          <w:ilvl w:val="0"/>
          <w:numId w:val="0"/>
        </w:numPr>
        <w:jc w:val="right"/>
        <w:rPr>
          <w:bCs/>
        </w:rPr>
      </w:pPr>
      <w:r w:rsidRPr="00080D6A">
        <w:rPr>
          <w:bCs/>
        </w:rPr>
        <w:t>Statement I</w:t>
      </w:r>
    </w:p>
    <w:p w14:paraId="2A5DA3E5" w14:textId="327B90F4" w:rsidR="003F682C" w:rsidRPr="00080D6A" w:rsidRDefault="006445EE" w:rsidP="006445EE">
      <w:pPr>
        <w:pStyle w:val="COMPara"/>
        <w:tabs>
          <w:tab w:val="left" w:pos="567"/>
        </w:tabs>
        <w:ind w:left="0" w:firstLine="0"/>
        <w:jc w:val="both"/>
      </w:pPr>
      <w:r w:rsidRPr="00C82C82">
        <w:rPr>
          <w:noProof/>
        </w:rPr>
        <w:drawing>
          <wp:inline distT="0" distB="0" distL="0" distR="0" wp14:anchorId="4974AF8A" wp14:editId="63CE97B4">
            <wp:extent cx="6120130" cy="5163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5163820"/>
                    </a:xfrm>
                    <a:prstGeom prst="rect">
                      <a:avLst/>
                    </a:prstGeom>
                  </pic:spPr>
                </pic:pic>
              </a:graphicData>
            </a:graphic>
          </wp:inline>
        </w:drawing>
      </w:r>
    </w:p>
    <w:p w14:paraId="1830845F" w14:textId="079ECFBA" w:rsidR="006445EE" w:rsidRPr="00080D6A" w:rsidRDefault="006445EE">
      <w:pPr>
        <w:spacing w:after="0"/>
        <w:rPr>
          <w:rFonts w:ascii="Arial" w:hAnsi="Arial" w:cs="Arial"/>
          <w:snapToGrid w:val="0"/>
          <w:szCs w:val="22"/>
          <w:lang w:eastAsia="en-US"/>
        </w:rPr>
      </w:pPr>
      <w:r w:rsidRPr="00080D6A">
        <w:br w:type="page"/>
      </w:r>
    </w:p>
    <w:p w14:paraId="30B257CF" w14:textId="6B6D21B6" w:rsidR="006445EE" w:rsidRPr="00080D6A" w:rsidRDefault="006445EE" w:rsidP="006445EE">
      <w:pPr>
        <w:pStyle w:val="ListParagraph"/>
        <w:numPr>
          <w:ilvl w:val="0"/>
          <w:numId w:val="0"/>
        </w:numPr>
        <w:tabs>
          <w:tab w:val="left" w:pos="6237"/>
        </w:tabs>
        <w:jc w:val="right"/>
      </w:pPr>
      <w:r w:rsidRPr="00080D6A">
        <w:lastRenderedPageBreak/>
        <w:t>Schedule 1.1</w:t>
      </w:r>
    </w:p>
    <w:p w14:paraId="54B336BB" w14:textId="77777777" w:rsidR="00257926" w:rsidRPr="00080D6A" w:rsidRDefault="00257926" w:rsidP="006445EE">
      <w:pPr>
        <w:pStyle w:val="ListParagraph"/>
        <w:numPr>
          <w:ilvl w:val="0"/>
          <w:numId w:val="0"/>
        </w:numPr>
        <w:tabs>
          <w:tab w:val="left" w:pos="6237"/>
        </w:tabs>
        <w:jc w:val="right"/>
      </w:pPr>
    </w:p>
    <w:p w14:paraId="7293C54B" w14:textId="5DD0EEF4" w:rsidR="006445EE" w:rsidRPr="00080D6A" w:rsidRDefault="00257926" w:rsidP="006445EE">
      <w:pPr>
        <w:pStyle w:val="1GAPara"/>
        <w:numPr>
          <w:ilvl w:val="0"/>
          <w:numId w:val="0"/>
        </w:numPr>
        <w:jc w:val="center"/>
      </w:pPr>
      <w:r w:rsidRPr="00C82C82">
        <w:rPr>
          <w:noProof/>
        </w:rPr>
        <w:drawing>
          <wp:inline distT="0" distB="0" distL="0" distR="0" wp14:anchorId="4E5F71A7" wp14:editId="3B66A24C">
            <wp:extent cx="6413983" cy="791570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a:extLst>
                        <a:ext uri="{28A0092B-C50C-407E-A947-70E740481C1C}">
                          <a14:useLocalDpi xmlns:a14="http://schemas.microsoft.com/office/drawing/2010/main" val="0"/>
                        </a:ext>
                      </a:extLst>
                    </a:blip>
                    <a:srcRect l="23283" t="2981" r="23828" b="4735"/>
                    <a:stretch/>
                  </pic:blipFill>
                  <pic:spPr bwMode="auto">
                    <a:xfrm>
                      <a:off x="0" y="0"/>
                      <a:ext cx="6421060" cy="7924435"/>
                    </a:xfrm>
                    <a:prstGeom prst="rect">
                      <a:avLst/>
                    </a:prstGeom>
                    <a:noFill/>
                    <a:ln>
                      <a:noFill/>
                    </a:ln>
                    <a:extLst>
                      <a:ext uri="{53640926-AAD7-44D8-BBD7-CCE9431645EC}">
                        <a14:shadowObscured xmlns:a14="http://schemas.microsoft.com/office/drawing/2010/main"/>
                      </a:ext>
                    </a:extLst>
                  </pic:spPr>
                </pic:pic>
              </a:graphicData>
            </a:graphic>
          </wp:inline>
        </w:drawing>
      </w:r>
    </w:p>
    <w:p w14:paraId="16EB174B" w14:textId="097B99A8" w:rsidR="002A00DE" w:rsidRPr="00080D6A" w:rsidRDefault="006445EE" w:rsidP="00257926">
      <w:pPr>
        <w:pStyle w:val="ListParagraph"/>
        <w:numPr>
          <w:ilvl w:val="0"/>
          <w:numId w:val="0"/>
        </w:numPr>
        <w:jc w:val="center"/>
        <w:rPr>
          <w:b/>
        </w:rPr>
      </w:pPr>
      <w:r w:rsidRPr="00080D6A">
        <w:br w:type="page"/>
      </w:r>
      <w:r w:rsidR="002A00DE" w:rsidRPr="00080D6A">
        <w:rPr>
          <w:b/>
        </w:rPr>
        <w:lastRenderedPageBreak/>
        <w:t>ANNEX II</w:t>
      </w:r>
    </w:p>
    <w:p w14:paraId="27DC08BA" w14:textId="6783025A" w:rsidR="002A00DE" w:rsidRPr="00080D6A" w:rsidRDefault="006445EE" w:rsidP="006445EE">
      <w:pPr>
        <w:pStyle w:val="1GAPara"/>
        <w:numPr>
          <w:ilvl w:val="0"/>
          <w:numId w:val="0"/>
        </w:numPr>
        <w:jc w:val="center"/>
      </w:pPr>
      <w:r w:rsidRPr="00C82C82">
        <w:rPr>
          <w:noProof/>
        </w:rPr>
        <w:drawing>
          <wp:inline distT="0" distB="0" distL="0" distR="0" wp14:anchorId="66CD1FE8" wp14:editId="45EC8A70">
            <wp:extent cx="6120130" cy="569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130" cy="5697220"/>
                    </a:xfrm>
                    <a:prstGeom prst="rect">
                      <a:avLst/>
                    </a:prstGeom>
                  </pic:spPr>
                </pic:pic>
              </a:graphicData>
            </a:graphic>
          </wp:inline>
        </w:drawing>
      </w:r>
    </w:p>
    <w:p w14:paraId="46833E76" w14:textId="77777777" w:rsidR="002A00DE" w:rsidRPr="00080D6A" w:rsidRDefault="002A00DE">
      <w:pPr>
        <w:spacing w:after="0"/>
        <w:sectPr w:rsidR="002A00DE" w:rsidRPr="00080D6A" w:rsidSect="002938F2">
          <w:headerReference w:type="even" r:id="rId34"/>
          <w:headerReference w:type="default" r:id="rId35"/>
          <w:headerReference w:type="first" r:id="rId36"/>
          <w:pgSz w:w="11906" w:h="16838" w:code="9"/>
          <w:pgMar w:top="1418" w:right="1134" w:bottom="1134" w:left="1134" w:header="397" w:footer="284" w:gutter="0"/>
          <w:cols w:space="708"/>
          <w:titlePg/>
          <w:docGrid w:linePitch="360"/>
        </w:sectPr>
      </w:pPr>
    </w:p>
    <w:p w14:paraId="034FD948" w14:textId="77777777" w:rsidR="002A00DE" w:rsidRPr="00080D6A" w:rsidRDefault="002A00DE" w:rsidP="002A00DE">
      <w:pPr>
        <w:pStyle w:val="ListParagraph"/>
        <w:numPr>
          <w:ilvl w:val="0"/>
          <w:numId w:val="0"/>
        </w:numPr>
        <w:jc w:val="center"/>
        <w:rPr>
          <w:b/>
        </w:rPr>
      </w:pPr>
      <w:r w:rsidRPr="00080D6A">
        <w:rPr>
          <w:b/>
        </w:rPr>
        <w:lastRenderedPageBreak/>
        <w:t>ANNEX III</w:t>
      </w:r>
    </w:p>
    <w:p w14:paraId="10400BBE" w14:textId="69111A9F" w:rsidR="002A00DE" w:rsidRPr="00080D6A" w:rsidRDefault="002A00DE" w:rsidP="002A00DE">
      <w:pPr>
        <w:pStyle w:val="1GAPara"/>
        <w:numPr>
          <w:ilvl w:val="0"/>
          <w:numId w:val="0"/>
        </w:numPr>
        <w:jc w:val="center"/>
      </w:pPr>
      <w:r w:rsidRPr="00C82C82">
        <w:rPr>
          <w:noProof/>
        </w:rPr>
        <w:drawing>
          <wp:inline distT="0" distB="0" distL="0" distR="0" wp14:anchorId="2DA7E97B" wp14:editId="20C8EA9E">
            <wp:extent cx="8089269" cy="5848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089269" cy="5848350"/>
                    </a:xfrm>
                    <a:prstGeom prst="rect">
                      <a:avLst/>
                    </a:prstGeom>
                  </pic:spPr>
                </pic:pic>
              </a:graphicData>
            </a:graphic>
          </wp:inline>
        </w:drawing>
      </w:r>
      <w:r w:rsidRPr="00080D6A">
        <w:br w:type="page"/>
      </w:r>
    </w:p>
    <w:p w14:paraId="231E116A" w14:textId="77777777" w:rsidR="002A00DE" w:rsidRPr="00080D6A" w:rsidRDefault="002A00DE" w:rsidP="00257926">
      <w:pPr>
        <w:pStyle w:val="ListParagraph"/>
        <w:numPr>
          <w:ilvl w:val="0"/>
          <w:numId w:val="0"/>
        </w:numPr>
        <w:jc w:val="center"/>
        <w:rPr>
          <w:b/>
        </w:rPr>
      </w:pPr>
      <w:r w:rsidRPr="00080D6A">
        <w:rPr>
          <w:b/>
        </w:rPr>
        <w:lastRenderedPageBreak/>
        <w:t>ANNEX IV</w:t>
      </w:r>
    </w:p>
    <w:p w14:paraId="57604403" w14:textId="04339A91" w:rsidR="002A00DE" w:rsidRPr="00080D6A" w:rsidRDefault="002A00DE" w:rsidP="006445EE">
      <w:pPr>
        <w:pStyle w:val="1GAPara"/>
        <w:numPr>
          <w:ilvl w:val="0"/>
          <w:numId w:val="0"/>
        </w:numPr>
        <w:jc w:val="center"/>
      </w:pPr>
      <w:r w:rsidRPr="00C82C82">
        <w:rPr>
          <w:noProof/>
        </w:rPr>
        <w:drawing>
          <wp:inline distT="0" distB="0" distL="0" distR="0" wp14:anchorId="4ABD5330" wp14:editId="5FE5CE40">
            <wp:extent cx="9071610" cy="570733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074365" cy="5709068"/>
                    </a:xfrm>
                    <a:prstGeom prst="rect">
                      <a:avLst/>
                    </a:prstGeom>
                  </pic:spPr>
                </pic:pic>
              </a:graphicData>
            </a:graphic>
          </wp:inline>
        </w:drawing>
      </w:r>
    </w:p>
    <w:sectPr w:rsidR="002A00DE" w:rsidRPr="00080D6A" w:rsidSect="002A00DE">
      <w:headerReference w:type="first" r:id="rId39"/>
      <w:pgSz w:w="16838" w:h="11906" w:orient="landscape" w:code="9"/>
      <w:pgMar w:top="1134" w:right="1418"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A12C0" w14:textId="77777777" w:rsidR="00F97863" w:rsidRDefault="00F97863" w:rsidP="002938F2">
      <w:r>
        <w:separator/>
      </w:r>
    </w:p>
    <w:p w14:paraId="258E11B0" w14:textId="77777777" w:rsidR="00F97863" w:rsidRDefault="00F97863"/>
  </w:endnote>
  <w:endnote w:type="continuationSeparator" w:id="0">
    <w:p w14:paraId="5812BC4F" w14:textId="77777777" w:rsidR="00F97863" w:rsidRDefault="00F97863" w:rsidP="002938F2">
      <w:r>
        <w:continuationSeparator/>
      </w:r>
    </w:p>
    <w:p w14:paraId="61CF12DD" w14:textId="77777777" w:rsidR="00F97863" w:rsidRDefault="00F9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50AA2" w14:textId="77777777" w:rsidR="00F97863" w:rsidRDefault="00F97863" w:rsidP="002938F2">
      <w:r>
        <w:separator/>
      </w:r>
    </w:p>
  </w:footnote>
  <w:footnote w:type="continuationSeparator" w:id="0">
    <w:p w14:paraId="0D6C8D94" w14:textId="77777777" w:rsidR="00F97863" w:rsidRDefault="00F97863" w:rsidP="002938F2">
      <w:r>
        <w:continuationSeparator/>
      </w:r>
    </w:p>
    <w:p w14:paraId="18802722" w14:textId="77777777" w:rsidR="00F97863" w:rsidRDefault="00F97863"/>
  </w:footnote>
  <w:footnote w:id="1">
    <w:p w14:paraId="52519887" w14:textId="7B727D5F" w:rsidR="003F682C" w:rsidRPr="000D650F" w:rsidRDefault="003F682C" w:rsidP="003F682C">
      <w:pPr>
        <w:pStyle w:val="FootnoteText"/>
        <w:spacing w:before="60" w:after="60"/>
        <w:ind w:left="567" w:hanging="567"/>
        <w:jc w:val="both"/>
        <w:rPr>
          <w:rFonts w:ascii="Arial" w:hAnsi="Arial" w:cs="Arial"/>
          <w:sz w:val="18"/>
          <w:lang w:val="en-GB"/>
        </w:rPr>
      </w:pPr>
      <w:r w:rsidRPr="000D650F">
        <w:rPr>
          <w:rStyle w:val="FootnoteReference"/>
          <w:rFonts w:ascii="Arial" w:hAnsi="Arial" w:cs="Arial"/>
          <w:sz w:val="18"/>
          <w:vertAlign w:val="baseline"/>
          <w:lang w:val="en-GB"/>
        </w:rPr>
        <w:footnoteRef/>
      </w:r>
      <w:r w:rsidRPr="000D650F">
        <w:rPr>
          <w:rFonts w:ascii="Arial" w:hAnsi="Arial" w:cs="Arial"/>
          <w:sz w:val="18"/>
          <w:lang w:val="en-GB"/>
        </w:rPr>
        <w:t>.</w:t>
      </w:r>
      <w:r w:rsidRPr="000D650F">
        <w:rPr>
          <w:rFonts w:ascii="Arial" w:hAnsi="Arial" w:cs="Arial"/>
          <w:sz w:val="18"/>
          <w:lang w:val="en-GB"/>
        </w:rPr>
        <w:tab/>
      </w:r>
      <w:r w:rsidR="009540D6" w:rsidRPr="000D650F">
        <w:rPr>
          <w:rFonts w:ascii="Arial" w:eastAsia="MS Mincho" w:hAnsi="Arial" w:cs="Arial"/>
          <w:sz w:val="18"/>
          <w:lang w:val="en-GB"/>
        </w:rPr>
        <w:t>Figures have been rounded as compared to Statement I</w:t>
      </w:r>
      <w:r w:rsidR="00AE627F" w:rsidRPr="000D650F">
        <w:rPr>
          <w:rFonts w:ascii="Arial" w:eastAsia="MS Mincho" w:hAnsi="Arial" w:cs="Arial"/>
          <w:sz w:val="18"/>
          <w:lang w:val="en-GB"/>
        </w:rPr>
        <w:t xml:space="preserve"> and Schedule 1.1</w:t>
      </w:r>
      <w:r w:rsidR="009540D6" w:rsidRPr="000D650F">
        <w:rPr>
          <w:rFonts w:ascii="Arial" w:eastAsia="MS Mincho" w:hAnsi="Arial" w:cs="Arial"/>
          <w:sz w:val="18"/>
          <w:lang w:val="en-GB"/>
        </w:rPr>
        <w:t>, pages 6–7</w:t>
      </w:r>
      <w:r w:rsidRPr="000D650F">
        <w:rPr>
          <w:rFonts w:ascii="Arial" w:eastAsia="MS Mincho" w:hAnsi="Arial" w:cs="Arial"/>
          <w:sz w:val="18"/>
          <w:lang w:val="en-GB"/>
        </w:rPr>
        <w:t>.</w:t>
      </w:r>
    </w:p>
  </w:footnote>
  <w:footnote w:id="2">
    <w:p w14:paraId="1F554B29" w14:textId="66DBC00E" w:rsidR="003F682C" w:rsidRPr="000D650F" w:rsidRDefault="003F682C" w:rsidP="003F682C">
      <w:pPr>
        <w:pStyle w:val="Paragraph"/>
        <w:tabs>
          <w:tab w:val="left" w:pos="0"/>
        </w:tabs>
        <w:spacing w:before="60" w:after="60"/>
        <w:ind w:left="567" w:hanging="567"/>
        <w:rPr>
          <w:rFonts w:asciiTheme="minorBidi" w:hAnsiTheme="minorBidi" w:cstheme="minorBidi"/>
          <w:bCs w:val="0"/>
          <w:sz w:val="18"/>
          <w:szCs w:val="18"/>
        </w:rPr>
      </w:pPr>
      <w:r w:rsidRPr="000D650F">
        <w:rPr>
          <w:rStyle w:val="FootnoteReference"/>
          <w:rFonts w:eastAsia="MS Mincho"/>
          <w:bCs w:val="0"/>
          <w:sz w:val="18"/>
          <w:szCs w:val="20"/>
          <w:vertAlign w:val="baseline"/>
        </w:rPr>
        <w:footnoteRef/>
      </w:r>
      <w:r w:rsidRPr="000D650F">
        <w:rPr>
          <w:rFonts w:eastAsia="MS Mincho"/>
          <w:bCs w:val="0"/>
          <w:sz w:val="18"/>
          <w:szCs w:val="20"/>
        </w:rPr>
        <w:t>.</w:t>
      </w:r>
      <w:r w:rsidRPr="000D650F">
        <w:rPr>
          <w:rFonts w:eastAsia="MS Mincho"/>
          <w:bCs w:val="0"/>
          <w:sz w:val="18"/>
          <w:szCs w:val="20"/>
        </w:rPr>
        <w:tab/>
        <w:t xml:space="preserve">In Statement I, the assessed compulsory </w:t>
      </w:r>
      <w:r w:rsidRPr="000D650F">
        <w:rPr>
          <w:rFonts w:eastAsia="MS Mincho"/>
          <w:bCs w:val="0"/>
          <w:color w:val="auto"/>
          <w:sz w:val="18"/>
          <w:szCs w:val="20"/>
        </w:rPr>
        <w:t>contributions for the period 20</w:t>
      </w:r>
      <w:r w:rsidR="00B53C9D" w:rsidRPr="000D650F">
        <w:rPr>
          <w:rFonts w:eastAsia="MS Mincho"/>
          <w:bCs w:val="0"/>
          <w:color w:val="auto"/>
          <w:sz w:val="18"/>
          <w:szCs w:val="20"/>
        </w:rPr>
        <w:t>20</w:t>
      </w:r>
      <w:r w:rsidRPr="000D650F">
        <w:rPr>
          <w:rFonts w:eastAsia="MS Mincho"/>
          <w:bCs w:val="0"/>
          <w:color w:val="auto"/>
          <w:sz w:val="18"/>
          <w:szCs w:val="20"/>
        </w:rPr>
        <w:t xml:space="preserve"> to 20</w:t>
      </w:r>
      <w:r w:rsidR="00B53C9D" w:rsidRPr="000D650F">
        <w:rPr>
          <w:rFonts w:eastAsia="MS Mincho"/>
          <w:bCs w:val="0"/>
          <w:color w:val="auto"/>
          <w:sz w:val="18"/>
          <w:szCs w:val="20"/>
        </w:rPr>
        <w:t>21</w:t>
      </w:r>
      <w:r w:rsidRPr="000D650F">
        <w:rPr>
          <w:rFonts w:eastAsia="MS Mincho"/>
          <w:bCs w:val="0"/>
          <w:color w:val="auto"/>
          <w:sz w:val="18"/>
          <w:szCs w:val="20"/>
        </w:rPr>
        <w:t xml:space="preserve"> are shown as income, whether they have been received or not; in </w:t>
      </w:r>
      <w:r w:rsidR="00E573DA" w:rsidRPr="000D650F">
        <w:rPr>
          <w:rFonts w:eastAsia="MS Mincho"/>
          <w:bCs w:val="0"/>
          <w:color w:val="auto"/>
          <w:sz w:val="18"/>
          <w:szCs w:val="20"/>
        </w:rPr>
        <w:t xml:space="preserve">the Statement of Assessed </w:t>
      </w:r>
      <w:r w:rsidR="009565E3" w:rsidRPr="000D650F">
        <w:rPr>
          <w:rFonts w:eastAsia="MS Mincho"/>
          <w:bCs w:val="0"/>
          <w:color w:val="auto"/>
          <w:sz w:val="18"/>
          <w:szCs w:val="20"/>
        </w:rPr>
        <w:t xml:space="preserve">Contributions as </w:t>
      </w:r>
      <w:r w:rsidR="008F2ACE" w:rsidRPr="000D650F">
        <w:rPr>
          <w:rFonts w:eastAsia="MS Mincho"/>
          <w:bCs w:val="0"/>
          <w:color w:val="auto"/>
          <w:sz w:val="18"/>
          <w:szCs w:val="20"/>
        </w:rPr>
        <w:t>of</w:t>
      </w:r>
      <w:r w:rsidR="009565E3" w:rsidRPr="000D650F">
        <w:rPr>
          <w:rFonts w:eastAsia="MS Mincho"/>
          <w:bCs w:val="0"/>
          <w:color w:val="auto"/>
          <w:sz w:val="18"/>
          <w:szCs w:val="20"/>
        </w:rPr>
        <w:t xml:space="preserve"> 30 June 2021</w:t>
      </w:r>
      <w:r w:rsidRPr="000D650F">
        <w:rPr>
          <w:rFonts w:eastAsia="MS Mincho"/>
          <w:bCs w:val="0"/>
          <w:color w:val="auto"/>
          <w:sz w:val="18"/>
          <w:szCs w:val="20"/>
        </w:rPr>
        <w:t xml:space="preserve">, the </w:t>
      </w:r>
      <w:r w:rsidR="00601484" w:rsidRPr="000D650F">
        <w:rPr>
          <w:rFonts w:eastAsia="MS Mincho"/>
          <w:bCs w:val="0"/>
          <w:color w:val="auto"/>
          <w:sz w:val="18"/>
          <w:szCs w:val="20"/>
        </w:rPr>
        <w:t xml:space="preserve">balance of </w:t>
      </w:r>
      <w:r w:rsidR="00601484" w:rsidRPr="000D650F">
        <w:rPr>
          <w:rFonts w:asciiTheme="minorBidi" w:eastAsia="MS Mincho" w:hAnsiTheme="minorBidi" w:cstheme="minorBidi"/>
          <w:bCs w:val="0"/>
          <w:color w:val="auto"/>
          <w:sz w:val="18"/>
          <w:szCs w:val="18"/>
        </w:rPr>
        <w:t>unpaid</w:t>
      </w:r>
      <w:r w:rsidRPr="000D650F">
        <w:rPr>
          <w:rFonts w:asciiTheme="minorBidi" w:eastAsia="MS Mincho" w:hAnsiTheme="minorBidi" w:cstheme="minorBidi"/>
          <w:bCs w:val="0"/>
          <w:color w:val="auto"/>
          <w:sz w:val="18"/>
          <w:szCs w:val="18"/>
        </w:rPr>
        <w:t xml:space="preserve"> </w:t>
      </w:r>
      <w:r w:rsidR="00601484" w:rsidRPr="000D650F">
        <w:rPr>
          <w:rFonts w:asciiTheme="minorBidi" w:eastAsia="MS Mincho" w:hAnsiTheme="minorBidi" w:cstheme="minorBidi"/>
          <w:bCs w:val="0"/>
          <w:color w:val="auto"/>
          <w:sz w:val="18"/>
          <w:szCs w:val="18"/>
        </w:rPr>
        <w:t>as of</w:t>
      </w:r>
      <w:r w:rsidRPr="000D650F">
        <w:rPr>
          <w:rFonts w:asciiTheme="minorBidi" w:eastAsia="MS Mincho" w:hAnsiTheme="minorBidi" w:cstheme="minorBidi"/>
          <w:bCs w:val="0"/>
          <w:color w:val="auto"/>
          <w:sz w:val="18"/>
          <w:szCs w:val="18"/>
        </w:rPr>
        <w:t xml:space="preserve"> 30 June 20</w:t>
      </w:r>
      <w:r w:rsidR="00B53C9D" w:rsidRPr="000D650F">
        <w:rPr>
          <w:rFonts w:asciiTheme="minorBidi" w:eastAsia="MS Mincho" w:hAnsiTheme="minorBidi" w:cstheme="minorBidi"/>
          <w:bCs w:val="0"/>
          <w:color w:val="auto"/>
          <w:sz w:val="18"/>
          <w:szCs w:val="18"/>
        </w:rPr>
        <w:t>21</w:t>
      </w:r>
      <w:r w:rsidRPr="000D650F">
        <w:rPr>
          <w:rFonts w:asciiTheme="minorBidi" w:eastAsia="MS Mincho" w:hAnsiTheme="minorBidi" w:cstheme="minorBidi"/>
          <w:bCs w:val="0"/>
          <w:color w:val="auto"/>
          <w:sz w:val="18"/>
          <w:szCs w:val="18"/>
        </w:rPr>
        <w:t xml:space="preserve"> was US$1,4</w:t>
      </w:r>
      <w:r w:rsidR="00E573DA" w:rsidRPr="000D650F">
        <w:rPr>
          <w:rFonts w:asciiTheme="minorBidi" w:eastAsia="MS Mincho" w:hAnsiTheme="minorBidi" w:cstheme="minorBidi"/>
          <w:bCs w:val="0"/>
          <w:color w:val="auto"/>
          <w:sz w:val="18"/>
          <w:szCs w:val="18"/>
        </w:rPr>
        <w:t>08</w:t>
      </w:r>
      <w:r w:rsidRPr="000D650F">
        <w:rPr>
          <w:rFonts w:asciiTheme="minorBidi" w:eastAsia="MS Mincho" w:hAnsiTheme="minorBidi" w:cstheme="minorBidi"/>
          <w:bCs w:val="0"/>
          <w:color w:val="auto"/>
          <w:sz w:val="18"/>
          <w:szCs w:val="18"/>
        </w:rPr>
        <w:t>,</w:t>
      </w:r>
      <w:r w:rsidR="00E573DA" w:rsidRPr="000D650F">
        <w:rPr>
          <w:rFonts w:asciiTheme="minorBidi" w:eastAsia="MS Mincho" w:hAnsiTheme="minorBidi" w:cstheme="minorBidi"/>
          <w:bCs w:val="0"/>
          <w:color w:val="auto"/>
          <w:sz w:val="18"/>
          <w:szCs w:val="18"/>
        </w:rPr>
        <w:t>459</w:t>
      </w:r>
      <w:r w:rsidRPr="000D650F">
        <w:rPr>
          <w:rFonts w:asciiTheme="minorBidi" w:eastAsia="MS Mincho" w:hAnsiTheme="minorBidi" w:cstheme="minorBidi"/>
          <w:bCs w:val="0"/>
          <w:color w:val="auto"/>
          <w:sz w:val="18"/>
          <w:szCs w:val="18"/>
        </w:rPr>
        <w:t xml:space="preserve">. </w:t>
      </w:r>
      <w:r w:rsidRPr="000D650F">
        <w:rPr>
          <w:rFonts w:asciiTheme="minorBidi" w:eastAsia="MS Mincho" w:hAnsiTheme="minorBidi" w:cstheme="minorBidi"/>
          <w:bCs w:val="0"/>
          <w:sz w:val="18"/>
          <w:szCs w:val="18"/>
        </w:rPr>
        <w:t>The assessed voluntary contributions appear as income only on the date when they are received.</w:t>
      </w:r>
    </w:p>
  </w:footnote>
  <w:footnote w:id="3">
    <w:p w14:paraId="0694BBB7" w14:textId="00FD4F8C" w:rsidR="00F130AF" w:rsidRPr="000D650F" w:rsidRDefault="00F130AF" w:rsidP="00FA7D05">
      <w:pPr>
        <w:pStyle w:val="FootnoteText"/>
        <w:ind w:left="567" w:hanging="567"/>
        <w:jc w:val="both"/>
        <w:rPr>
          <w:lang w:val="en-GB"/>
        </w:rPr>
      </w:pPr>
      <w:r w:rsidRPr="000D650F">
        <w:rPr>
          <w:rStyle w:val="FootnoteReference"/>
          <w:rFonts w:asciiTheme="minorBidi" w:hAnsiTheme="minorBidi" w:cstheme="minorBidi"/>
          <w:sz w:val="18"/>
          <w:szCs w:val="18"/>
          <w:vertAlign w:val="baseline"/>
        </w:rPr>
        <w:footnoteRef/>
      </w:r>
      <w:r w:rsidRPr="000D650F">
        <w:rPr>
          <w:rFonts w:asciiTheme="minorBidi" w:hAnsiTheme="minorBidi" w:cstheme="minorBidi"/>
          <w:sz w:val="18"/>
          <w:szCs w:val="18"/>
          <w:lang w:val="en-GB"/>
        </w:rPr>
        <w:t>.</w:t>
      </w:r>
      <w:r w:rsidRPr="000D650F">
        <w:rPr>
          <w:rFonts w:asciiTheme="minorBidi" w:hAnsiTheme="minorBidi" w:cstheme="minorBidi"/>
          <w:sz w:val="18"/>
          <w:szCs w:val="18"/>
          <w:lang w:val="en-GB"/>
        </w:rPr>
        <w:tab/>
        <w:t>Article 26.2 of the Convention foresees that ‘each State […] may declare, at the time of the deposit of its instruments of ratification, acceptance, approval or accession, that it shall not be bound by the provisions of paragraph 1 of this Article.’</w:t>
      </w:r>
      <w:r w:rsidRPr="000D650F">
        <w:rPr>
          <w:lang w:val="en-GB"/>
        </w:rPr>
        <w:t xml:space="preserve"> </w:t>
      </w:r>
    </w:p>
  </w:footnote>
  <w:footnote w:id="4">
    <w:p w14:paraId="26312EC0" w14:textId="3BAB6B85" w:rsidR="009540D6" w:rsidRPr="000D650F" w:rsidRDefault="009540D6" w:rsidP="00080D6A">
      <w:pPr>
        <w:pStyle w:val="FootnoteText"/>
        <w:spacing w:after="60"/>
        <w:ind w:left="567" w:hanging="567"/>
        <w:jc w:val="both"/>
        <w:rPr>
          <w:rFonts w:ascii="Arial" w:eastAsia="MS Mincho" w:hAnsi="Arial" w:cs="Arial"/>
          <w:sz w:val="18"/>
          <w:lang w:val="en-GB"/>
        </w:rPr>
      </w:pPr>
      <w:r w:rsidRPr="000D650F">
        <w:rPr>
          <w:rStyle w:val="FootnoteReference"/>
          <w:rFonts w:ascii="Arial" w:hAnsi="Arial" w:cs="Arial"/>
          <w:sz w:val="18"/>
          <w:vertAlign w:val="baseline"/>
          <w:lang w:val="en-GB"/>
        </w:rPr>
        <w:footnoteRef/>
      </w:r>
      <w:r w:rsidRPr="000D650F">
        <w:rPr>
          <w:rFonts w:ascii="Arial" w:eastAsia="MS Mincho" w:hAnsi="Arial" w:cs="Arial"/>
          <w:sz w:val="18"/>
          <w:lang w:val="en-GB"/>
        </w:rPr>
        <w:t>.</w:t>
      </w:r>
      <w:r w:rsidRPr="000D650F">
        <w:rPr>
          <w:rFonts w:ascii="Arial" w:eastAsia="MS Mincho" w:hAnsi="Arial" w:cs="Arial"/>
          <w:sz w:val="18"/>
          <w:lang w:val="en-GB"/>
        </w:rPr>
        <w:tab/>
      </w:r>
      <w:r w:rsidR="008F2ACE" w:rsidRPr="000D650F">
        <w:rPr>
          <w:rFonts w:ascii="Arial" w:eastAsia="MS Mincho" w:hAnsi="Arial" w:cs="Arial"/>
          <w:sz w:val="18"/>
          <w:lang w:val="en-GB"/>
        </w:rPr>
        <w:t>A</w:t>
      </w:r>
      <w:r w:rsidRPr="000D650F">
        <w:rPr>
          <w:rFonts w:ascii="Arial" w:eastAsia="MS Mincho" w:hAnsi="Arial" w:cs="Arial"/>
          <w:sz w:val="18"/>
          <w:lang w:val="en-GB"/>
        </w:rPr>
        <w:t>s of 30 June 20</w:t>
      </w:r>
      <w:r w:rsidR="00AE627F" w:rsidRPr="000D650F">
        <w:rPr>
          <w:rFonts w:ascii="Arial" w:eastAsia="MS Mincho" w:hAnsi="Arial" w:cs="Arial"/>
          <w:sz w:val="18"/>
          <w:lang w:val="en-GB"/>
        </w:rPr>
        <w:t>21</w:t>
      </w:r>
      <w:r w:rsidR="008F2ACE" w:rsidRPr="000D650F">
        <w:rPr>
          <w:rFonts w:ascii="Arial" w:eastAsia="MS Mincho" w:hAnsi="Arial" w:cs="Arial"/>
          <w:sz w:val="18"/>
          <w:lang w:val="en-GB"/>
        </w:rPr>
        <w:t>,</w:t>
      </w:r>
      <w:r w:rsidRPr="000D650F">
        <w:rPr>
          <w:rFonts w:ascii="Arial" w:eastAsia="MS Mincho" w:hAnsi="Arial" w:cs="Arial"/>
          <w:sz w:val="18"/>
          <w:lang w:val="en-GB"/>
        </w:rPr>
        <w:t xml:space="preserve"> the sub-fund – intended exclusively to strengthen the human capacities of the Secretariat – ha</w:t>
      </w:r>
      <w:r w:rsidR="008F2ACE" w:rsidRPr="000D650F">
        <w:rPr>
          <w:rFonts w:ascii="Arial" w:eastAsia="MS Mincho" w:hAnsi="Arial" w:cs="Arial"/>
          <w:sz w:val="18"/>
          <w:lang w:val="en-GB"/>
        </w:rPr>
        <w:t>s</w:t>
      </w:r>
      <w:r w:rsidRPr="000D650F">
        <w:rPr>
          <w:rFonts w:ascii="Arial" w:eastAsia="MS Mincho" w:hAnsi="Arial" w:cs="Arial"/>
          <w:sz w:val="18"/>
          <w:lang w:val="en-GB"/>
        </w:rPr>
        <w:t xml:space="preserve"> received contributions amounting to a total of US$1.</w:t>
      </w:r>
      <w:r w:rsidR="00C01105" w:rsidRPr="000D650F">
        <w:rPr>
          <w:rFonts w:ascii="Arial" w:eastAsia="MS Mincho" w:hAnsi="Arial" w:cs="Arial"/>
          <w:sz w:val="18"/>
          <w:lang w:val="en-GB"/>
        </w:rPr>
        <w:t>6</w:t>
      </w:r>
      <w:r w:rsidRPr="000D650F">
        <w:rPr>
          <w:rFonts w:ascii="Arial" w:eastAsia="MS Mincho" w:hAnsi="Arial" w:cs="Arial"/>
          <w:sz w:val="18"/>
          <w:lang w:val="en-GB"/>
        </w:rPr>
        <w:t xml:space="preserve"> million.</w:t>
      </w:r>
    </w:p>
  </w:footnote>
  <w:footnote w:id="5">
    <w:p w14:paraId="47DB40D5" w14:textId="1F567797" w:rsidR="003F682C" w:rsidRPr="004F251A" w:rsidRDefault="003F682C" w:rsidP="003F682C">
      <w:pPr>
        <w:pStyle w:val="FootnoteText"/>
        <w:ind w:left="567" w:hanging="567"/>
        <w:jc w:val="both"/>
        <w:rPr>
          <w:rFonts w:ascii="Arial" w:hAnsi="Arial" w:cs="Arial"/>
          <w:sz w:val="18"/>
          <w:lang w:val="en-GB"/>
        </w:rPr>
      </w:pPr>
      <w:r w:rsidRPr="000D650F">
        <w:rPr>
          <w:rStyle w:val="FootnoteReference"/>
          <w:rFonts w:ascii="Arial" w:hAnsi="Arial" w:cs="Arial"/>
          <w:sz w:val="18"/>
          <w:vertAlign w:val="baseline"/>
          <w:lang w:val="en-GB"/>
        </w:rPr>
        <w:footnoteRef/>
      </w:r>
      <w:r w:rsidR="00F97351" w:rsidRPr="000D650F">
        <w:rPr>
          <w:rFonts w:ascii="Arial" w:eastAsia="MS Mincho" w:hAnsi="Arial" w:cs="Arial"/>
          <w:sz w:val="18"/>
          <w:lang w:val="en-GB"/>
        </w:rPr>
        <w:t>.</w:t>
      </w:r>
      <w:r w:rsidRPr="000D650F">
        <w:rPr>
          <w:rFonts w:ascii="Arial" w:eastAsia="MS Mincho" w:hAnsi="Arial" w:cs="Arial"/>
          <w:sz w:val="18"/>
          <w:lang w:val="en-GB"/>
        </w:rPr>
        <w:tab/>
      </w:r>
      <w:r w:rsidR="00AE627F" w:rsidRPr="000D650F">
        <w:rPr>
          <w:rFonts w:ascii="Arial" w:eastAsia="MS Mincho" w:hAnsi="Arial" w:cs="Arial"/>
          <w:sz w:val="18"/>
          <w:lang w:val="en-GB"/>
        </w:rPr>
        <w:t>Figures have been rounded as compared to Statement I and Schedule 1.1, pages 6–7</w:t>
      </w:r>
      <w:r w:rsidRPr="000D650F">
        <w:rPr>
          <w:rFonts w:ascii="Arial" w:eastAsia="MS Mincho" w:hAnsi="Arial" w:cs="Arial"/>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6B9C" w14:textId="76ADB263" w:rsidR="00B6167A" w:rsidRPr="007E4E37" w:rsidRDefault="00FD1941" w:rsidP="003F682C">
    <w:pPr>
      <w:pStyle w:val="Header"/>
      <w:rPr>
        <w:rFonts w:ascii="Arial" w:hAnsi="Arial" w:cs="Arial"/>
      </w:rPr>
    </w:pPr>
    <w:r>
      <w:rPr>
        <w:rFonts w:ascii="Arial" w:hAnsi="Arial" w:cs="Arial"/>
        <w:sz w:val="20"/>
        <w:szCs w:val="20"/>
      </w:rPr>
      <w:t>LHE/2</w:t>
    </w:r>
    <w:r w:rsidR="00483688">
      <w:rPr>
        <w:rFonts w:ascii="Arial" w:hAnsi="Arial" w:cs="Arial"/>
        <w:sz w:val="20"/>
        <w:szCs w:val="20"/>
      </w:rPr>
      <w:t>1</w:t>
    </w:r>
    <w:r>
      <w:rPr>
        <w:rFonts w:ascii="Arial" w:hAnsi="Arial" w:cs="Arial"/>
        <w:sz w:val="20"/>
        <w:szCs w:val="20"/>
      </w:rPr>
      <w:t>/1</w:t>
    </w:r>
    <w:r w:rsidR="00483688">
      <w:rPr>
        <w:rFonts w:ascii="Arial" w:hAnsi="Arial" w:cs="Arial"/>
        <w:sz w:val="20"/>
        <w:szCs w:val="20"/>
      </w:rPr>
      <w:t>6</w:t>
    </w:r>
    <w:r w:rsidR="007E4E37">
      <w:rPr>
        <w:rFonts w:ascii="Arial" w:hAnsi="Arial" w:cs="Arial"/>
        <w:sz w:val="20"/>
        <w:szCs w:val="20"/>
      </w:rPr>
      <w:t>.COM</w:t>
    </w:r>
    <w:r w:rsidR="000A34CE" w:rsidRPr="00D81948">
      <w:rPr>
        <w:rFonts w:ascii="Arial" w:hAnsi="Arial" w:cs="Arial"/>
        <w:sz w:val="20"/>
        <w:szCs w:val="20"/>
      </w:rPr>
      <w:t>/INF.</w:t>
    </w:r>
    <w:r w:rsidR="009A47E7">
      <w:rPr>
        <w:rFonts w:ascii="Arial" w:hAnsi="Arial" w:cs="Arial"/>
        <w:sz w:val="20"/>
        <w:szCs w:val="20"/>
      </w:rPr>
      <w:t>13</w:t>
    </w:r>
    <w:r w:rsidR="003F682C">
      <w:rPr>
        <w:rFonts w:ascii="Arial" w:hAnsi="Arial" w:cs="Arial"/>
        <w:sz w:val="20"/>
        <w:szCs w:val="20"/>
      </w:rPr>
      <w:t>.1</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5B8C" w14:textId="7BC10F87" w:rsidR="00B6167A" w:rsidRPr="007E4E37" w:rsidRDefault="00FD1941" w:rsidP="007D13D9">
    <w:pPr>
      <w:pStyle w:val="Header"/>
      <w:ind w:left="2544" w:firstLine="3828"/>
      <w:jc w:val="right"/>
      <w:rPr>
        <w:rFonts w:ascii="Arial" w:hAnsi="Arial" w:cs="Arial"/>
      </w:rPr>
    </w:pPr>
    <w:r>
      <w:rPr>
        <w:rFonts w:ascii="Arial" w:hAnsi="Arial" w:cs="Arial"/>
        <w:sz w:val="20"/>
        <w:szCs w:val="20"/>
        <w:lang w:val="en-US"/>
      </w:rPr>
      <w:t>LHE/2</w:t>
    </w:r>
    <w:r w:rsidR="003F682C">
      <w:rPr>
        <w:rFonts w:ascii="Arial" w:hAnsi="Arial" w:cs="Arial"/>
        <w:sz w:val="20"/>
        <w:szCs w:val="20"/>
        <w:lang w:val="en-US"/>
      </w:rPr>
      <w:t>1</w:t>
    </w:r>
    <w:r>
      <w:rPr>
        <w:rFonts w:ascii="Arial" w:hAnsi="Arial" w:cs="Arial"/>
        <w:sz w:val="20"/>
        <w:szCs w:val="20"/>
        <w:lang w:val="en-US"/>
      </w:rPr>
      <w:t>/1</w:t>
    </w:r>
    <w:r w:rsidR="003F682C">
      <w:rPr>
        <w:rFonts w:ascii="Arial" w:hAnsi="Arial" w:cs="Arial"/>
        <w:sz w:val="20"/>
        <w:szCs w:val="20"/>
        <w:lang w:val="en-US"/>
      </w:rPr>
      <w:t>6</w:t>
    </w:r>
    <w:r w:rsidR="007E4E37">
      <w:rPr>
        <w:rFonts w:ascii="Arial" w:hAnsi="Arial" w:cs="Arial"/>
        <w:sz w:val="20"/>
        <w:szCs w:val="20"/>
        <w:lang w:val="en-US"/>
      </w:rPr>
      <w:t>.COM</w:t>
    </w:r>
    <w:r w:rsidR="001E4EEB">
      <w:rPr>
        <w:rFonts w:ascii="Arial" w:hAnsi="Arial" w:cs="Arial"/>
        <w:sz w:val="20"/>
        <w:szCs w:val="20"/>
        <w:lang w:val="en-US"/>
      </w:rPr>
      <w:t>/INF.</w:t>
    </w:r>
    <w:r w:rsidR="009A47E7">
      <w:rPr>
        <w:rFonts w:ascii="Arial" w:hAnsi="Arial" w:cs="Arial"/>
        <w:sz w:val="20"/>
        <w:szCs w:val="20"/>
        <w:lang w:val="en-US"/>
      </w:rPr>
      <w:t>13</w:t>
    </w:r>
    <w:r w:rsidR="003F682C">
      <w:rPr>
        <w:rFonts w:ascii="Arial" w:hAnsi="Arial" w:cs="Arial"/>
        <w:sz w:val="20"/>
        <w:szCs w:val="20"/>
        <w:lang w:val="en-US"/>
      </w:rPr>
      <w:t xml:space="preserve">.1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2F24" w14:textId="0BD2E33B" w:rsidR="0095046A" w:rsidRPr="00080D6A" w:rsidRDefault="004B7C94" w:rsidP="0095046A">
    <w:pPr>
      <w:pStyle w:val="Header"/>
    </w:pPr>
    <w:r w:rsidRPr="00080D6A">
      <w:rPr>
        <w:noProof/>
      </w:rPr>
      <w:drawing>
        <wp:anchor distT="0" distB="0" distL="114300" distR="114300" simplePos="0" relativeHeight="251659264" behindDoc="0" locked="0" layoutInCell="1" allowOverlap="1" wp14:anchorId="34640D4D" wp14:editId="3D5FE32A">
          <wp:simplePos x="0" y="0"/>
          <wp:positionH relativeFrom="column">
            <wp:posOffset>44450</wp:posOffset>
          </wp:positionH>
          <wp:positionV relativeFrom="paragraph">
            <wp:posOffset>79375</wp:posOffset>
          </wp:positionV>
          <wp:extent cx="1754505" cy="1400175"/>
          <wp:effectExtent l="0" t="0" r="0"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400175"/>
                  </a:xfrm>
                  <a:prstGeom prst="rect">
                    <a:avLst/>
                  </a:prstGeom>
                  <a:noFill/>
                  <a:ln>
                    <a:noFill/>
                  </a:ln>
                </pic:spPr>
              </pic:pic>
            </a:graphicData>
          </a:graphic>
          <wp14:sizeRelV relativeFrom="margin">
            <wp14:pctHeight>0</wp14:pctHeight>
          </wp14:sizeRelV>
        </wp:anchor>
      </w:drawing>
    </w:r>
  </w:p>
  <w:p w14:paraId="73C626AE" w14:textId="77777777" w:rsidR="0095046A" w:rsidRPr="00080D6A" w:rsidRDefault="0095046A" w:rsidP="0095046A">
    <w:pPr>
      <w:pStyle w:val="Header"/>
      <w:spacing w:after="520"/>
      <w:jc w:val="right"/>
      <w:rPr>
        <w:rFonts w:ascii="Arial" w:hAnsi="Arial" w:cs="Arial"/>
        <w:b/>
        <w:sz w:val="44"/>
        <w:szCs w:val="44"/>
        <w:lang w:val="pt-PT"/>
      </w:rPr>
    </w:pPr>
    <w:r w:rsidRPr="00080D6A">
      <w:rPr>
        <w:rFonts w:ascii="Arial" w:hAnsi="Arial" w:cs="Arial"/>
        <w:b/>
        <w:sz w:val="44"/>
        <w:szCs w:val="44"/>
        <w:lang w:val="pt-PT"/>
      </w:rPr>
      <w:t>16 COM</w:t>
    </w:r>
  </w:p>
  <w:p w14:paraId="13C6E0AB" w14:textId="196CAF75" w:rsidR="0095046A" w:rsidRPr="00080D6A" w:rsidRDefault="0095046A" w:rsidP="0095046A">
    <w:pPr>
      <w:spacing w:after="0"/>
      <w:jc w:val="right"/>
      <w:rPr>
        <w:rFonts w:ascii="Arial" w:hAnsi="Arial" w:cs="Arial"/>
        <w:b/>
        <w:szCs w:val="22"/>
        <w:lang w:val="pt-PT"/>
      </w:rPr>
    </w:pPr>
    <w:r w:rsidRPr="00080D6A">
      <w:rPr>
        <w:rFonts w:ascii="Arial" w:hAnsi="Arial" w:cs="Arial"/>
        <w:b/>
        <w:szCs w:val="22"/>
        <w:lang w:val="pt-PT"/>
      </w:rPr>
      <w:t>LHE/21/16.COM/INF.</w:t>
    </w:r>
    <w:r w:rsidR="009A47E7" w:rsidRPr="00080D6A">
      <w:rPr>
        <w:rFonts w:ascii="Arial" w:hAnsi="Arial" w:cs="Arial"/>
        <w:b/>
        <w:szCs w:val="22"/>
        <w:lang w:val="pt-PT"/>
      </w:rPr>
      <w:t>13</w:t>
    </w:r>
    <w:r w:rsidRPr="00080D6A">
      <w:rPr>
        <w:rFonts w:ascii="Arial" w:hAnsi="Arial" w:cs="Arial"/>
        <w:b/>
        <w:szCs w:val="22"/>
        <w:lang w:val="pt-PT"/>
      </w:rPr>
      <w:t>.1</w:t>
    </w:r>
  </w:p>
  <w:p w14:paraId="4FA5B28C" w14:textId="722E494A" w:rsidR="0095046A" w:rsidRPr="00080D6A" w:rsidRDefault="0095046A" w:rsidP="0095046A">
    <w:pPr>
      <w:spacing w:after="0"/>
      <w:jc w:val="right"/>
      <w:rPr>
        <w:rFonts w:ascii="Arial" w:eastAsiaTheme="minorEastAsia" w:hAnsi="Arial" w:cs="Arial"/>
        <w:b/>
        <w:szCs w:val="22"/>
        <w:lang w:val="pt-PT" w:eastAsia="ko-KR"/>
      </w:rPr>
    </w:pPr>
    <w:r w:rsidRPr="00080D6A">
      <w:rPr>
        <w:rFonts w:ascii="Arial" w:hAnsi="Arial" w:cs="Arial"/>
        <w:b/>
        <w:szCs w:val="22"/>
        <w:lang w:val="pt-PT"/>
      </w:rPr>
      <w:t xml:space="preserve">Paris, </w:t>
    </w:r>
    <w:r w:rsidR="00F130AF" w:rsidRPr="00080D6A">
      <w:rPr>
        <w:rFonts w:ascii="Arial" w:hAnsi="Arial" w:cs="Arial"/>
        <w:b/>
        <w:szCs w:val="22"/>
        <w:lang w:val="pt-PT"/>
      </w:rPr>
      <w:t>15 November</w:t>
    </w:r>
    <w:r w:rsidRPr="00080D6A">
      <w:rPr>
        <w:rFonts w:ascii="Arial" w:hAnsi="Arial" w:cs="Arial"/>
        <w:b/>
        <w:szCs w:val="22"/>
        <w:lang w:val="pt-PT"/>
      </w:rPr>
      <w:t xml:space="preserve"> 2021</w:t>
    </w:r>
  </w:p>
  <w:p w14:paraId="158A2807" w14:textId="3C24903A" w:rsidR="0095046A" w:rsidRDefault="0095046A" w:rsidP="0095046A">
    <w:pPr>
      <w:spacing w:after="0"/>
      <w:jc w:val="right"/>
      <w:rPr>
        <w:rFonts w:ascii="Arial" w:hAnsi="Arial" w:cs="Arial"/>
        <w:b/>
        <w:szCs w:val="22"/>
        <w:lang w:val="pt-PT"/>
      </w:rPr>
    </w:pPr>
    <w:r w:rsidRPr="00080D6A">
      <w:rPr>
        <w:rFonts w:ascii="Arial" w:hAnsi="Arial" w:cs="Arial"/>
        <w:b/>
        <w:szCs w:val="22"/>
        <w:lang w:val="pt-PT"/>
      </w:rPr>
      <w:t>Original: English</w:t>
    </w:r>
  </w:p>
  <w:p w14:paraId="61BDCA6C" w14:textId="77777777" w:rsidR="00C82C82" w:rsidRPr="004D6642" w:rsidRDefault="00C82C82" w:rsidP="0095046A">
    <w:pPr>
      <w:spacing w:after="0"/>
      <w:jc w:val="right"/>
      <w:rPr>
        <w:rFonts w:ascii="Arial" w:hAnsi="Arial" w:cs="Arial"/>
        <w:b/>
        <w:szCs w:val="22"/>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54D2" w14:textId="766FF631" w:rsidR="002A00DE" w:rsidRPr="008724E5" w:rsidRDefault="002A00DE" w:rsidP="0095046A">
    <w:pPr>
      <w:pStyle w:val="Header"/>
    </w:pPr>
  </w:p>
  <w:p w14:paraId="06625372" w14:textId="40449DBA" w:rsidR="002A00DE" w:rsidRPr="0095046A" w:rsidRDefault="002A00DE" w:rsidP="0095046A">
    <w:pPr>
      <w:spacing w:after="0"/>
      <w:jc w:val="right"/>
      <w:rPr>
        <w:rFonts w:ascii="Arial" w:hAnsi="Arial"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1BD40C5"/>
    <w:multiLevelType w:val="hybridMultilevel"/>
    <w:tmpl w:val="B9E64288"/>
    <w:lvl w:ilvl="0" w:tplc="08A29940">
      <w:start w:val="1"/>
      <w:numFmt w:val="lowerLetter"/>
      <w:lvlText w:val="%1)"/>
      <w:lvlJc w:val="left"/>
      <w:pPr>
        <w:ind w:left="720" w:hanging="360"/>
      </w:pPr>
      <w:rPr>
        <w:rFonts w:ascii="Arial" w:eastAsia="MS Mincho"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B71665"/>
    <w:multiLevelType w:val="hybridMultilevel"/>
    <w:tmpl w:val="929CF4D0"/>
    <w:lvl w:ilvl="0" w:tplc="D04ECF5C">
      <w:start w:val="1"/>
      <w:numFmt w:val="decimal"/>
      <w:pStyle w:val="ListParagraph"/>
      <w:lvlText w:val="%1."/>
      <w:lvlJc w:val="left"/>
      <w:pPr>
        <w:ind w:left="502"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0B0161"/>
    <w:multiLevelType w:val="hybridMultilevel"/>
    <w:tmpl w:val="A4C83E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11"/>
  </w:num>
  <w:num w:numId="5">
    <w:abstractNumId w:val="9"/>
  </w:num>
  <w:num w:numId="6">
    <w:abstractNumId w:val="0"/>
  </w:num>
  <w:num w:numId="7">
    <w:abstractNumId w:val="2"/>
  </w:num>
  <w:num w:numId="8">
    <w:abstractNumId w:val="3"/>
  </w:num>
  <w:num w:numId="9">
    <w:abstractNumId w:val="10"/>
  </w:num>
  <w:num w:numId="10">
    <w:abstractNumId w:val="3"/>
    <w:lvlOverride w:ilvl="0">
      <w:startOverride w:val="1"/>
    </w:lvlOverride>
  </w:num>
  <w:num w:numId="11">
    <w:abstractNumId w:val="8"/>
  </w:num>
  <w:num w:numId="12">
    <w:abstractNumId w:val="5"/>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47E58"/>
    <w:rsid w:val="00070956"/>
    <w:rsid w:val="00073D20"/>
    <w:rsid w:val="000755E1"/>
    <w:rsid w:val="00080D6A"/>
    <w:rsid w:val="00085541"/>
    <w:rsid w:val="00093063"/>
    <w:rsid w:val="000A34CE"/>
    <w:rsid w:val="000A6577"/>
    <w:rsid w:val="000C268F"/>
    <w:rsid w:val="000C65E4"/>
    <w:rsid w:val="000D650F"/>
    <w:rsid w:val="000E55E3"/>
    <w:rsid w:val="000F6279"/>
    <w:rsid w:val="001064D8"/>
    <w:rsid w:val="00106685"/>
    <w:rsid w:val="00106B72"/>
    <w:rsid w:val="00116E53"/>
    <w:rsid w:val="0011750D"/>
    <w:rsid w:val="00122830"/>
    <w:rsid w:val="00125577"/>
    <w:rsid w:val="00140312"/>
    <w:rsid w:val="001412DE"/>
    <w:rsid w:val="00144A4D"/>
    <w:rsid w:val="00151351"/>
    <w:rsid w:val="00167382"/>
    <w:rsid w:val="00174B39"/>
    <w:rsid w:val="001943EE"/>
    <w:rsid w:val="001A431C"/>
    <w:rsid w:val="001C5BA7"/>
    <w:rsid w:val="001D00B5"/>
    <w:rsid w:val="001D3B29"/>
    <w:rsid w:val="001E4EEB"/>
    <w:rsid w:val="001E6026"/>
    <w:rsid w:val="001F3696"/>
    <w:rsid w:val="001F37CA"/>
    <w:rsid w:val="001F7092"/>
    <w:rsid w:val="00204B37"/>
    <w:rsid w:val="002105E4"/>
    <w:rsid w:val="002200EA"/>
    <w:rsid w:val="00226F80"/>
    <w:rsid w:val="00230A1E"/>
    <w:rsid w:val="00231605"/>
    <w:rsid w:val="00231F9B"/>
    <w:rsid w:val="00235C4A"/>
    <w:rsid w:val="00237E43"/>
    <w:rsid w:val="0024567E"/>
    <w:rsid w:val="00257926"/>
    <w:rsid w:val="0027198B"/>
    <w:rsid w:val="00282E84"/>
    <w:rsid w:val="00286C0C"/>
    <w:rsid w:val="00290D5F"/>
    <w:rsid w:val="002938F2"/>
    <w:rsid w:val="00294BD8"/>
    <w:rsid w:val="002A00DE"/>
    <w:rsid w:val="002A0742"/>
    <w:rsid w:val="002A587C"/>
    <w:rsid w:val="002C5280"/>
    <w:rsid w:val="002D396D"/>
    <w:rsid w:val="002F3021"/>
    <w:rsid w:val="002F53FD"/>
    <w:rsid w:val="00307B6A"/>
    <w:rsid w:val="00314BD8"/>
    <w:rsid w:val="0035648A"/>
    <w:rsid w:val="0035769F"/>
    <w:rsid w:val="00363995"/>
    <w:rsid w:val="003926DA"/>
    <w:rsid w:val="0039446E"/>
    <w:rsid w:val="003A1DAD"/>
    <w:rsid w:val="003A3649"/>
    <w:rsid w:val="003C7065"/>
    <w:rsid w:val="003E2EDF"/>
    <w:rsid w:val="003E4D4C"/>
    <w:rsid w:val="003E5A69"/>
    <w:rsid w:val="003E5B98"/>
    <w:rsid w:val="003F482D"/>
    <w:rsid w:val="003F5831"/>
    <w:rsid w:val="003F682C"/>
    <w:rsid w:val="004108B6"/>
    <w:rsid w:val="00412F26"/>
    <w:rsid w:val="00414148"/>
    <w:rsid w:val="00421C98"/>
    <w:rsid w:val="004310BE"/>
    <w:rsid w:val="00434773"/>
    <w:rsid w:val="00436430"/>
    <w:rsid w:val="004467E8"/>
    <w:rsid w:val="00447C66"/>
    <w:rsid w:val="00466EAB"/>
    <w:rsid w:val="00471B34"/>
    <w:rsid w:val="00477901"/>
    <w:rsid w:val="00483688"/>
    <w:rsid w:val="004B53CD"/>
    <w:rsid w:val="004B7C94"/>
    <w:rsid w:val="004C47C9"/>
    <w:rsid w:val="004D1933"/>
    <w:rsid w:val="004D6642"/>
    <w:rsid w:val="004E056C"/>
    <w:rsid w:val="004E2817"/>
    <w:rsid w:val="004E6DA9"/>
    <w:rsid w:val="0050100E"/>
    <w:rsid w:val="005016FB"/>
    <w:rsid w:val="00511D17"/>
    <w:rsid w:val="00514299"/>
    <w:rsid w:val="0051699F"/>
    <w:rsid w:val="00520BCD"/>
    <w:rsid w:val="00526831"/>
    <w:rsid w:val="00530E51"/>
    <w:rsid w:val="005414A1"/>
    <w:rsid w:val="00567902"/>
    <w:rsid w:val="00570814"/>
    <w:rsid w:val="00582365"/>
    <w:rsid w:val="005C0660"/>
    <w:rsid w:val="005D07C4"/>
    <w:rsid w:val="005D63EA"/>
    <w:rsid w:val="00601484"/>
    <w:rsid w:val="00601DD6"/>
    <w:rsid w:val="00603F71"/>
    <w:rsid w:val="006078B2"/>
    <w:rsid w:val="00611692"/>
    <w:rsid w:val="00636760"/>
    <w:rsid w:val="00641D9F"/>
    <w:rsid w:val="006445EE"/>
    <w:rsid w:val="006515C9"/>
    <w:rsid w:val="00651D88"/>
    <w:rsid w:val="00652318"/>
    <w:rsid w:val="0065304C"/>
    <w:rsid w:val="006675D9"/>
    <w:rsid w:val="0067005F"/>
    <w:rsid w:val="00674529"/>
    <w:rsid w:val="006838AE"/>
    <w:rsid w:val="006A0D86"/>
    <w:rsid w:val="006C0911"/>
    <w:rsid w:val="006C76C3"/>
    <w:rsid w:val="006C7F8A"/>
    <w:rsid w:val="006D46FB"/>
    <w:rsid w:val="006D4E3E"/>
    <w:rsid w:val="006E7B3F"/>
    <w:rsid w:val="00700E43"/>
    <w:rsid w:val="0071363A"/>
    <w:rsid w:val="0074462F"/>
    <w:rsid w:val="00746204"/>
    <w:rsid w:val="00747715"/>
    <w:rsid w:val="00750138"/>
    <w:rsid w:val="00753DA3"/>
    <w:rsid w:val="00764F50"/>
    <w:rsid w:val="00770048"/>
    <w:rsid w:val="00770A92"/>
    <w:rsid w:val="00785097"/>
    <w:rsid w:val="00790C65"/>
    <w:rsid w:val="007A7872"/>
    <w:rsid w:val="007A7D45"/>
    <w:rsid w:val="007B5137"/>
    <w:rsid w:val="007B7CB2"/>
    <w:rsid w:val="007C1B00"/>
    <w:rsid w:val="007D13D9"/>
    <w:rsid w:val="007D31CE"/>
    <w:rsid w:val="007D5BB7"/>
    <w:rsid w:val="007E0621"/>
    <w:rsid w:val="007E4E37"/>
    <w:rsid w:val="007F103E"/>
    <w:rsid w:val="007F3A9F"/>
    <w:rsid w:val="007F4B07"/>
    <w:rsid w:val="007F59CD"/>
    <w:rsid w:val="00800561"/>
    <w:rsid w:val="008100C4"/>
    <w:rsid w:val="0083488D"/>
    <w:rsid w:val="008466C3"/>
    <w:rsid w:val="00851458"/>
    <w:rsid w:val="00861805"/>
    <w:rsid w:val="00861A47"/>
    <w:rsid w:val="00861F9D"/>
    <w:rsid w:val="008707FF"/>
    <w:rsid w:val="008724E5"/>
    <w:rsid w:val="00874EE6"/>
    <w:rsid w:val="00881BC8"/>
    <w:rsid w:val="008846C2"/>
    <w:rsid w:val="00893BE7"/>
    <w:rsid w:val="008A233D"/>
    <w:rsid w:val="008D3BF7"/>
    <w:rsid w:val="008D7DF1"/>
    <w:rsid w:val="008F16C6"/>
    <w:rsid w:val="008F2ACE"/>
    <w:rsid w:val="008F2FDB"/>
    <w:rsid w:val="008F34A1"/>
    <w:rsid w:val="008F5D3C"/>
    <w:rsid w:val="009121CE"/>
    <w:rsid w:val="009127D8"/>
    <w:rsid w:val="00915BC3"/>
    <w:rsid w:val="00921F65"/>
    <w:rsid w:val="00930DA3"/>
    <w:rsid w:val="00936A1B"/>
    <w:rsid w:val="0094679C"/>
    <w:rsid w:val="00947297"/>
    <w:rsid w:val="0095046A"/>
    <w:rsid w:val="009540D6"/>
    <w:rsid w:val="009565E3"/>
    <w:rsid w:val="0097349C"/>
    <w:rsid w:val="00991431"/>
    <w:rsid w:val="00993580"/>
    <w:rsid w:val="009A47E7"/>
    <w:rsid w:val="009A707C"/>
    <w:rsid w:val="009B55AC"/>
    <w:rsid w:val="009C06CA"/>
    <w:rsid w:val="009D4547"/>
    <w:rsid w:val="009D5E38"/>
    <w:rsid w:val="009F34A4"/>
    <w:rsid w:val="009F3988"/>
    <w:rsid w:val="00A150C7"/>
    <w:rsid w:val="00A2037A"/>
    <w:rsid w:val="00A20CE8"/>
    <w:rsid w:val="00A519A2"/>
    <w:rsid w:val="00A535F3"/>
    <w:rsid w:val="00A6174E"/>
    <w:rsid w:val="00A6499A"/>
    <w:rsid w:val="00A70883"/>
    <w:rsid w:val="00A77AEB"/>
    <w:rsid w:val="00A86042"/>
    <w:rsid w:val="00AA444A"/>
    <w:rsid w:val="00AB1528"/>
    <w:rsid w:val="00AC29A6"/>
    <w:rsid w:val="00AD128B"/>
    <w:rsid w:val="00AD501E"/>
    <w:rsid w:val="00AE1B18"/>
    <w:rsid w:val="00AE627F"/>
    <w:rsid w:val="00AF1C32"/>
    <w:rsid w:val="00B020FF"/>
    <w:rsid w:val="00B104FE"/>
    <w:rsid w:val="00B11AE3"/>
    <w:rsid w:val="00B17FCD"/>
    <w:rsid w:val="00B35135"/>
    <w:rsid w:val="00B53C9D"/>
    <w:rsid w:val="00B573E1"/>
    <w:rsid w:val="00B6167A"/>
    <w:rsid w:val="00B973B5"/>
    <w:rsid w:val="00BA0E50"/>
    <w:rsid w:val="00BD59BD"/>
    <w:rsid w:val="00BE02BF"/>
    <w:rsid w:val="00BE3D49"/>
    <w:rsid w:val="00BF7776"/>
    <w:rsid w:val="00C01105"/>
    <w:rsid w:val="00C1651E"/>
    <w:rsid w:val="00C473EE"/>
    <w:rsid w:val="00C6478B"/>
    <w:rsid w:val="00C65379"/>
    <w:rsid w:val="00C70617"/>
    <w:rsid w:val="00C70EFC"/>
    <w:rsid w:val="00C726F7"/>
    <w:rsid w:val="00C82C82"/>
    <w:rsid w:val="00C86AB5"/>
    <w:rsid w:val="00C90938"/>
    <w:rsid w:val="00CB0F37"/>
    <w:rsid w:val="00CB6025"/>
    <w:rsid w:val="00CC2BC6"/>
    <w:rsid w:val="00CE2586"/>
    <w:rsid w:val="00CE3311"/>
    <w:rsid w:val="00CF57D1"/>
    <w:rsid w:val="00CF63B3"/>
    <w:rsid w:val="00D235E6"/>
    <w:rsid w:val="00D404B7"/>
    <w:rsid w:val="00D46EBD"/>
    <w:rsid w:val="00D5675C"/>
    <w:rsid w:val="00D6216E"/>
    <w:rsid w:val="00D809E5"/>
    <w:rsid w:val="00D81948"/>
    <w:rsid w:val="00D9501F"/>
    <w:rsid w:val="00DA0AFB"/>
    <w:rsid w:val="00DA2E76"/>
    <w:rsid w:val="00DA5927"/>
    <w:rsid w:val="00DB50D5"/>
    <w:rsid w:val="00DB6990"/>
    <w:rsid w:val="00DC0435"/>
    <w:rsid w:val="00DE3D89"/>
    <w:rsid w:val="00DF190B"/>
    <w:rsid w:val="00DF3DA3"/>
    <w:rsid w:val="00E06A00"/>
    <w:rsid w:val="00E22B99"/>
    <w:rsid w:val="00E258D9"/>
    <w:rsid w:val="00E3509F"/>
    <w:rsid w:val="00E36C5F"/>
    <w:rsid w:val="00E439CA"/>
    <w:rsid w:val="00E46C9B"/>
    <w:rsid w:val="00E46EAF"/>
    <w:rsid w:val="00E5219B"/>
    <w:rsid w:val="00E535B3"/>
    <w:rsid w:val="00E573DA"/>
    <w:rsid w:val="00E57BAD"/>
    <w:rsid w:val="00E64160"/>
    <w:rsid w:val="00E675B1"/>
    <w:rsid w:val="00E72B36"/>
    <w:rsid w:val="00E73CA8"/>
    <w:rsid w:val="00E86B2F"/>
    <w:rsid w:val="00E90D71"/>
    <w:rsid w:val="00E9346F"/>
    <w:rsid w:val="00E93F6E"/>
    <w:rsid w:val="00EA198F"/>
    <w:rsid w:val="00EA395E"/>
    <w:rsid w:val="00EC309C"/>
    <w:rsid w:val="00EC5A79"/>
    <w:rsid w:val="00EF0BCB"/>
    <w:rsid w:val="00EF0E74"/>
    <w:rsid w:val="00F00E8A"/>
    <w:rsid w:val="00F130AF"/>
    <w:rsid w:val="00F33650"/>
    <w:rsid w:val="00F45FC2"/>
    <w:rsid w:val="00F473CB"/>
    <w:rsid w:val="00F50245"/>
    <w:rsid w:val="00F5193C"/>
    <w:rsid w:val="00F63DDA"/>
    <w:rsid w:val="00F70858"/>
    <w:rsid w:val="00F7397F"/>
    <w:rsid w:val="00F75949"/>
    <w:rsid w:val="00F8363F"/>
    <w:rsid w:val="00F941F0"/>
    <w:rsid w:val="00F97351"/>
    <w:rsid w:val="00F97863"/>
    <w:rsid w:val="00FA122E"/>
    <w:rsid w:val="00FA7D05"/>
    <w:rsid w:val="00FB13ED"/>
    <w:rsid w:val="00FB249C"/>
    <w:rsid w:val="00FB6069"/>
    <w:rsid w:val="00FD1941"/>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3F682C"/>
    <w:rPr>
      <w:rFonts w:ascii="Times New Roman" w:eastAsia="Times New Roman" w:hAnsi="Times New Roman"/>
      <w:sz w:val="24"/>
      <w:szCs w:val="24"/>
    </w:rPr>
  </w:style>
  <w:style w:type="paragraph" w:customStyle="1" w:styleId="COMPara">
    <w:name w:val="COM Para"/>
    <w:qFormat/>
    <w:rsid w:val="003F682C"/>
    <w:pPr>
      <w:spacing w:after="120"/>
      <w:ind w:left="720" w:hanging="360"/>
    </w:pPr>
    <w:rPr>
      <w:rFonts w:ascii="Arial" w:eastAsia="Times New Roman" w:hAnsi="Arial" w:cs="Arial"/>
      <w:snapToGrid w:val="0"/>
      <w:sz w:val="22"/>
      <w:szCs w:val="22"/>
      <w:lang w:val="en-GB" w:eastAsia="en-US"/>
    </w:rPr>
  </w:style>
  <w:style w:type="character" w:styleId="Hyperlink">
    <w:name w:val="Hyperlink"/>
    <w:unhideWhenUsed/>
    <w:rsid w:val="003F682C"/>
    <w:rPr>
      <w:color w:val="0000FF"/>
      <w:u w:val="single"/>
    </w:rPr>
  </w:style>
  <w:style w:type="paragraph" w:customStyle="1" w:styleId="Default">
    <w:name w:val="Default"/>
    <w:link w:val="DefaultChar"/>
    <w:uiPriority w:val="99"/>
    <w:rsid w:val="003F682C"/>
    <w:pPr>
      <w:autoSpaceDE w:val="0"/>
      <w:autoSpaceDN w:val="0"/>
      <w:adjustRightInd w:val="0"/>
    </w:pPr>
    <w:rPr>
      <w:rFonts w:ascii="Arial" w:hAnsi="Arial" w:cs="Arial"/>
      <w:color w:val="000000"/>
      <w:sz w:val="24"/>
      <w:szCs w:val="24"/>
      <w:lang w:val="en-US" w:eastAsia="zh-CN"/>
    </w:rPr>
  </w:style>
  <w:style w:type="paragraph" w:styleId="FootnoteText">
    <w:name w:val="footnote text"/>
    <w:basedOn w:val="Normal"/>
    <w:link w:val="FootnoteTextChar"/>
    <w:uiPriority w:val="99"/>
    <w:unhideWhenUsed/>
    <w:rsid w:val="003F682C"/>
    <w:pPr>
      <w:spacing w:after="0"/>
    </w:pPr>
    <w:rPr>
      <w:sz w:val="20"/>
      <w:szCs w:val="20"/>
      <w:lang w:val="fr-FR"/>
    </w:rPr>
  </w:style>
  <w:style w:type="character" w:customStyle="1" w:styleId="FootnoteTextChar">
    <w:name w:val="Footnote Text Char"/>
    <w:basedOn w:val="DefaultParagraphFont"/>
    <w:link w:val="FootnoteText"/>
    <w:uiPriority w:val="99"/>
    <w:rsid w:val="003F682C"/>
    <w:rPr>
      <w:rFonts w:ascii="Times New Roman" w:eastAsia="Times New Roman" w:hAnsi="Times New Roman"/>
    </w:rPr>
  </w:style>
  <w:style w:type="character" w:styleId="FootnoteReference">
    <w:name w:val="footnote reference"/>
    <w:uiPriority w:val="99"/>
    <w:unhideWhenUsed/>
    <w:rsid w:val="003F682C"/>
    <w:rPr>
      <w:vertAlign w:val="superscript"/>
    </w:rPr>
  </w:style>
  <w:style w:type="character" w:customStyle="1" w:styleId="DefaultChar">
    <w:name w:val="Default Char"/>
    <w:link w:val="Default"/>
    <w:uiPriority w:val="99"/>
    <w:rsid w:val="003F682C"/>
    <w:rPr>
      <w:rFonts w:ascii="Arial" w:hAnsi="Arial" w:cs="Arial"/>
      <w:color w:val="000000"/>
      <w:sz w:val="24"/>
      <w:szCs w:val="24"/>
      <w:lang w:val="en-US" w:eastAsia="zh-CN"/>
    </w:rPr>
  </w:style>
  <w:style w:type="paragraph" w:customStyle="1" w:styleId="Paragraph">
    <w:name w:val="Paragraph"/>
    <w:basedOn w:val="Default"/>
    <w:link w:val="ParagraphChar"/>
    <w:qFormat/>
    <w:rsid w:val="003F682C"/>
    <w:pPr>
      <w:spacing w:after="240"/>
      <w:jc w:val="both"/>
    </w:pPr>
    <w:rPr>
      <w:bCs/>
      <w:sz w:val="22"/>
      <w:szCs w:val="22"/>
      <w:lang w:val="en-GB"/>
    </w:rPr>
  </w:style>
  <w:style w:type="character" w:customStyle="1" w:styleId="ParagraphChar">
    <w:name w:val="Paragraph Char"/>
    <w:link w:val="Paragraph"/>
    <w:rsid w:val="003F682C"/>
    <w:rPr>
      <w:rFonts w:ascii="Arial" w:hAnsi="Arial" w:cs="Arial"/>
      <w:bCs/>
      <w:color w:val="000000"/>
      <w:sz w:val="22"/>
      <w:szCs w:val="22"/>
      <w:lang w:val="en-GB" w:eastAsia="zh-CN"/>
    </w:rPr>
  </w:style>
  <w:style w:type="paragraph" w:customStyle="1" w:styleId="ListParagraph1">
    <w:name w:val="List Paragraph1"/>
    <w:basedOn w:val="Normal"/>
    <w:qFormat/>
    <w:rsid w:val="003F682C"/>
    <w:pPr>
      <w:tabs>
        <w:tab w:val="left" w:pos="567"/>
      </w:tabs>
      <w:snapToGrid w:val="0"/>
      <w:jc w:val="both"/>
    </w:pPr>
    <w:rPr>
      <w:rFonts w:ascii="Arial" w:hAnsi="Arial" w:cs="Arial"/>
      <w:snapToGrid w:val="0"/>
      <w:szCs w:val="22"/>
      <w:lang w:eastAsia="en-US"/>
    </w:rPr>
  </w:style>
  <w:style w:type="character" w:styleId="UnresolvedMention">
    <w:name w:val="Unresolved Mention"/>
    <w:basedOn w:val="DefaultParagraphFont"/>
    <w:uiPriority w:val="99"/>
    <w:semiHidden/>
    <w:unhideWhenUsed/>
    <w:rsid w:val="00106685"/>
    <w:rPr>
      <w:color w:val="605E5C"/>
      <w:shd w:val="clear" w:color="auto" w:fill="E1DFDD"/>
    </w:rPr>
  </w:style>
  <w:style w:type="paragraph" w:styleId="ListParagraph">
    <w:name w:val="List Paragraph"/>
    <w:basedOn w:val="Normal"/>
    <w:qFormat/>
    <w:rsid w:val="00567902"/>
    <w:pPr>
      <w:numPr>
        <w:numId w:val="13"/>
      </w:numPr>
      <w:tabs>
        <w:tab w:val="left" w:pos="567"/>
      </w:tabs>
      <w:snapToGrid w:val="0"/>
      <w:jc w:val="both"/>
    </w:pPr>
    <w:rPr>
      <w:rFonts w:ascii="Arial" w:hAnsi="Arial" w:cs="Arial"/>
      <w:snapToGrid w:val="0"/>
      <w:szCs w:val="22"/>
      <w:lang w:eastAsia="en-US"/>
    </w:rPr>
  </w:style>
  <w:style w:type="character" w:styleId="FollowedHyperlink">
    <w:name w:val="FollowedHyperlink"/>
    <w:basedOn w:val="DefaultParagraphFont"/>
    <w:semiHidden/>
    <w:unhideWhenUsed/>
    <w:rsid w:val="00683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GA/7" TargetMode="External"/><Relationship Id="rId13" Type="http://schemas.openxmlformats.org/officeDocument/2006/relationships/hyperlink" Target="https://ich.unesco.org/en/Decisions/12.COM/6" TargetMode="External"/><Relationship Id="rId18" Type="http://schemas.openxmlformats.org/officeDocument/2006/relationships/hyperlink" Target="https://ich.unesco.org/doc/src/LHE-20-15.COM_3.BUR-Decisions-EN.docx" TargetMode="External"/><Relationship Id="rId26" Type="http://schemas.openxmlformats.org/officeDocument/2006/relationships/hyperlink" Target="http://www.unesco.org/culture/ich/doc/src/IOS-AUD-2013-06-EN.pdf"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ch.unesco.org/en/Decisions/7.GA/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en/Decisions/12.COM/6" TargetMode="External"/><Relationship Id="rId17" Type="http://schemas.openxmlformats.org/officeDocument/2006/relationships/hyperlink" Target="https://ich.unesco.org/doc/src/LHE-20-15.COM_2.BUR-Decisions-EN.doc" TargetMode="External"/><Relationship Id="rId25" Type="http://schemas.openxmlformats.org/officeDocument/2006/relationships/hyperlink" Target="https://ich.unesco.org/doc/src/LHE-21-16.COM-INF.13.2-EN.docx" TargetMode="External"/><Relationship Id="rId33" Type="http://schemas.openxmlformats.org/officeDocument/2006/relationships/image" Target="media/image3.png"/><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ich.unesco.org/doc/download.php?versionID=54859" TargetMode="External"/><Relationship Id="rId20" Type="http://schemas.openxmlformats.org/officeDocument/2006/relationships/hyperlink" Target="https://ich.unesco.org/en/Decisions/15.COM/8.a.4" TargetMode="External"/><Relationship Id="rId29" Type="http://schemas.openxmlformats.org/officeDocument/2006/relationships/hyperlink" Target="https://ich.unesco.org/doc/src/LHE-21-16.COM-12-EN.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6" TargetMode="External"/><Relationship Id="rId24" Type="http://schemas.openxmlformats.org/officeDocument/2006/relationships/hyperlink" Target="https://ich.unesco.org/doc/src/LHE-20-8.GA-7_Rev.-EN.docx" TargetMode="External"/><Relationship Id="rId32" Type="http://schemas.openxmlformats.org/officeDocument/2006/relationships/image" Target="media/image2.jpeg"/><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en/Resolutions/3.GA/9" TargetMode="External"/><Relationship Id="rId23" Type="http://schemas.openxmlformats.org/officeDocument/2006/relationships/hyperlink" Target="https://ich.unesco.org/en/Decisions/14.COM/7" TargetMode="External"/><Relationship Id="rId28" Type="http://schemas.openxmlformats.org/officeDocument/2006/relationships/hyperlink" Target="https://ich.unesco.org/doc/src/LHE-20-15.COM_4.BUR-Decisions-EN.docx" TargetMode="External"/><Relationship Id="rId36" Type="http://schemas.openxmlformats.org/officeDocument/2006/relationships/header" Target="header3.xml"/><Relationship Id="rId10" Type="http://schemas.openxmlformats.org/officeDocument/2006/relationships/hyperlink" Target="https://ich.unesco.org/en/Decisions/12.COM/6" TargetMode="External"/><Relationship Id="rId19" Type="http://schemas.openxmlformats.org/officeDocument/2006/relationships/hyperlink" Target="https://ich.unesco.org/doc/src/LHE-21-16.COM_2.BUR-Decisions-EN.docx"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ch.unesco.org/en/Decisions/8.GA/7" TargetMode="External"/><Relationship Id="rId14" Type="http://schemas.openxmlformats.org/officeDocument/2006/relationships/hyperlink" Target="https://ich.unesco.org/en/Decisions/12.COM/6" TargetMode="External"/><Relationship Id="rId22" Type="http://schemas.openxmlformats.org/officeDocument/2006/relationships/hyperlink" Target="https://ich.unesco.org/en/Decisions/8.COM/7.c" TargetMode="External"/><Relationship Id="rId27" Type="http://schemas.openxmlformats.org/officeDocument/2006/relationships/hyperlink" Target="http://www.unesco.org/culture/ich/doc/src/ITH-13-8.COM-Decisions-EN.doc" TargetMode="External"/><Relationship Id="rId30" Type="http://schemas.openxmlformats.org/officeDocument/2006/relationships/hyperlink" Target="https://ich.unesco.org/en/ich-fund-00816"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163</TotalTime>
  <Pages>10</Pages>
  <Words>2255</Words>
  <Characters>12858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Kim, Dain</cp:lastModifiedBy>
  <cp:revision>20</cp:revision>
  <cp:lastPrinted>2021-10-15T09:19:00Z</cp:lastPrinted>
  <dcterms:created xsi:type="dcterms:W3CDTF">2021-11-08T13:18:00Z</dcterms:created>
  <dcterms:modified xsi:type="dcterms:W3CDTF">2021-12-07T18:06:00Z</dcterms:modified>
</cp:coreProperties>
</file>