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846470" w:rsidRDefault="00EC6F8D" w:rsidP="00EC6F8D">
      <w:pPr>
        <w:spacing w:before="1440"/>
        <w:jc w:val="center"/>
        <w:rPr>
          <w:rFonts w:ascii="Arial" w:hAnsi="Arial" w:cs="Arial"/>
          <w:b/>
          <w:sz w:val="22"/>
          <w:szCs w:val="22"/>
          <w:lang w:val="en-GB"/>
        </w:rPr>
      </w:pPr>
      <w:r w:rsidRPr="00846470">
        <w:rPr>
          <w:rFonts w:ascii="Arial" w:hAnsi="Arial" w:cs="Arial"/>
          <w:b/>
          <w:sz w:val="22"/>
          <w:szCs w:val="22"/>
          <w:lang w:val="en-GB"/>
        </w:rPr>
        <w:t>CONVENTION FOR THE SAFEGUARDING OF THE</w:t>
      </w:r>
      <w:r w:rsidRPr="00846470">
        <w:rPr>
          <w:rFonts w:ascii="Arial" w:hAnsi="Arial" w:cs="Arial"/>
          <w:b/>
          <w:sz w:val="22"/>
          <w:szCs w:val="22"/>
          <w:lang w:val="en-GB"/>
        </w:rPr>
        <w:br/>
        <w:t>INTANGIBLE CULTURAL HERITAGE</w:t>
      </w:r>
    </w:p>
    <w:p w14:paraId="3F72B1D3" w14:textId="77777777" w:rsidR="00EC6F8D" w:rsidRPr="00846470" w:rsidRDefault="00EC6F8D" w:rsidP="00EC6F8D">
      <w:pPr>
        <w:spacing w:before="1200"/>
        <w:jc w:val="center"/>
        <w:rPr>
          <w:rFonts w:ascii="Arial" w:hAnsi="Arial" w:cs="Arial"/>
          <w:b/>
          <w:sz w:val="22"/>
          <w:szCs w:val="22"/>
          <w:lang w:val="en-GB"/>
        </w:rPr>
      </w:pPr>
      <w:r w:rsidRPr="00846470">
        <w:rPr>
          <w:rFonts w:ascii="Arial" w:hAnsi="Arial" w:cs="Arial"/>
          <w:b/>
          <w:sz w:val="22"/>
          <w:szCs w:val="22"/>
          <w:lang w:val="en-GB"/>
        </w:rPr>
        <w:t>INTERGOVERNMENTAL COMMITTEE FOR THE</w:t>
      </w:r>
      <w:r w:rsidRPr="00846470">
        <w:rPr>
          <w:rFonts w:ascii="Arial" w:hAnsi="Arial" w:cs="Arial"/>
          <w:b/>
          <w:sz w:val="22"/>
          <w:szCs w:val="22"/>
          <w:lang w:val="en-GB"/>
        </w:rPr>
        <w:br/>
        <w:t>SAFEGUARDING OF THE INTANGIBLE CULTURAL HERITAGE</w:t>
      </w:r>
    </w:p>
    <w:p w14:paraId="75AF235F" w14:textId="77777777" w:rsidR="004E1760" w:rsidRPr="00846470" w:rsidRDefault="004E1760" w:rsidP="004E1760">
      <w:pPr>
        <w:spacing w:before="840"/>
        <w:jc w:val="center"/>
        <w:rPr>
          <w:rFonts w:ascii="Arial" w:hAnsi="Arial" w:cs="Arial"/>
          <w:b/>
          <w:sz w:val="22"/>
          <w:szCs w:val="22"/>
          <w:lang w:val="en-US"/>
        </w:rPr>
      </w:pPr>
      <w:r w:rsidRPr="00846470">
        <w:rPr>
          <w:rFonts w:ascii="Arial" w:hAnsi="Arial" w:cs="Arial"/>
          <w:b/>
          <w:sz w:val="22"/>
          <w:szCs w:val="22"/>
          <w:lang w:val="en-US"/>
        </w:rPr>
        <w:t>Meeting of the Bureau</w:t>
      </w:r>
    </w:p>
    <w:p w14:paraId="1FD89575" w14:textId="6B88D510" w:rsidR="00B2172B" w:rsidRPr="00846470" w:rsidRDefault="004E1760" w:rsidP="004E1760">
      <w:pPr>
        <w:spacing w:before="840"/>
        <w:jc w:val="center"/>
        <w:rPr>
          <w:rFonts w:ascii="Arial" w:hAnsi="Arial" w:cs="Arial"/>
          <w:b/>
          <w:sz w:val="22"/>
          <w:szCs w:val="22"/>
          <w:lang w:val="en-GB"/>
        </w:rPr>
      </w:pPr>
      <w:r w:rsidRPr="00846470">
        <w:rPr>
          <w:rFonts w:ascii="Arial" w:eastAsiaTheme="minorEastAsia" w:hAnsi="Arial" w:cs="Arial"/>
          <w:b/>
          <w:sz w:val="22"/>
          <w:szCs w:val="22"/>
          <w:lang w:val="en-GB" w:eastAsia="ko-KR"/>
        </w:rPr>
        <w:t>Online</w:t>
      </w:r>
    </w:p>
    <w:p w14:paraId="15705A60" w14:textId="1277AFE2" w:rsidR="004E1760" w:rsidRPr="00846470" w:rsidRDefault="00A534AB" w:rsidP="004E1760">
      <w:pPr>
        <w:jc w:val="center"/>
        <w:rPr>
          <w:rFonts w:ascii="Arial" w:hAnsi="Arial" w:cs="Arial"/>
          <w:b/>
          <w:sz w:val="22"/>
          <w:szCs w:val="22"/>
          <w:lang w:val="en-GB"/>
        </w:rPr>
      </w:pPr>
      <w:r w:rsidRPr="00846470">
        <w:rPr>
          <w:rFonts w:ascii="Arial" w:hAnsi="Arial" w:cs="Arial"/>
          <w:b/>
          <w:sz w:val="22"/>
          <w:szCs w:val="22"/>
          <w:lang w:val="en-GB"/>
        </w:rPr>
        <w:t>7</w:t>
      </w:r>
      <w:r w:rsidR="00E16EFD" w:rsidRPr="00846470">
        <w:rPr>
          <w:rFonts w:ascii="Arial" w:hAnsi="Arial" w:cs="Arial"/>
          <w:b/>
          <w:sz w:val="22"/>
          <w:szCs w:val="22"/>
          <w:lang w:val="en-GB"/>
        </w:rPr>
        <w:t xml:space="preserve"> March</w:t>
      </w:r>
      <w:r w:rsidR="004E1760" w:rsidRPr="00846470">
        <w:rPr>
          <w:rFonts w:ascii="Arial" w:hAnsi="Arial" w:cs="Arial"/>
          <w:b/>
          <w:sz w:val="22"/>
          <w:szCs w:val="22"/>
          <w:lang w:val="en-GB"/>
        </w:rPr>
        <w:t xml:space="preserve"> 2022</w:t>
      </w:r>
    </w:p>
    <w:p w14:paraId="1247CCBC" w14:textId="6E589F8B" w:rsidR="004E1760" w:rsidRPr="00846470" w:rsidRDefault="00E16EFD" w:rsidP="004E1760">
      <w:pPr>
        <w:jc w:val="center"/>
        <w:rPr>
          <w:rFonts w:ascii="Arial" w:hAnsi="Arial" w:cs="Arial"/>
          <w:b/>
          <w:sz w:val="22"/>
          <w:szCs w:val="22"/>
          <w:lang w:val="en-GB"/>
        </w:rPr>
      </w:pPr>
      <w:r w:rsidRPr="00846470">
        <w:rPr>
          <w:rFonts w:ascii="Arial" w:hAnsi="Arial" w:cs="Arial"/>
          <w:b/>
          <w:sz w:val="22"/>
          <w:szCs w:val="22"/>
          <w:lang w:val="en-GB"/>
        </w:rPr>
        <w:t>10</w:t>
      </w:r>
      <w:r w:rsidR="004E1760" w:rsidRPr="00846470">
        <w:rPr>
          <w:rFonts w:ascii="Arial" w:hAnsi="Arial" w:cs="Arial"/>
          <w:b/>
          <w:sz w:val="22"/>
          <w:szCs w:val="22"/>
          <w:lang w:val="en-GB"/>
        </w:rPr>
        <w:t xml:space="preserve"> a.m. – </w:t>
      </w:r>
      <w:r w:rsidRPr="00846470">
        <w:rPr>
          <w:rFonts w:ascii="Arial" w:hAnsi="Arial" w:cs="Arial"/>
          <w:b/>
          <w:sz w:val="22"/>
          <w:szCs w:val="22"/>
          <w:lang w:val="en-GB"/>
        </w:rPr>
        <w:t>1</w:t>
      </w:r>
      <w:r w:rsidR="004E1760" w:rsidRPr="00846470">
        <w:rPr>
          <w:rFonts w:ascii="Arial" w:hAnsi="Arial" w:cs="Arial"/>
          <w:b/>
          <w:sz w:val="22"/>
          <w:szCs w:val="22"/>
          <w:lang w:val="en-GB"/>
        </w:rPr>
        <w:t xml:space="preserve"> </w:t>
      </w:r>
      <w:r w:rsidRPr="00846470">
        <w:rPr>
          <w:rFonts w:ascii="Arial" w:hAnsi="Arial" w:cs="Arial"/>
          <w:b/>
          <w:sz w:val="22"/>
          <w:szCs w:val="22"/>
          <w:lang w:val="en-GB"/>
        </w:rPr>
        <w:t>p</w:t>
      </w:r>
      <w:r w:rsidR="004E1760" w:rsidRPr="00846470">
        <w:rPr>
          <w:rFonts w:ascii="Arial" w:hAnsi="Arial" w:cs="Arial"/>
          <w:b/>
          <w:sz w:val="22"/>
          <w:szCs w:val="22"/>
          <w:lang w:val="en-GB"/>
        </w:rPr>
        <w:t>.m. (Paris time)</w:t>
      </w:r>
    </w:p>
    <w:p w14:paraId="0365203A" w14:textId="1B597E4C" w:rsidR="00EC6F8D" w:rsidRPr="00846470" w:rsidRDefault="00A534AB" w:rsidP="00EC6F8D">
      <w:pPr>
        <w:pStyle w:val="Sansinterligne2"/>
        <w:spacing w:before="1200"/>
        <w:jc w:val="center"/>
        <w:rPr>
          <w:rFonts w:ascii="Arial" w:hAnsi="Arial" w:cs="Arial"/>
          <w:b/>
          <w:sz w:val="22"/>
          <w:szCs w:val="22"/>
          <w:lang w:val="en-GB"/>
        </w:rPr>
      </w:pPr>
      <w:r w:rsidRPr="00846470">
        <w:rPr>
          <w:rFonts w:ascii="Arial" w:hAnsi="Arial" w:cs="Arial"/>
          <w:b/>
          <w:sz w:val="22"/>
          <w:szCs w:val="22"/>
          <w:u w:val="single"/>
          <w:lang w:val="en-GB"/>
        </w:rPr>
        <w:t>DECISIONS</w:t>
      </w:r>
    </w:p>
    <w:p w14:paraId="59920478" w14:textId="519557A1" w:rsidR="004A2875" w:rsidRPr="00846470" w:rsidRDefault="004A2875" w:rsidP="00A534AB">
      <w:pPr>
        <w:pStyle w:val="Sansinterligne2"/>
        <w:spacing w:after="960"/>
        <w:rPr>
          <w:rFonts w:ascii="Arial" w:hAnsi="Arial" w:cs="Arial"/>
          <w:b/>
          <w:sz w:val="22"/>
          <w:szCs w:val="22"/>
          <w:lang w:val="en-GB"/>
        </w:rPr>
      </w:pPr>
    </w:p>
    <w:p w14:paraId="713D819F" w14:textId="77777777" w:rsidR="004A2875" w:rsidRPr="00846470"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846470">
        <w:rPr>
          <w:lang w:val="en-US"/>
        </w:rPr>
        <w:br w:type="page"/>
      </w:r>
    </w:p>
    <w:p w14:paraId="78047322" w14:textId="13A24876" w:rsidR="00815129" w:rsidRPr="00846470" w:rsidRDefault="00815129" w:rsidP="000E5943">
      <w:pPr>
        <w:pStyle w:val="COMTitleDecision"/>
        <w:ind w:left="0"/>
      </w:pPr>
      <w:r w:rsidRPr="00846470">
        <w:lastRenderedPageBreak/>
        <w:t>DECISION 17.COM</w:t>
      </w:r>
      <w:r w:rsidRPr="00846470">
        <w:rPr>
          <w:lang w:val="en-US"/>
        </w:rPr>
        <w:t> </w:t>
      </w:r>
      <w:r w:rsidRPr="00846470">
        <w:t>1.BUR 2</w:t>
      </w:r>
    </w:p>
    <w:p w14:paraId="5DC1DB48" w14:textId="77777777" w:rsidR="00815129" w:rsidRPr="00846470" w:rsidRDefault="00815129" w:rsidP="000E5943">
      <w:pPr>
        <w:pStyle w:val="COMPreambulaDecisions"/>
        <w:ind w:left="0"/>
        <w:rPr>
          <w:rFonts w:eastAsia="SimSun"/>
        </w:rPr>
      </w:pPr>
      <w:r w:rsidRPr="00846470">
        <w:t>The Bureau,</w:t>
      </w:r>
    </w:p>
    <w:p w14:paraId="710643C7" w14:textId="7EE433C0" w:rsidR="00815129" w:rsidRPr="00846470" w:rsidRDefault="00815129" w:rsidP="000E5943">
      <w:pPr>
        <w:pStyle w:val="COMParaDecision"/>
        <w:ind w:left="567"/>
      </w:pPr>
      <w:r w:rsidRPr="00846470">
        <w:t>Having examined</w:t>
      </w:r>
      <w:r w:rsidRPr="00846470">
        <w:rPr>
          <w:u w:val="none"/>
        </w:rPr>
        <w:t xml:space="preserve"> document LHE/22/17.COM</w:t>
      </w:r>
      <w:r w:rsidRPr="00846470">
        <w:rPr>
          <w:u w:val="none"/>
          <w:lang w:val="en-US"/>
        </w:rPr>
        <w:t> </w:t>
      </w:r>
      <w:r w:rsidRPr="00846470">
        <w:rPr>
          <w:u w:val="none"/>
        </w:rPr>
        <w:t>1.BUR/2 Rev. 2 and its annex as amended,</w:t>
      </w:r>
    </w:p>
    <w:p w14:paraId="18631558" w14:textId="77777777" w:rsidR="00815129" w:rsidRPr="00846470" w:rsidRDefault="00815129" w:rsidP="000E5943">
      <w:pPr>
        <w:pStyle w:val="COMParaDecision"/>
        <w:ind w:left="567"/>
        <w:rPr>
          <w:u w:val="none"/>
        </w:rPr>
      </w:pPr>
      <w:r w:rsidRPr="00846470">
        <w:t>Adopts</w:t>
      </w:r>
      <w:r w:rsidRPr="00846470">
        <w:rPr>
          <w:u w:val="none"/>
        </w:rPr>
        <w:t xml:space="preserve"> the agenda of its first meeting as annexed to this Decision.</w:t>
      </w:r>
    </w:p>
    <w:p w14:paraId="2C3681C0" w14:textId="77777777" w:rsidR="00815129" w:rsidRPr="00846470" w:rsidRDefault="00815129" w:rsidP="00815129">
      <w:pPr>
        <w:spacing w:before="480" w:after="120"/>
        <w:jc w:val="center"/>
        <w:rPr>
          <w:rFonts w:ascii="Arial" w:hAnsi="Arial" w:cs="Arial"/>
          <w:b/>
          <w:sz w:val="22"/>
          <w:szCs w:val="22"/>
          <w:u w:val="single"/>
          <w:lang w:val="en-US"/>
        </w:rPr>
      </w:pPr>
      <w:r w:rsidRPr="00846470">
        <w:rPr>
          <w:rFonts w:ascii="Arial" w:hAnsi="Arial" w:cs="Arial"/>
          <w:b/>
          <w:sz w:val="22"/>
          <w:szCs w:val="22"/>
          <w:u w:val="single"/>
          <w:lang w:val="en-US"/>
        </w:rPr>
        <w:t>ANNEX</w:t>
      </w:r>
    </w:p>
    <w:p w14:paraId="421C5FBE" w14:textId="49897959" w:rsidR="00815129" w:rsidRPr="00846470" w:rsidRDefault="00413F5C" w:rsidP="00815129">
      <w:pPr>
        <w:spacing w:before="360" w:after="240"/>
        <w:ind w:left="1134" w:hanging="567"/>
        <w:jc w:val="both"/>
        <w:rPr>
          <w:rFonts w:ascii="Arial" w:eastAsia="SimSun" w:hAnsi="Arial" w:cs="Arial"/>
          <w:b/>
          <w:sz w:val="22"/>
          <w:szCs w:val="22"/>
          <w:lang w:val="en-US"/>
        </w:rPr>
      </w:pPr>
      <w:r w:rsidRPr="00846470">
        <w:rPr>
          <w:rFonts w:ascii="Arial" w:eastAsia="SimSun" w:hAnsi="Arial" w:cs="Arial"/>
          <w:b/>
          <w:sz w:val="22"/>
          <w:szCs w:val="22"/>
          <w:lang w:val="en-US"/>
        </w:rPr>
        <w:t>A</w:t>
      </w:r>
      <w:r w:rsidR="00815129" w:rsidRPr="00846470">
        <w:rPr>
          <w:rFonts w:ascii="Arial" w:eastAsia="SimSun" w:hAnsi="Arial" w:cs="Arial"/>
          <w:b/>
          <w:sz w:val="22"/>
          <w:szCs w:val="22"/>
          <w:lang w:val="en-US"/>
        </w:rPr>
        <w:t>genda of the first meeting of the 17.COM Bureau</w:t>
      </w:r>
    </w:p>
    <w:tbl>
      <w:tblPr>
        <w:tblW w:w="8217" w:type="dxa"/>
        <w:tblInd w:w="567" w:type="dxa"/>
        <w:tblLook w:val="04A0" w:firstRow="1" w:lastRow="0" w:firstColumn="1" w:lastColumn="0" w:noHBand="0" w:noVBand="1"/>
      </w:tblPr>
      <w:tblGrid>
        <w:gridCol w:w="489"/>
        <w:gridCol w:w="4072"/>
        <w:gridCol w:w="3656"/>
      </w:tblGrid>
      <w:tr w:rsidR="00815129" w:rsidRPr="00846470" w14:paraId="30C2047C" w14:textId="77777777" w:rsidTr="002476A6">
        <w:tc>
          <w:tcPr>
            <w:tcW w:w="4561" w:type="dxa"/>
            <w:gridSpan w:val="2"/>
          </w:tcPr>
          <w:p w14:paraId="5591D051" w14:textId="77777777" w:rsidR="00815129" w:rsidRPr="00846470" w:rsidRDefault="00815129" w:rsidP="002476A6">
            <w:pPr>
              <w:adjustRightInd w:val="0"/>
              <w:spacing w:before="120" w:after="160"/>
              <w:outlineLvl w:val="0"/>
              <w:rPr>
                <w:rFonts w:ascii="Arial" w:eastAsia="SimSun" w:hAnsi="Arial" w:cs="Arial"/>
                <w:sz w:val="22"/>
                <w:szCs w:val="22"/>
                <w:u w:val="single"/>
                <w:lang w:val="en-US"/>
              </w:rPr>
            </w:pPr>
            <w:r w:rsidRPr="00846470">
              <w:rPr>
                <w:rFonts w:ascii="Arial" w:eastAsia="SimSun" w:hAnsi="Arial" w:cs="Arial"/>
                <w:sz w:val="22"/>
                <w:szCs w:val="22"/>
                <w:u w:val="single"/>
                <w:lang w:val="en-US"/>
              </w:rPr>
              <w:t>Agenda item</w:t>
            </w:r>
          </w:p>
        </w:tc>
        <w:tc>
          <w:tcPr>
            <w:tcW w:w="3656" w:type="dxa"/>
          </w:tcPr>
          <w:p w14:paraId="55F19A87" w14:textId="77777777" w:rsidR="00815129" w:rsidRPr="00846470" w:rsidRDefault="00815129" w:rsidP="002476A6">
            <w:pPr>
              <w:adjustRightInd w:val="0"/>
              <w:spacing w:before="120" w:after="160"/>
              <w:outlineLvl w:val="0"/>
              <w:rPr>
                <w:rFonts w:ascii="Arial" w:eastAsia="SimSun" w:hAnsi="Arial" w:cs="Arial"/>
                <w:sz w:val="22"/>
                <w:szCs w:val="22"/>
                <w:u w:val="single"/>
                <w:lang w:val="en-US"/>
              </w:rPr>
            </w:pPr>
            <w:r w:rsidRPr="00846470">
              <w:rPr>
                <w:rFonts w:ascii="Arial" w:eastAsia="SimSun" w:hAnsi="Arial" w:cs="Arial"/>
                <w:sz w:val="22"/>
                <w:szCs w:val="22"/>
                <w:u w:val="single"/>
                <w:lang w:val="en-US"/>
              </w:rPr>
              <w:t>Document</w:t>
            </w:r>
          </w:p>
        </w:tc>
      </w:tr>
      <w:tr w:rsidR="00815129" w:rsidRPr="00846470" w14:paraId="28A5EF66" w14:textId="77777777" w:rsidTr="002476A6">
        <w:tc>
          <w:tcPr>
            <w:tcW w:w="489" w:type="dxa"/>
          </w:tcPr>
          <w:p w14:paraId="1E32E1EA"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1.</w:t>
            </w:r>
          </w:p>
        </w:tc>
        <w:tc>
          <w:tcPr>
            <w:tcW w:w="4072" w:type="dxa"/>
          </w:tcPr>
          <w:p w14:paraId="211191D2"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Opening</w:t>
            </w:r>
          </w:p>
        </w:tc>
        <w:tc>
          <w:tcPr>
            <w:tcW w:w="3656" w:type="dxa"/>
          </w:tcPr>
          <w:p w14:paraId="3A13E787" w14:textId="77777777" w:rsidR="00815129" w:rsidRPr="00846470" w:rsidRDefault="00815129" w:rsidP="002476A6">
            <w:pPr>
              <w:adjustRightInd w:val="0"/>
              <w:spacing w:before="120" w:after="160"/>
              <w:outlineLvl w:val="0"/>
              <w:rPr>
                <w:rFonts w:ascii="Arial" w:eastAsia="SimSun" w:hAnsi="Arial" w:cs="Arial"/>
                <w:sz w:val="22"/>
                <w:szCs w:val="22"/>
                <w:lang w:val="en-US"/>
              </w:rPr>
            </w:pPr>
          </w:p>
        </w:tc>
      </w:tr>
      <w:tr w:rsidR="00815129" w:rsidRPr="00846470" w14:paraId="04D51A7F" w14:textId="77777777" w:rsidTr="002476A6">
        <w:tc>
          <w:tcPr>
            <w:tcW w:w="489" w:type="dxa"/>
          </w:tcPr>
          <w:p w14:paraId="00DDEF3B"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2.</w:t>
            </w:r>
          </w:p>
        </w:tc>
        <w:tc>
          <w:tcPr>
            <w:tcW w:w="4072" w:type="dxa"/>
          </w:tcPr>
          <w:p w14:paraId="5D2F4F5F"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Adoption of the agenda</w:t>
            </w:r>
          </w:p>
        </w:tc>
        <w:tc>
          <w:tcPr>
            <w:tcW w:w="3656" w:type="dxa"/>
          </w:tcPr>
          <w:p w14:paraId="7B04DE67"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hAnsi="Arial" w:cs="Arial"/>
                <w:sz w:val="22"/>
                <w:szCs w:val="22"/>
                <w:lang w:val="en-US"/>
              </w:rPr>
              <w:t>LHE/22/17.COM 1.BUR/2 Rev. 2</w:t>
            </w:r>
          </w:p>
        </w:tc>
      </w:tr>
      <w:tr w:rsidR="00815129" w:rsidRPr="00846470" w14:paraId="683A5D3B" w14:textId="77777777" w:rsidTr="002476A6">
        <w:tc>
          <w:tcPr>
            <w:tcW w:w="489" w:type="dxa"/>
          </w:tcPr>
          <w:p w14:paraId="7E661E06"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3.</w:t>
            </w:r>
          </w:p>
        </w:tc>
        <w:tc>
          <w:tcPr>
            <w:tcW w:w="4072" w:type="dxa"/>
          </w:tcPr>
          <w:p w14:paraId="2E9ACC9C"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Examination of requests for International Assistance up to US$100,000</w:t>
            </w:r>
          </w:p>
        </w:tc>
        <w:tc>
          <w:tcPr>
            <w:tcW w:w="3656" w:type="dxa"/>
          </w:tcPr>
          <w:p w14:paraId="03A83D0A" w14:textId="77777777" w:rsidR="00815129" w:rsidRPr="00846470" w:rsidRDefault="00815129" w:rsidP="002476A6">
            <w:pPr>
              <w:adjustRightInd w:val="0"/>
              <w:spacing w:before="120" w:after="160"/>
              <w:outlineLvl w:val="0"/>
              <w:rPr>
                <w:rFonts w:ascii="Arial" w:hAnsi="Arial" w:cs="Arial"/>
                <w:sz w:val="22"/>
                <w:szCs w:val="22"/>
                <w:lang w:val="en-US"/>
              </w:rPr>
            </w:pPr>
            <w:r w:rsidRPr="00846470">
              <w:rPr>
                <w:rFonts w:ascii="Arial" w:hAnsi="Arial" w:cs="Arial"/>
                <w:sz w:val="22"/>
                <w:szCs w:val="22"/>
                <w:lang w:val="en-US"/>
              </w:rPr>
              <w:t>LHE/22/17.COM 1.BUR/3</w:t>
            </w:r>
          </w:p>
        </w:tc>
      </w:tr>
      <w:tr w:rsidR="00815129" w:rsidRPr="00846470" w14:paraId="47F5642B" w14:textId="77777777" w:rsidTr="002476A6">
        <w:tc>
          <w:tcPr>
            <w:tcW w:w="489" w:type="dxa"/>
          </w:tcPr>
          <w:p w14:paraId="22178DE8"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4.</w:t>
            </w:r>
          </w:p>
        </w:tc>
        <w:tc>
          <w:tcPr>
            <w:tcW w:w="4072" w:type="dxa"/>
          </w:tcPr>
          <w:p w14:paraId="7CABBF37"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Venue of the seventeenth session of the Committee</w:t>
            </w:r>
          </w:p>
        </w:tc>
        <w:tc>
          <w:tcPr>
            <w:tcW w:w="3656" w:type="dxa"/>
          </w:tcPr>
          <w:p w14:paraId="63D39B30" w14:textId="77777777" w:rsidR="00815129" w:rsidRPr="00846470" w:rsidRDefault="00815129" w:rsidP="002476A6">
            <w:pPr>
              <w:adjustRightInd w:val="0"/>
              <w:spacing w:before="120" w:after="160"/>
              <w:outlineLvl w:val="0"/>
              <w:rPr>
                <w:rFonts w:ascii="Arial" w:hAnsi="Arial" w:cs="Arial"/>
                <w:sz w:val="22"/>
                <w:szCs w:val="22"/>
                <w:lang w:val="en-US"/>
              </w:rPr>
            </w:pPr>
            <w:r w:rsidRPr="00846470">
              <w:rPr>
                <w:rFonts w:ascii="Arial" w:hAnsi="Arial" w:cs="Arial"/>
                <w:sz w:val="22"/>
                <w:szCs w:val="22"/>
                <w:lang w:val="en-US"/>
              </w:rPr>
              <w:t>LHE/22/17.COM 1.BUR/4</w:t>
            </w:r>
          </w:p>
        </w:tc>
      </w:tr>
      <w:tr w:rsidR="00815129" w:rsidRPr="00846470" w14:paraId="1644A05F" w14:textId="77777777" w:rsidTr="002476A6">
        <w:tc>
          <w:tcPr>
            <w:tcW w:w="489" w:type="dxa"/>
          </w:tcPr>
          <w:p w14:paraId="2C109665"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5.</w:t>
            </w:r>
          </w:p>
        </w:tc>
        <w:tc>
          <w:tcPr>
            <w:tcW w:w="4072" w:type="dxa"/>
          </w:tcPr>
          <w:p w14:paraId="13667331"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Election of the Chairperson of the seventeenth session of the Committee</w:t>
            </w:r>
          </w:p>
        </w:tc>
        <w:tc>
          <w:tcPr>
            <w:tcW w:w="3656" w:type="dxa"/>
          </w:tcPr>
          <w:p w14:paraId="5C5DD1C0" w14:textId="77777777" w:rsidR="00815129" w:rsidRPr="00846470" w:rsidRDefault="00815129" w:rsidP="002476A6">
            <w:pPr>
              <w:adjustRightInd w:val="0"/>
              <w:spacing w:before="120" w:after="160"/>
              <w:outlineLvl w:val="0"/>
              <w:rPr>
                <w:rFonts w:ascii="Arial" w:hAnsi="Arial" w:cs="Arial"/>
                <w:sz w:val="22"/>
                <w:szCs w:val="22"/>
                <w:lang w:val="en-US"/>
              </w:rPr>
            </w:pPr>
            <w:r w:rsidRPr="00846470">
              <w:rPr>
                <w:rFonts w:ascii="Arial" w:hAnsi="Arial" w:cs="Arial"/>
                <w:sz w:val="22"/>
                <w:szCs w:val="22"/>
                <w:lang w:val="en-US"/>
              </w:rPr>
              <w:t>LHE/22/17.COM 1.BUR/5</w:t>
            </w:r>
          </w:p>
        </w:tc>
      </w:tr>
      <w:tr w:rsidR="00815129" w:rsidRPr="00846470" w14:paraId="67D01364" w14:textId="77777777" w:rsidTr="002476A6">
        <w:tc>
          <w:tcPr>
            <w:tcW w:w="489" w:type="dxa"/>
          </w:tcPr>
          <w:p w14:paraId="61C92C62"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6.</w:t>
            </w:r>
          </w:p>
        </w:tc>
        <w:tc>
          <w:tcPr>
            <w:tcW w:w="4072" w:type="dxa"/>
          </w:tcPr>
          <w:p w14:paraId="7DB89D90"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Other Business</w:t>
            </w:r>
          </w:p>
          <w:p w14:paraId="2E81A815" w14:textId="77777777" w:rsidR="00815129" w:rsidRPr="00846470" w:rsidRDefault="00815129" w:rsidP="002476A6">
            <w:pPr>
              <w:pStyle w:val="Paragraphedeliste"/>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846470">
              <w:rPr>
                <w:rFonts w:ascii="Arial" w:eastAsia="SimSun" w:hAnsi="Arial" w:cs="Arial"/>
                <w:sz w:val="22"/>
                <w:szCs w:val="22"/>
                <w:lang w:val="en-US"/>
              </w:rPr>
              <w:t>Statutory meeting dates in 2022</w:t>
            </w:r>
          </w:p>
          <w:p w14:paraId="3F19F064" w14:textId="77777777" w:rsidR="00815129" w:rsidRPr="00846470" w:rsidRDefault="00815129" w:rsidP="002476A6">
            <w:pPr>
              <w:pStyle w:val="Paragraphedeliste"/>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846470">
              <w:rPr>
                <w:rFonts w:ascii="Arial" w:eastAsia="SimSun" w:hAnsi="Arial" w:cs="Arial"/>
                <w:sz w:val="22"/>
                <w:szCs w:val="22"/>
                <w:lang w:val="en-US"/>
              </w:rPr>
              <w:t>Nominations under the 2022 cycle</w:t>
            </w:r>
          </w:p>
          <w:p w14:paraId="61280019" w14:textId="77777777" w:rsidR="00815129" w:rsidRPr="00846470" w:rsidRDefault="00815129" w:rsidP="002476A6">
            <w:pPr>
              <w:pStyle w:val="Paragraphedeliste"/>
              <w:numPr>
                <w:ilvl w:val="0"/>
                <w:numId w:val="14"/>
              </w:numPr>
              <w:adjustRightInd w:val="0"/>
              <w:spacing w:before="120" w:after="160"/>
              <w:ind w:left="398" w:hanging="398"/>
              <w:contextualSpacing w:val="0"/>
              <w:outlineLvl w:val="0"/>
              <w:rPr>
                <w:rFonts w:ascii="Arial" w:eastAsia="SimSun" w:hAnsi="Arial" w:cs="Arial"/>
                <w:lang w:val="en-US"/>
              </w:rPr>
            </w:pPr>
            <w:r w:rsidRPr="00846470">
              <w:rPr>
                <w:rFonts w:ascii="Arial" w:eastAsia="SimSun" w:hAnsi="Arial" w:cs="Arial"/>
                <w:sz w:val="22"/>
                <w:szCs w:val="22"/>
                <w:lang w:val="en-US"/>
              </w:rPr>
              <w:t>Harmonization of the Rules of Procedure of the governing bodies of the 2003 Convention</w:t>
            </w:r>
          </w:p>
          <w:p w14:paraId="56989BC4" w14:textId="77777777" w:rsidR="00815129" w:rsidRPr="00846470" w:rsidRDefault="00815129" w:rsidP="002476A6">
            <w:pPr>
              <w:pStyle w:val="Paragraphedeliste"/>
              <w:numPr>
                <w:ilvl w:val="0"/>
                <w:numId w:val="14"/>
              </w:numPr>
              <w:adjustRightInd w:val="0"/>
              <w:spacing w:before="120" w:after="160"/>
              <w:ind w:left="398" w:hanging="398"/>
              <w:contextualSpacing w:val="0"/>
              <w:outlineLvl w:val="0"/>
              <w:rPr>
                <w:rFonts w:ascii="Arial" w:eastAsia="SimSun" w:hAnsi="Arial" w:cs="Arial"/>
                <w:lang w:val="en-US"/>
              </w:rPr>
            </w:pPr>
            <w:r w:rsidRPr="00846470">
              <w:rPr>
                <w:rFonts w:ascii="Arial" w:eastAsia="SimSun" w:hAnsi="Arial" w:cs="Arial"/>
                <w:sz w:val="22"/>
                <w:szCs w:val="22"/>
                <w:lang w:val="en-US"/>
              </w:rPr>
              <w:t>Decision of the Bureau of the seventeenth session of the Intergovernmental Committee for the Safeguarding of the Intangible Cultural Heritage on the current situation in Ukraine</w:t>
            </w:r>
          </w:p>
          <w:p w14:paraId="379CA27E" w14:textId="77777777" w:rsidR="00815129" w:rsidRPr="00846470" w:rsidRDefault="00815129" w:rsidP="002476A6">
            <w:pPr>
              <w:pStyle w:val="Paragraphedeliste"/>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846470">
              <w:rPr>
                <w:rFonts w:ascii="Arial" w:eastAsia="SimSun" w:hAnsi="Arial" w:cs="Arial"/>
                <w:sz w:val="22"/>
                <w:szCs w:val="22"/>
                <w:lang w:val="en-US"/>
              </w:rPr>
              <w:t>Other issues</w:t>
            </w:r>
          </w:p>
        </w:tc>
        <w:tc>
          <w:tcPr>
            <w:tcW w:w="3656" w:type="dxa"/>
          </w:tcPr>
          <w:p w14:paraId="0F129205" w14:textId="77777777" w:rsidR="00815129" w:rsidRPr="00846470" w:rsidRDefault="00815129" w:rsidP="002476A6">
            <w:pPr>
              <w:adjustRightInd w:val="0"/>
              <w:spacing w:before="120" w:after="160"/>
              <w:outlineLvl w:val="0"/>
              <w:rPr>
                <w:rFonts w:ascii="Arial" w:hAnsi="Arial" w:cs="Arial"/>
                <w:sz w:val="22"/>
                <w:szCs w:val="22"/>
                <w:lang w:val="en-US"/>
              </w:rPr>
            </w:pPr>
          </w:p>
          <w:p w14:paraId="56787FEA" w14:textId="77777777" w:rsidR="00815129" w:rsidRPr="00846470" w:rsidRDefault="00815129" w:rsidP="002476A6">
            <w:pPr>
              <w:adjustRightInd w:val="0"/>
              <w:spacing w:before="120" w:after="160"/>
              <w:outlineLvl w:val="0"/>
              <w:rPr>
                <w:rFonts w:ascii="Arial" w:hAnsi="Arial" w:cs="Arial"/>
                <w:sz w:val="22"/>
                <w:szCs w:val="22"/>
                <w:lang w:val="en-US"/>
              </w:rPr>
            </w:pPr>
            <w:r w:rsidRPr="00846470">
              <w:rPr>
                <w:rFonts w:ascii="Arial" w:hAnsi="Arial" w:cs="Arial"/>
                <w:sz w:val="22"/>
                <w:szCs w:val="22"/>
                <w:lang w:val="en-US"/>
              </w:rPr>
              <w:t>LHE/22/Schedule Rev.</w:t>
            </w:r>
          </w:p>
        </w:tc>
      </w:tr>
      <w:tr w:rsidR="00815129" w:rsidRPr="00846470" w14:paraId="00E02D2B" w14:textId="77777777" w:rsidTr="002476A6">
        <w:tc>
          <w:tcPr>
            <w:tcW w:w="489" w:type="dxa"/>
          </w:tcPr>
          <w:p w14:paraId="3484C5EF"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7.</w:t>
            </w:r>
          </w:p>
        </w:tc>
        <w:tc>
          <w:tcPr>
            <w:tcW w:w="4072" w:type="dxa"/>
          </w:tcPr>
          <w:p w14:paraId="64AA3D29" w14:textId="77777777" w:rsidR="00815129" w:rsidRPr="00846470" w:rsidRDefault="00815129" w:rsidP="002476A6">
            <w:pPr>
              <w:adjustRightInd w:val="0"/>
              <w:spacing w:before="120" w:after="160"/>
              <w:outlineLvl w:val="0"/>
              <w:rPr>
                <w:rFonts w:ascii="Arial" w:eastAsia="SimSun" w:hAnsi="Arial" w:cs="Arial"/>
                <w:sz w:val="22"/>
                <w:szCs w:val="22"/>
                <w:lang w:val="en-US"/>
              </w:rPr>
            </w:pPr>
            <w:r w:rsidRPr="00846470">
              <w:rPr>
                <w:rFonts w:ascii="Arial" w:eastAsia="SimSun" w:hAnsi="Arial" w:cs="Arial"/>
                <w:sz w:val="22"/>
                <w:szCs w:val="22"/>
                <w:lang w:val="en-US"/>
              </w:rPr>
              <w:t>Closure</w:t>
            </w:r>
          </w:p>
        </w:tc>
        <w:tc>
          <w:tcPr>
            <w:tcW w:w="3656" w:type="dxa"/>
          </w:tcPr>
          <w:p w14:paraId="71F937D7" w14:textId="77777777" w:rsidR="00815129" w:rsidRPr="00846470" w:rsidRDefault="00815129" w:rsidP="002476A6">
            <w:pPr>
              <w:adjustRightInd w:val="0"/>
              <w:spacing w:before="120" w:after="160"/>
              <w:outlineLvl w:val="0"/>
              <w:rPr>
                <w:rFonts w:ascii="Arial" w:hAnsi="Arial" w:cs="Arial"/>
                <w:sz w:val="22"/>
                <w:szCs w:val="22"/>
                <w:lang w:val="en-US"/>
              </w:rPr>
            </w:pPr>
          </w:p>
        </w:tc>
      </w:tr>
    </w:tbl>
    <w:p w14:paraId="16950C17" w14:textId="77777777" w:rsidR="00F74286" w:rsidRPr="00846470" w:rsidRDefault="00F74286" w:rsidP="00413F5C">
      <w:pPr>
        <w:pStyle w:val="COMTitleDecision"/>
        <w:ind w:left="0"/>
      </w:pPr>
    </w:p>
    <w:p w14:paraId="11A954AE" w14:textId="77777777" w:rsidR="00F74286" w:rsidRPr="00846470" w:rsidRDefault="00F74286">
      <w:pPr>
        <w:rPr>
          <w:rFonts w:ascii="Arial" w:hAnsi="Arial" w:cs="Arial"/>
          <w:b/>
          <w:sz w:val="22"/>
          <w:szCs w:val="22"/>
          <w:lang w:val="en-GB"/>
        </w:rPr>
      </w:pPr>
      <w:r w:rsidRPr="00846470">
        <w:br w:type="page"/>
      </w:r>
    </w:p>
    <w:p w14:paraId="16547640" w14:textId="11773607" w:rsidR="00815129" w:rsidRPr="00846470" w:rsidRDefault="00FE4E9D" w:rsidP="000E5943">
      <w:pPr>
        <w:pStyle w:val="COMTitleDecision"/>
        <w:ind w:left="0"/>
      </w:pPr>
      <w:r w:rsidRPr="00846470">
        <w:lastRenderedPageBreak/>
        <w:t>DECISION 17.COM 1.BUR 3</w:t>
      </w:r>
      <w:bookmarkStart w:id="0" w:name="_Hlk70614833"/>
      <w:bookmarkStart w:id="1" w:name="_Hlk53501546"/>
      <w:r w:rsidR="00815129" w:rsidRPr="00846470">
        <w:tab/>
      </w:r>
      <w:bookmarkEnd w:id="0"/>
      <w:bookmarkEnd w:id="1"/>
    </w:p>
    <w:p w14:paraId="41493C82" w14:textId="77777777" w:rsidR="00815129" w:rsidRPr="00846470" w:rsidRDefault="00815129" w:rsidP="000E5943">
      <w:pPr>
        <w:keepNext/>
        <w:spacing w:before="120" w:after="120"/>
        <w:ind w:left="567" w:hanging="567"/>
        <w:jc w:val="both"/>
        <w:rPr>
          <w:rFonts w:ascii="Arial" w:hAnsi="Arial" w:cs="Arial"/>
          <w:sz w:val="22"/>
          <w:szCs w:val="22"/>
          <w:lang w:val="en-GB"/>
        </w:rPr>
      </w:pPr>
      <w:r w:rsidRPr="00846470">
        <w:rPr>
          <w:rFonts w:ascii="Arial" w:hAnsi="Arial" w:cs="Arial"/>
          <w:sz w:val="22"/>
          <w:szCs w:val="22"/>
          <w:lang w:val="en-GB"/>
        </w:rPr>
        <w:t>The Bureau,</w:t>
      </w:r>
    </w:p>
    <w:p w14:paraId="31A3171A"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Recalling</w:t>
      </w:r>
      <w:r w:rsidRPr="00846470">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14:paraId="6D46004F" w14:textId="77777777" w:rsidR="00815129" w:rsidRPr="00846470" w:rsidRDefault="00815129" w:rsidP="000E5943">
      <w:pPr>
        <w:pStyle w:val="Paragraphedeliste"/>
        <w:keepNext/>
        <w:keepLines/>
        <w:widowControl w:val="0"/>
        <w:numPr>
          <w:ilvl w:val="0"/>
          <w:numId w:val="15"/>
        </w:numPr>
        <w:spacing w:before="120" w:after="120"/>
        <w:ind w:left="557" w:hanging="562"/>
        <w:contextualSpacing w:val="0"/>
        <w:jc w:val="both"/>
        <w:rPr>
          <w:rFonts w:ascii="Arial" w:hAnsi="Arial" w:cs="Arial"/>
          <w:sz w:val="22"/>
          <w:szCs w:val="22"/>
          <w:lang w:val="en-US"/>
        </w:rPr>
      </w:pPr>
      <w:r w:rsidRPr="00846470">
        <w:rPr>
          <w:rFonts w:ascii="Arial" w:hAnsi="Arial" w:cs="Arial"/>
          <w:sz w:val="22"/>
          <w:szCs w:val="22"/>
          <w:u w:val="single"/>
          <w:lang w:val="en-US"/>
        </w:rPr>
        <w:t>Having examined</w:t>
      </w:r>
      <w:r w:rsidRPr="00846470">
        <w:rPr>
          <w:rFonts w:ascii="Arial" w:hAnsi="Arial" w:cs="Arial"/>
          <w:sz w:val="22"/>
          <w:szCs w:val="22"/>
          <w:lang w:val="en-US"/>
        </w:rPr>
        <w:t xml:space="preserve"> document LHE/22/17.COM 1.BUR/3 as well as International Assistance request no. 01926 submitted by Colombia,</w:t>
      </w:r>
    </w:p>
    <w:p w14:paraId="168F7DF8" w14:textId="19946727" w:rsidR="00815129" w:rsidRPr="00846470" w:rsidRDefault="00815129" w:rsidP="000E5943">
      <w:pPr>
        <w:pStyle w:val="Paragraphedeliste"/>
        <w:widowControl w:val="0"/>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Takes note</w:t>
      </w:r>
      <w:r w:rsidRPr="00846470">
        <w:rPr>
          <w:rFonts w:ascii="Arial" w:hAnsi="Arial" w:cs="Arial"/>
          <w:sz w:val="22"/>
          <w:szCs w:val="22"/>
          <w:lang w:val="en-US"/>
        </w:rPr>
        <w:t xml:space="preserve"> that Colombia has requested International Assistance for the project entitled </w:t>
      </w:r>
      <w:r w:rsidRPr="00846470">
        <w:rPr>
          <w:rFonts w:ascii="Arial" w:hAnsi="Arial" w:cs="Arial"/>
          <w:b/>
          <w:sz w:val="22"/>
          <w:szCs w:val="22"/>
          <w:lang w:val="en-US"/>
        </w:rPr>
        <w:t xml:space="preserve">Between the Amazon and the Andes: safeguarding and transmission of the Traditional knowledge and techniques associated with Pasto Varnish </w:t>
      </w:r>
      <w:proofErr w:type="spellStart"/>
      <w:r w:rsidRPr="00846470">
        <w:rPr>
          <w:rFonts w:ascii="Arial" w:hAnsi="Arial" w:cs="Arial"/>
          <w:b/>
          <w:sz w:val="22"/>
          <w:szCs w:val="22"/>
          <w:lang w:val="en-US"/>
        </w:rPr>
        <w:t>mopa-mopa</w:t>
      </w:r>
      <w:proofErr w:type="spellEnd"/>
      <w:r w:rsidRPr="00846470">
        <w:rPr>
          <w:rFonts w:ascii="Arial" w:hAnsi="Arial" w:cs="Arial"/>
          <w:b/>
          <w:sz w:val="22"/>
          <w:szCs w:val="22"/>
          <w:lang w:val="en-US"/>
        </w:rPr>
        <w:t xml:space="preserve"> of the Putumayo and Nariño departments of Colombia</w:t>
      </w:r>
      <w:r w:rsidRPr="00846470">
        <w:rPr>
          <w:rFonts w:ascii="Arial" w:hAnsi="Arial" w:cs="Arial"/>
          <w:bCs/>
          <w:sz w:val="22"/>
          <w:szCs w:val="22"/>
          <w:lang w:val="en-US"/>
        </w:rPr>
        <w:t>:</w:t>
      </w:r>
    </w:p>
    <w:p w14:paraId="19E04094" w14:textId="77777777" w:rsidR="00815129" w:rsidRPr="00846470" w:rsidRDefault="00815129" w:rsidP="000E5943">
      <w:pPr>
        <w:pStyle w:val="Paragraphedeliste"/>
        <w:widowControl w:val="0"/>
        <w:spacing w:before="120" w:after="120"/>
        <w:ind w:left="567"/>
        <w:contextualSpacing w:val="0"/>
        <w:jc w:val="both"/>
        <w:rPr>
          <w:rFonts w:ascii="Arial" w:hAnsi="Arial" w:cs="Arial"/>
          <w:sz w:val="22"/>
          <w:szCs w:val="22"/>
          <w:lang w:val="en-US"/>
        </w:rPr>
      </w:pPr>
      <w:r w:rsidRPr="00846470">
        <w:rPr>
          <w:rFonts w:ascii="Arial" w:hAnsi="Arial" w:cs="Arial"/>
          <w:sz w:val="22"/>
          <w:szCs w:val="22"/>
          <w:lang w:val="en-US"/>
        </w:rPr>
        <w:t xml:space="preserve">To be implemented by the Mundo </w:t>
      </w:r>
      <w:proofErr w:type="spellStart"/>
      <w:r w:rsidRPr="00846470">
        <w:rPr>
          <w:rFonts w:ascii="Arial" w:hAnsi="Arial" w:cs="Arial"/>
          <w:sz w:val="22"/>
          <w:szCs w:val="22"/>
          <w:lang w:val="en-US"/>
        </w:rPr>
        <w:t>Espiral</w:t>
      </w:r>
      <w:proofErr w:type="spellEnd"/>
      <w:r w:rsidRPr="00846470">
        <w:rPr>
          <w:rFonts w:ascii="Arial" w:hAnsi="Arial" w:cs="Arial"/>
          <w:sz w:val="22"/>
          <w:szCs w:val="22"/>
          <w:lang w:val="en-US"/>
        </w:rPr>
        <w:t xml:space="preserve"> Foundation, this twenty-month project is geared at enhancing capacities and conditions for learning and transmission of the ‘Traditional knowledge and techniques associated with Pasto Varnish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xml:space="preserve"> of Putumayo and Nariño’, an element inscribed on the List of Intangible Cultural Heritage in Need of Urgent Safeguarding in 2020. The project seeks to support initiatives led by the practitioners (harvesters, woodworkers, varnishers) to guarantee the future safeguarding of the element. The project will develop four main activities: (a) capacity building training for trainers targeting fifty-five practitioners; (b) a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in which each practitioner will work alongside an apprentice in a one-to-one learning environment; (c) documentation of the life and work of the Pasto Varnish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xml:space="preserve"> practitioners, which will result in a publication and visual documentary; and (d) awareness-raising initiatives targeting youth apprentices, the communities of Nariño and Putumayo and key stakeholders, such as the private sector, local public entities and local non-governmental organizations. The project will culminate in an event focused on the two communities and a stakeholder roundtable to reflect on future opportunities and initiatives to contribute to the safeguarding and viability of the element. The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will also contribute to the ‘Safeguarding strategy of traditional crafts for peace building’,</w:t>
      </w:r>
      <w:r w:rsidRPr="00846470">
        <w:rPr>
          <w:lang w:val="en-US"/>
        </w:rPr>
        <w:t xml:space="preserve"> </w:t>
      </w:r>
      <w:r w:rsidRPr="00846470">
        <w:rPr>
          <w:rFonts w:ascii="Arial" w:hAnsi="Arial" w:cs="Arial"/>
          <w:sz w:val="22"/>
          <w:szCs w:val="22"/>
          <w:lang w:val="en-US"/>
        </w:rPr>
        <w:t>selected on the Register of Good Safeguarding Practices in 2019.</w:t>
      </w:r>
    </w:p>
    <w:p w14:paraId="4B1A2B0E"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Further takes note</w:t>
      </w:r>
      <w:r w:rsidRPr="00846470">
        <w:rPr>
          <w:rFonts w:ascii="Arial" w:hAnsi="Arial" w:cs="Arial"/>
          <w:sz w:val="22"/>
          <w:szCs w:val="22"/>
          <w:lang w:val="en-US"/>
        </w:rPr>
        <w:t xml:space="preserve"> that this assistance</w:t>
      </w:r>
      <w:r w:rsidRPr="00846470">
        <w:rPr>
          <w:lang w:val="en-US"/>
        </w:rPr>
        <w:t xml:space="preserve"> </w:t>
      </w:r>
      <w:r w:rsidRPr="00846470">
        <w:rPr>
          <w:rFonts w:ascii="Arial" w:hAnsi="Arial" w:cs="Arial"/>
          <w:sz w:val="22"/>
          <w:szCs w:val="22"/>
          <w:lang w:val="en-US"/>
        </w:rPr>
        <w:t>aims to support a project implemented at the national level, in accordance with</w:t>
      </w:r>
      <w:r w:rsidRPr="00846470">
        <w:rPr>
          <w:rFonts w:ascii="Arial" w:eastAsia="Malgun Gothic" w:hAnsi="Arial" w:cs="Arial"/>
          <w:sz w:val="22"/>
          <w:szCs w:val="22"/>
          <w:lang w:val="en-US" w:eastAsia="ko-KR"/>
        </w:rPr>
        <w:t xml:space="preserve"> </w:t>
      </w:r>
      <w:r w:rsidRPr="00846470">
        <w:rPr>
          <w:rFonts w:ascii="Arial" w:hAnsi="Arial" w:cs="Arial"/>
          <w:sz w:val="22"/>
          <w:szCs w:val="22"/>
          <w:lang w:val="en-US"/>
        </w:rPr>
        <w:t>Article 20 (c)</w:t>
      </w:r>
      <w:r w:rsidRPr="00846470">
        <w:rPr>
          <w:lang w:val="en-US"/>
        </w:rPr>
        <w:t xml:space="preserve"> </w:t>
      </w:r>
      <w:r w:rsidRPr="00846470">
        <w:rPr>
          <w:rFonts w:ascii="Arial" w:hAnsi="Arial" w:cs="Arial"/>
          <w:sz w:val="22"/>
          <w:szCs w:val="22"/>
          <w:lang w:val="en-US"/>
        </w:rPr>
        <w:t xml:space="preserve">of the Convention, and that it takes the form of the </w:t>
      </w:r>
      <w:r w:rsidRPr="00846470">
        <w:rPr>
          <w:rFonts w:ascii="Arial" w:hAnsi="Arial" w:cs="Arial"/>
          <w:b/>
          <w:sz w:val="22"/>
          <w:szCs w:val="22"/>
          <w:lang w:val="en-US"/>
        </w:rPr>
        <w:t>provision of a grant</w:t>
      </w:r>
      <w:r w:rsidRPr="00846470">
        <w:rPr>
          <w:rFonts w:ascii="Arial" w:hAnsi="Arial" w:cs="Arial"/>
          <w:sz w:val="22"/>
          <w:szCs w:val="22"/>
          <w:lang w:val="en-US"/>
        </w:rPr>
        <w:t xml:space="preserve">, pursuant to Article 21 (g) of the </w:t>
      </w:r>
      <w:proofErr w:type="gramStart"/>
      <w:r w:rsidRPr="00846470">
        <w:rPr>
          <w:rFonts w:ascii="Arial" w:hAnsi="Arial" w:cs="Arial"/>
          <w:sz w:val="22"/>
          <w:szCs w:val="22"/>
          <w:lang w:val="en-US"/>
        </w:rPr>
        <w:t>Convention;</w:t>
      </w:r>
      <w:proofErr w:type="gramEnd"/>
    </w:p>
    <w:p w14:paraId="45F2A841"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Also takes note</w:t>
      </w:r>
      <w:r w:rsidRPr="00846470">
        <w:rPr>
          <w:rFonts w:ascii="Arial" w:hAnsi="Arial" w:cs="Arial"/>
          <w:sz w:val="22"/>
          <w:szCs w:val="22"/>
          <w:lang w:val="en-US"/>
        </w:rPr>
        <w:t xml:space="preserve"> that Colombia has requested assistance in the amount of US$98,925 from the Intangible Cultural Heritage Fund for the implementation of this </w:t>
      </w:r>
      <w:proofErr w:type="gramStart"/>
      <w:r w:rsidRPr="00846470">
        <w:rPr>
          <w:rFonts w:ascii="Arial" w:hAnsi="Arial" w:cs="Arial"/>
          <w:sz w:val="22"/>
          <w:szCs w:val="22"/>
          <w:lang w:val="en-US"/>
        </w:rPr>
        <w:t>project;</w:t>
      </w:r>
      <w:proofErr w:type="gramEnd"/>
    </w:p>
    <w:p w14:paraId="092D9C3C"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Decides</w:t>
      </w:r>
      <w:r w:rsidRPr="00846470">
        <w:rPr>
          <w:rFonts w:ascii="Arial" w:hAnsi="Arial" w:cs="Arial"/>
          <w:sz w:val="22"/>
          <w:szCs w:val="22"/>
          <w:lang w:val="en-US"/>
        </w:rPr>
        <w:t xml:space="preserve"> that, from the information provided in file no. 01926, the request responds as follows to the criteria for granting International Assistance given in paragraphs 10 and 12 of the Operational Directives:</w:t>
      </w:r>
    </w:p>
    <w:p w14:paraId="35CF5C60" w14:textId="77777777" w:rsidR="00815129" w:rsidRPr="00846470" w:rsidRDefault="00815129" w:rsidP="000E5943">
      <w:pPr>
        <w:pStyle w:val="Marge"/>
        <w:spacing w:before="120" w:after="120"/>
        <w:ind w:left="567"/>
        <w:rPr>
          <w:szCs w:val="22"/>
          <w:lang w:val="en-US"/>
        </w:rPr>
      </w:pPr>
      <w:r w:rsidRPr="00846470">
        <w:rPr>
          <w:b/>
          <w:szCs w:val="22"/>
          <w:lang w:val="en-US"/>
        </w:rPr>
        <w:t>Criterion A.1</w:t>
      </w:r>
      <w:r w:rsidRPr="00846470">
        <w:rPr>
          <w:szCs w:val="22"/>
          <w:lang w:val="en-US"/>
        </w:rPr>
        <w:t xml:space="preserve">: The project concerns the communities associated with Pasto Varnish </w:t>
      </w:r>
      <w:proofErr w:type="spellStart"/>
      <w:r w:rsidRPr="00846470">
        <w:rPr>
          <w:szCs w:val="22"/>
          <w:lang w:val="en-US"/>
        </w:rPr>
        <w:t>mopa-mopa</w:t>
      </w:r>
      <w:proofErr w:type="spellEnd"/>
      <w:r w:rsidRPr="00846470">
        <w:rPr>
          <w:szCs w:val="22"/>
          <w:lang w:val="en-US"/>
        </w:rPr>
        <w:t xml:space="preserve"> of Putumayo and Nariño. The main beneficiaries of the project are the practitioners and artisans of these traditional practices (harvesters, carpenters, </w:t>
      </w:r>
      <w:proofErr w:type="gramStart"/>
      <w:r w:rsidRPr="00846470">
        <w:rPr>
          <w:szCs w:val="22"/>
          <w:lang w:val="en-US"/>
        </w:rPr>
        <w:t>carvers</w:t>
      </w:r>
      <w:proofErr w:type="gramEnd"/>
      <w:r w:rsidRPr="00846470">
        <w:rPr>
          <w:szCs w:val="22"/>
          <w:lang w:val="en-US"/>
        </w:rPr>
        <w:t xml:space="preserve"> and varnishers) as well as future apprentices. The practitioners collaborated with the proposed implementing agency and the Ministry of Culture in the elaboration of the request. Specifically, they participated in three meetings aimed at identifying the risks and gaps that cause the element to </w:t>
      </w:r>
      <w:proofErr w:type="gramStart"/>
      <w:r w:rsidRPr="00846470">
        <w:rPr>
          <w:szCs w:val="22"/>
          <w:lang w:val="en-US"/>
        </w:rPr>
        <w:t>be in need of</w:t>
      </w:r>
      <w:proofErr w:type="gramEnd"/>
      <w:r w:rsidRPr="00846470">
        <w:rPr>
          <w:szCs w:val="22"/>
          <w:lang w:val="en-US"/>
        </w:rPr>
        <w:t xml:space="preserve"> urgent safeguarding. The project emphasizes the central and active role of the communities throughout its implementation, from planning to monitoring and follow-up.</w:t>
      </w:r>
    </w:p>
    <w:p w14:paraId="6F1799A7" w14:textId="77777777" w:rsidR="00815129" w:rsidRPr="00846470"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sz w:val="22"/>
          <w:szCs w:val="22"/>
          <w:lang w:val="en-US"/>
        </w:rPr>
        <w:t>Criterion A.2</w:t>
      </w:r>
      <w:r w:rsidRPr="00846470">
        <w:rPr>
          <w:rFonts w:ascii="Arial" w:hAnsi="Arial" w:cs="Arial"/>
          <w:sz w:val="22"/>
          <w:szCs w:val="22"/>
          <w:lang w:val="en-US"/>
        </w:rPr>
        <w:t>: The budget is presented in a structured manner, corresponds to the planned activities and is consistent with the timeframe. However, more detailed information could have been provided for certain items of expenditure, such as those related to documentation (Activity 4) and dissemination and awareness-raising (Activity 5).</w:t>
      </w:r>
    </w:p>
    <w:p w14:paraId="776E8025" w14:textId="77777777" w:rsidR="00815129" w:rsidRPr="00846470" w:rsidRDefault="00815129" w:rsidP="000E5943">
      <w:pPr>
        <w:rPr>
          <w:rFonts w:ascii="Arial" w:hAnsi="Arial" w:cs="Arial"/>
          <w:sz w:val="22"/>
          <w:szCs w:val="22"/>
          <w:lang w:val="en-US"/>
        </w:rPr>
      </w:pPr>
      <w:r w:rsidRPr="00846470">
        <w:rPr>
          <w:rFonts w:ascii="Arial" w:hAnsi="Arial" w:cs="Arial"/>
          <w:sz w:val="22"/>
          <w:szCs w:val="22"/>
          <w:lang w:val="en-US"/>
        </w:rPr>
        <w:br w:type="page"/>
      </w:r>
    </w:p>
    <w:p w14:paraId="6536FB9B" w14:textId="77777777" w:rsidR="00815129" w:rsidRPr="00846470" w:rsidRDefault="00815129" w:rsidP="000E5943">
      <w:pPr>
        <w:spacing w:before="120" w:after="120"/>
        <w:ind w:left="567"/>
        <w:jc w:val="both"/>
        <w:rPr>
          <w:rFonts w:ascii="Arial" w:hAnsi="Arial" w:cs="Arial"/>
          <w:sz w:val="22"/>
          <w:szCs w:val="22"/>
          <w:lang w:val="en-US"/>
        </w:rPr>
      </w:pPr>
      <w:r w:rsidRPr="00846470">
        <w:rPr>
          <w:rFonts w:ascii="Arial" w:hAnsi="Arial" w:cs="Arial"/>
          <w:b/>
          <w:sz w:val="22"/>
          <w:szCs w:val="22"/>
          <w:lang w:val="en-US"/>
        </w:rPr>
        <w:lastRenderedPageBreak/>
        <w:t>Criterion A.3</w:t>
      </w:r>
      <w:r w:rsidRPr="00846470">
        <w:rPr>
          <w:rFonts w:ascii="Arial" w:hAnsi="Arial" w:cs="Arial"/>
          <w:sz w:val="22"/>
          <w:szCs w:val="22"/>
          <w:lang w:val="en-US"/>
        </w:rPr>
        <w:t>: The proposed activities are coherent and well-planned in terms of the objectives and expected results of the project. The project is structured around four main components: capacity building, documentation, awareness-</w:t>
      </w:r>
      <w:proofErr w:type="gramStart"/>
      <w:r w:rsidRPr="00846470">
        <w:rPr>
          <w:rFonts w:ascii="Arial" w:hAnsi="Arial" w:cs="Arial"/>
          <w:sz w:val="22"/>
          <w:szCs w:val="22"/>
          <w:lang w:val="en-US"/>
        </w:rPr>
        <w:t>raising</w:t>
      </w:r>
      <w:proofErr w:type="gramEnd"/>
      <w:r w:rsidRPr="00846470">
        <w:rPr>
          <w:rFonts w:ascii="Arial" w:hAnsi="Arial" w:cs="Arial"/>
          <w:sz w:val="22"/>
          <w:szCs w:val="22"/>
          <w:lang w:val="en-US"/>
        </w:rPr>
        <w:t xml:space="preserve"> and networking opportunities. The project will conclude with a stakeholder roundtable gathering practitioners, the private and public </w:t>
      </w:r>
      <w:proofErr w:type="gramStart"/>
      <w:r w:rsidRPr="00846470">
        <w:rPr>
          <w:rFonts w:ascii="Arial" w:hAnsi="Arial" w:cs="Arial"/>
          <w:sz w:val="22"/>
          <w:szCs w:val="22"/>
          <w:lang w:val="en-US"/>
        </w:rPr>
        <w:t>sectors</w:t>
      </w:r>
      <w:proofErr w:type="gramEnd"/>
      <w:r w:rsidRPr="00846470">
        <w:rPr>
          <w:rFonts w:ascii="Arial" w:hAnsi="Arial" w:cs="Arial"/>
          <w:sz w:val="22"/>
          <w:szCs w:val="22"/>
          <w:lang w:val="en-US"/>
        </w:rPr>
        <w:t xml:space="preserve"> and local non-governmental organizations to develop joint initiatives and work opportunities that could contribute to the safeguarding and viability of the traditional knowledge and techniques associated with Pasto Varnish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Furthermore, the sequence of the proposed activities is logical, and the proposed timeframe seems to be realistic for achieving the expected results of the project.</w:t>
      </w:r>
    </w:p>
    <w:p w14:paraId="095F665E" w14:textId="77777777" w:rsidR="00815129" w:rsidRPr="00846470"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sz w:val="22"/>
          <w:szCs w:val="22"/>
          <w:lang w:val="en-US"/>
        </w:rPr>
        <w:t>Criterion A.4</w:t>
      </w:r>
      <w:r w:rsidRPr="00846470">
        <w:rPr>
          <w:rFonts w:ascii="Arial" w:hAnsi="Arial" w:cs="Arial"/>
          <w:sz w:val="22"/>
          <w:szCs w:val="22"/>
          <w:lang w:val="en-US"/>
        </w:rPr>
        <w:t xml:space="preserve">: The project is expected to strengthen the capacities of practitioners, who will then be able to share and disseminate their traditional knowledge and skills to members of the community, </w:t>
      </w:r>
      <w:proofErr w:type="gramStart"/>
      <w:r w:rsidRPr="00846470">
        <w:rPr>
          <w:rFonts w:ascii="Arial" w:hAnsi="Arial" w:cs="Arial"/>
          <w:sz w:val="22"/>
          <w:szCs w:val="22"/>
          <w:lang w:val="en-US"/>
        </w:rPr>
        <w:t>in particular to</w:t>
      </w:r>
      <w:proofErr w:type="gramEnd"/>
      <w:r w:rsidRPr="00846470">
        <w:rPr>
          <w:rFonts w:ascii="Arial" w:hAnsi="Arial" w:cs="Arial"/>
          <w:sz w:val="22"/>
          <w:szCs w:val="22"/>
          <w:lang w:val="en-US"/>
        </w:rPr>
        <w:t xml:space="preserve"> apprentices and other artisans. The production of audiovisual materials would promote the results of the project and thus raise awareness among civil society, </w:t>
      </w:r>
      <w:proofErr w:type="gramStart"/>
      <w:r w:rsidRPr="00846470">
        <w:rPr>
          <w:rFonts w:ascii="Arial" w:hAnsi="Arial" w:cs="Arial"/>
          <w:sz w:val="22"/>
          <w:szCs w:val="22"/>
          <w:lang w:val="en-US"/>
        </w:rPr>
        <w:t>youth</w:t>
      </w:r>
      <w:proofErr w:type="gramEnd"/>
      <w:r w:rsidRPr="00846470">
        <w:rPr>
          <w:rFonts w:ascii="Arial" w:hAnsi="Arial" w:cs="Arial"/>
          <w:sz w:val="22"/>
          <w:szCs w:val="22"/>
          <w:lang w:val="en-US"/>
        </w:rPr>
        <w:t xml:space="preserve"> and different stakeholders about the importance of safeguarding intangible cultural heritage. The project would also contribute to the viability of these practices and to the transmission of knowledge to other members of the community. The element ‘Traditional knowledge and techniques associated with Pasto Varnish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xml:space="preserve"> of Putumayo and Nariño’ is inscribed on the List of Intangible Cultural Heritage in Need of Urgent Safeguarding, and this project will contribute to the element’s safeguarding plan. However, the sustainability of the project depends on the approach taken to maintain its achievements. Therefore, it is important to ensure that the knowledge and skills transmitted during the project continue to be transmitted after its completion. To this end, it is recommended that the submitting State Party define mechanisms to continue </w:t>
      </w:r>
      <w:bookmarkStart w:id="2" w:name="_Hlk94713570"/>
      <w:r w:rsidRPr="00846470">
        <w:rPr>
          <w:rFonts w:ascii="Arial" w:hAnsi="Arial" w:cs="Arial"/>
          <w:sz w:val="22"/>
          <w:szCs w:val="22"/>
          <w:lang w:val="en-US"/>
        </w:rPr>
        <w:t xml:space="preserve">the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w:t>
      </w:r>
      <w:bookmarkEnd w:id="2"/>
      <w:r w:rsidRPr="00846470">
        <w:rPr>
          <w:rFonts w:ascii="Arial" w:hAnsi="Arial" w:cs="Arial"/>
          <w:sz w:val="22"/>
          <w:szCs w:val="22"/>
          <w:lang w:val="en-US"/>
        </w:rPr>
        <w:t>and identify funding to cover the costs.</w:t>
      </w:r>
    </w:p>
    <w:p w14:paraId="2BE6DDB2" w14:textId="77777777" w:rsidR="00815129" w:rsidRPr="00846470"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sz w:val="22"/>
          <w:szCs w:val="22"/>
          <w:lang w:val="en-US"/>
        </w:rPr>
        <w:t>Criterion A.5</w:t>
      </w:r>
      <w:r w:rsidRPr="00846470">
        <w:rPr>
          <w:rFonts w:ascii="Arial" w:hAnsi="Arial" w:cs="Arial"/>
          <w:sz w:val="22"/>
          <w:szCs w:val="22"/>
          <w:lang w:val="en-US"/>
        </w:rPr>
        <w:t>: The submitting State Party will contribute 34 per cent and other partners will contribute a further 2 per cent of the total amount of the project for which International Assistance is requested from the Intangible Cultural Heritage Fund.</w:t>
      </w:r>
    </w:p>
    <w:p w14:paraId="52D3BC52" w14:textId="79C3AA6A" w:rsidR="00815129" w:rsidRPr="00846470"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sz w:val="22"/>
          <w:szCs w:val="22"/>
          <w:lang w:val="en-US"/>
        </w:rPr>
        <w:t>Criterion A.6</w:t>
      </w:r>
      <w:r w:rsidRPr="00846470">
        <w:rPr>
          <w:rFonts w:ascii="Arial" w:hAnsi="Arial" w:cs="Arial"/>
          <w:sz w:val="22"/>
          <w:szCs w:val="22"/>
          <w:lang w:val="en-US"/>
        </w:rPr>
        <w:t xml:space="preserve">: The project focuses on building the capacity of the communities to strengthen the viability of the traditional knowledge and techniques associated with Pasto Varnish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xml:space="preserve"> </w:t>
      </w:r>
      <w:proofErr w:type="gramStart"/>
      <w:r w:rsidRPr="00846470">
        <w:rPr>
          <w:rFonts w:ascii="Arial" w:hAnsi="Arial" w:cs="Arial"/>
          <w:sz w:val="22"/>
          <w:szCs w:val="22"/>
          <w:lang w:val="en-US"/>
        </w:rPr>
        <w:t>in order to</w:t>
      </w:r>
      <w:proofErr w:type="gramEnd"/>
      <w:r w:rsidRPr="00846470">
        <w:rPr>
          <w:rFonts w:ascii="Arial" w:hAnsi="Arial" w:cs="Arial"/>
          <w:sz w:val="22"/>
          <w:szCs w:val="22"/>
          <w:lang w:val="en-US"/>
        </w:rPr>
        <w:t xml:space="preserve"> transmit them to future generations. During the two training of </w:t>
      </w:r>
      <w:proofErr w:type="gramStart"/>
      <w:r w:rsidRPr="00846470">
        <w:rPr>
          <w:rFonts w:ascii="Arial" w:hAnsi="Arial" w:cs="Arial"/>
          <w:sz w:val="22"/>
          <w:szCs w:val="22"/>
          <w:lang w:val="en-US"/>
        </w:rPr>
        <w:t>trainers</w:t>
      </w:r>
      <w:proofErr w:type="gramEnd"/>
      <w:r w:rsidRPr="00846470">
        <w:rPr>
          <w:rFonts w:ascii="Arial" w:hAnsi="Arial" w:cs="Arial"/>
          <w:sz w:val="22"/>
          <w:szCs w:val="22"/>
          <w:lang w:val="en-US"/>
        </w:rPr>
        <w:t xml:space="preserve"> workshops, fifty-five practitioners and artisans will contribute to the conception of the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in their areas of expertise: varnishing techniques, woodworking skills and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 xml:space="preserve"> bud harvesting. The workshops will also aim to develop an educational certification for the crafts related to this element. The project foresees that the trained practitioners will subsequently train apprentices and pass on their skills and knowledge in a 100-hour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In addition, the various training sessions will be recorded to document the knowledge and techniques associated with </w:t>
      </w:r>
      <w:proofErr w:type="spellStart"/>
      <w:r w:rsidRPr="00846470">
        <w:rPr>
          <w:rFonts w:ascii="Arial" w:hAnsi="Arial" w:cs="Arial"/>
          <w:sz w:val="22"/>
          <w:szCs w:val="22"/>
          <w:lang w:val="en-US"/>
        </w:rPr>
        <w:t>mopa-mopa</w:t>
      </w:r>
      <w:proofErr w:type="spellEnd"/>
      <w:r w:rsidRPr="00846470">
        <w:rPr>
          <w:rFonts w:ascii="Arial" w:hAnsi="Arial" w:cs="Arial"/>
          <w:sz w:val="22"/>
          <w:szCs w:val="22"/>
          <w:lang w:val="en-US"/>
        </w:rPr>
        <w:t>.</w:t>
      </w:r>
    </w:p>
    <w:p w14:paraId="1FEC7AA5" w14:textId="77777777" w:rsidR="00815129" w:rsidRPr="00846470" w:rsidRDefault="00815129" w:rsidP="000E5943">
      <w:pPr>
        <w:pStyle w:val="Paragraphedeliste"/>
        <w:spacing w:before="120" w:after="120"/>
        <w:ind w:left="567"/>
        <w:contextualSpacing w:val="0"/>
        <w:jc w:val="both"/>
        <w:rPr>
          <w:rFonts w:ascii="Arial" w:hAnsi="Arial" w:cs="Arial"/>
          <w:sz w:val="22"/>
          <w:szCs w:val="22"/>
          <w:shd w:val="clear" w:color="auto" w:fill="FFFFFF"/>
          <w:lang w:val="en-US"/>
        </w:rPr>
      </w:pPr>
      <w:r w:rsidRPr="00846470">
        <w:rPr>
          <w:rFonts w:ascii="Arial" w:hAnsi="Arial" w:cs="Arial"/>
          <w:b/>
          <w:sz w:val="22"/>
          <w:szCs w:val="22"/>
          <w:lang w:val="en-US"/>
        </w:rPr>
        <w:t>Criterion A.7</w:t>
      </w:r>
      <w:r w:rsidRPr="00846470">
        <w:rPr>
          <w:rFonts w:ascii="Arial" w:hAnsi="Arial" w:cs="Arial"/>
          <w:sz w:val="22"/>
          <w:szCs w:val="22"/>
          <w:lang w:val="en-US"/>
        </w:rPr>
        <w:t xml:space="preserve">: Colombia has benefited from International Assistance from the Intangible Cultural Heritage Fund for three completed projects: (a) ‘Intangible cultural heritage as a basis for resilience, reconciliation and construction of peace environments in Colombia’s post-agreements’ (file no. 01522, 2018–2020, US$99,400); (b) ‘My Heritage, My Region: strategy for capacity-building in social management of the intangible cultural heritage in two departments of the Colombian Orinoco region’ (file no. 01518, 2019–2020, US$99,950); and (c) ‘Safeguarding of the traditional knowledge for the protection of sacred natural sites in the territory of the Jaguars of </w:t>
      </w:r>
      <w:proofErr w:type="spellStart"/>
      <w:r w:rsidRPr="00846470">
        <w:rPr>
          <w:rFonts w:ascii="Arial" w:hAnsi="Arial" w:cs="Arial"/>
          <w:sz w:val="22"/>
          <w:szCs w:val="22"/>
          <w:lang w:val="en-US"/>
        </w:rPr>
        <w:t>Yuruparí</w:t>
      </w:r>
      <w:proofErr w:type="spellEnd"/>
      <w:r w:rsidRPr="00846470">
        <w:rPr>
          <w:rFonts w:ascii="Arial" w:hAnsi="Arial" w:cs="Arial"/>
          <w:sz w:val="22"/>
          <w:szCs w:val="22"/>
          <w:lang w:val="en-US"/>
        </w:rPr>
        <w:t>, Vaupés Province, Colombia’ (file no. 01224, 2017–2018, US$25,000). The work stipulated by the contracts related to these projects was carried out in compliance with UNESCO’s regulations.</w:t>
      </w:r>
    </w:p>
    <w:p w14:paraId="4E29D226" w14:textId="20598964" w:rsidR="00284A05"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sz w:val="22"/>
          <w:szCs w:val="22"/>
          <w:lang w:val="en-US"/>
        </w:rPr>
        <w:t>Paragraph 10(a)</w:t>
      </w:r>
      <w:r w:rsidRPr="00846470">
        <w:rPr>
          <w:rFonts w:ascii="Arial" w:hAnsi="Arial" w:cs="Arial"/>
          <w:sz w:val="22"/>
          <w:szCs w:val="22"/>
          <w:lang w:val="en-US"/>
        </w:rPr>
        <w:t xml:space="preserve">: The project is local in scope and its implementation involves national partners, including the Ministry of Culture, local non-governmental </w:t>
      </w:r>
      <w:proofErr w:type="gramStart"/>
      <w:r w:rsidRPr="00846470">
        <w:rPr>
          <w:rFonts w:ascii="Arial" w:hAnsi="Arial" w:cs="Arial"/>
          <w:sz w:val="22"/>
          <w:szCs w:val="22"/>
          <w:lang w:val="en-US"/>
        </w:rPr>
        <w:t>organizations</w:t>
      </w:r>
      <w:proofErr w:type="gramEnd"/>
      <w:r w:rsidRPr="00846470">
        <w:rPr>
          <w:rFonts w:ascii="Arial" w:hAnsi="Arial" w:cs="Arial"/>
          <w:sz w:val="22"/>
          <w:szCs w:val="22"/>
          <w:lang w:val="en-US"/>
        </w:rPr>
        <w:t xml:space="preserve"> and local authorities.</w:t>
      </w:r>
    </w:p>
    <w:p w14:paraId="25F890D4" w14:textId="77777777" w:rsidR="00284A05" w:rsidRDefault="00284A05">
      <w:pPr>
        <w:rPr>
          <w:rFonts w:ascii="Arial" w:hAnsi="Arial" w:cs="Arial"/>
          <w:sz w:val="22"/>
          <w:szCs w:val="22"/>
          <w:lang w:val="en-US"/>
        </w:rPr>
      </w:pPr>
      <w:r>
        <w:rPr>
          <w:rFonts w:ascii="Arial" w:hAnsi="Arial" w:cs="Arial"/>
          <w:sz w:val="22"/>
          <w:szCs w:val="22"/>
          <w:lang w:val="en-US"/>
        </w:rPr>
        <w:br w:type="page"/>
      </w:r>
    </w:p>
    <w:p w14:paraId="356FDD36" w14:textId="77777777" w:rsidR="00815129" w:rsidRPr="00846470" w:rsidRDefault="00815129" w:rsidP="000E5943">
      <w:pPr>
        <w:pStyle w:val="Paragraphedeliste"/>
        <w:spacing w:before="120" w:after="120"/>
        <w:ind w:left="567"/>
        <w:contextualSpacing w:val="0"/>
        <w:jc w:val="both"/>
        <w:rPr>
          <w:rFonts w:ascii="Arial" w:hAnsi="Arial" w:cs="Arial"/>
          <w:sz w:val="22"/>
          <w:szCs w:val="22"/>
          <w:lang w:val="en-US"/>
        </w:rPr>
      </w:pPr>
      <w:r w:rsidRPr="00846470">
        <w:rPr>
          <w:rFonts w:ascii="Arial" w:hAnsi="Arial" w:cs="Arial"/>
          <w:b/>
          <w:bCs/>
          <w:sz w:val="22"/>
          <w:szCs w:val="22"/>
          <w:lang w:val="en-US"/>
        </w:rPr>
        <w:lastRenderedPageBreak/>
        <w:t>Paragraph 10(b)</w:t>
      </w:r>
      <w:r w:rsidRPr="00846470">
        <w:rPr>
          <w:rFonts w:ascii="Arial" w:hAnsi="Arial" w:cs="Arial"/>
          <w:sz w:val="22"/>
          <w:szCs w:val="22"/>
          <w:lang w:val="en-US"/>
        </w:rPr>
        <w:t xml:space="preserve">: The project’s strength lies in the establishment of a pilot apprenticeship model. This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and the methodology developed, as well as the content of the training workshops, will contribute to the ‘Safeguarding strategy of traditional crafts for peace building’, selected on the Register of Good Safeguarding Practices in 2019. The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could raise interest from the private sector and donors for further funding after the end of the project.</w:t>
      </w:r>
    </w:p>
    <w:p w14:paraId="1F863F8E"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Approves</w:t>
      </w:r>
      <w:r w:rsidRPr="00846470">
        <w:rPr>
          <w:rFonts w:ascii="Arial" w:hAnsi="Arial" w:cs="Arial"/>
          <w:sz w:val="22"/>
          <w:szCs w:val="22"/>
          <w:lang w:val="en-US"/>
        </w:rPr>
        <w:t xml:space="preserve"> the International Assistance request from Colombia for the project entitled </w:t>
      </w:r>
      <w:r w:rsidRPr="00846470">
        <w:rPr>
          <w:rFonts w:ascii="Arial" w:hAnsi="Arial" w:cs="Arial"/>
          <w:b/>
          <w:sz w:val="22"/>
          <w:szCs w:val="22"/>
          <w:lang w:val="en-US"/>
        </w:rPr>
        <w:t xml:space="preserve">Between the Amazon and the Andes: safeguarding and transmission of the Traditional knowledge and techniques associated with Pasto Varnish </w:t>
      </w:r>
      <w:proofErr w:type="spellStart"/>
      <w:r w:rsidRPr="00846470">
        <w:rPr>
          <w:rFonts w:ascii="Arial" w:hAnsi="Arial" w:cs="Arial"/>
          <w:b/>
          <w:sz w:val="22"/>
          <w:szCs w:val="22"/>
          <w:lang w:val="en-US"/>
        </w:rPr>
        <w:t>mopa-mopa</w:t>
      </w:r>
      <w:proofErr w:type="spellEnd"/>
      <w:r w:rsidRPr="00846470">
        <w:rPr>
          <w:rFonts w:ascii="Arial" w:hAnsi="Arial" w:cs="Arial"/>
          <w:b/>
          <w:sz w:val="22"/>
          <w:szCs w:val="22"/>
          <w:lang w:val="en-US"/>
        </w:rPr>
        <w:t xml:space="preserve"> of the Putumayo and Nariño departments of Colombia</w:t>
      </w:r>
      <w:r w:rsidRPr="00846470" w:rsidDel="00A801D7">
        <w:rPr>
          <w:rFonts w:ascii="Arial" w:hAnsi="Arial" w:cs="Arial"/>
          <w:b/>
          <w:sz w:val="22"/>
          <w:szCs w:val="22"/>
          <w:lang w:val="en-US"/>
        </w:rPr>
        <w:t xml:space="preserve"> </w:t>
      </w:r>
      <w:r w:rsidRPr="00846470">
        <w:rPr>
          <w:rFonts w:ascii="Arial" w:hAnsi="Arial" w:cs="Arial"/>
          <w:sz w:val="22"/>
          <w:szCs w:val="22"/>
          <w:lang w:val="en-US"/>
        </w:rPr>
        <w:t xml:space="preserve">and </w:t>
      </w:r>
      <w:r w:rsidRPr="00846470">
        <w:rPr>
          <w:rFonts w:ascii="Arial" w:hAnsi="Arial" w:cs="Arial"/>
          <w:sz w:val="22"/>
          <w:szCs w:val="22"/>
          <w:u w:val="single"/>
          <w:lang w:val="en-US"/>
        </w:rPr>
        <w:t>grants</w:t>
      </w:r>
      <w:r w:rsidRPr="00846470">
        <w:rPr>
          <w:rFonts w:ascii="Arial" w:hAnsi="Arial" w:cs="Arial"/>
          <w:sz w:val="22"/>
          <w:szCs w:val="22"/>
          <w:lang w:val="en-US"/>
        </w:rPr>
        <w:t xml:space="preserve"> the amount of US$98,925 to the State Party for this </w:t>
      </w:r>
      <w:proofErr w:type="gramStart"/>
      <w:r w:rsidRPr="00846470">
        <w:rPr>
          <w:rFonts w:ascii="Arial" w:hAnsi="Arial" w:cs="Arial"/>
          <w:sz w:val="22"/>
          <w:szCs w:val="22"/>
          <w:lang w:val="en-US"/>
        </w:rPr>
        <w:t>purpose;</w:t>
      </w:r>
      <w:proofErr w:type="gramEnd"/>
    </w:p>
    <w:p w14:paraId="7C40E361" w14:textId="51926F46"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Encourages</w:t>
      </w:r>
      <w:r w:rsidRPr="00846470">
        <w:rPr>
          <w:rFonts w:ascii="Arial" w:hAnsi="Arial" w:cs="Arial"/>
          <w:sz w:val="22"/>
          <w:szCs w:val="22"/>
          <w:lang w:val="en-US"/>
        </w:rPr>
        <w:t xml:space="preserve"> the State Party to mobilize additional funds to pursue this pilot apprenticeship </w:t>
      </w:r>
      <w:proofErr w:type="spellStart"/>
      <w:r w:rsidRPr="00846470">
        <w:rPr>
          <w:rFonts w:ascii="Arial" w:hAnsi="Arial" w:cs="Arial"/>
          <w:sz w:val="22"/>
          <w:szCs w:val="22"/>
          <w:lang w:val="en-US"/>
        </w:rPr>
        <w:t>programme</w:t>
      </w:r>
      <w:proofErr w:type="spellEnd"/>
      <w:r w:rsidRPr="00846470">
        <w:rPr>
          <w:rFonts w:ascii="Arial" w:hAnsi="Arial" w:cs="Arial"/>
          <w:sz w:val="22"/>
          <w:szCs w:val="22"/>
          <w:lang w:val="en-US"/>
        </w:rPr>
        <w:t xml:space="preserve"> after the end of the </w:t>
      </w:r>
      <w:proofErr w:type="gramStart"/>
      <w:r w:rsidRPr="00846470">
        <w:rPr>
          <w:rFonts w:ascii="Arial" w:hAnsi="Arial" w:cs="Arial"/>
          <w:sz w:val="22"/>
          <w:szCs w:val="22"/>
          <w:lang w:val="en-US"/>
        </w:rPr>
        <w:t>project;</w:t>
      </w:r>
      <w:proofErr w:type="gramEnd"/>
    </w:p>
    <w:p w14:paraId="605FF44D"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u w:val="single"/>
          <w:lang w:val="en-US"/>
        </w:rPr>
      </w:pPr>
      <w:r w:rsidRPr="00846470">
        <w:rPr>
          <w:rFonts w:ascii="Arial" w:hAnsi="Arial" w:cs="Arial"/>
          <w:sz w:val="22"/>
          <w:szCs w:val="22"/>
          <w:u w:val="single"/>
          <w:lang w:val="en-US"/>
        </w:rPr>
        <w:t>Requests</w:t>
      </w:r>
      <w:r w:rsidRPr="00846470">
        <w:rPr>
          <w:rFonts w:ascii="Arial" w:hAnsi="Arial" w:cs="Arial"/>
          <w:sz w:val="22"/>
          <w:szCs w:val="22"/>
          <w:lang w:val="en-US"/>
        </w:rPr>
        <w:t xml:space="preserve"> that the Secretariat reach an agreement with the State Party on the technical details of the assistance, paying particular attention to ensuring that the budget and work plan of the activities to be covered by the Intangible Cultural Heritage Fund are detailed and specific enough to justify the </w:t>
      </w:r>
      <w:proofErr w:type="gramStart"/>
      <w:r w:rsidRPr="00846470">
        <w:rPr>
          <w:rFonts w:ascii="Arial" w:hAnsi="Arial" w:cs="Arial"/>
          <w:sz w:val="22"/>
          <w:szCs w:val="22"/>
          <w:lang w:val="en-US"/>
        </w:rPr>
        <w:t>expenditures;</w:t>
      </w:r>
      <w:proofErr w:type="gramEnd"/>
    </w:p>
    <w:p w14:paraId="5C2C15BF" w14:textId="77777777" w:rsidR="00815129" w:rsidRPr="00846470" w:rsidRDefault="00815129" w:rsidP="000E5943">
      <w:pPr>
        <w:pStyle w:val="Paragraphedeliste"/>
        <w:numPr>
          <w:ilvl w:val="0"/>
          <w:numId w:val="15"/>
        </w:numPr>
        <w:spacing w:before="120" w:after="120"/>
        <w:ind w:left="567" w:hanging="567"/>
        <w:contextualSpacing w:val="0"/>
        <w:jc w:val="both"/>
        <w:rPr>
          <w:rFonts w:ascii="Arial" w:hAnsi="Arial" w:cs="Arial"/>
          <w:sz w:val="22"/>
          <w:szCs w:val="22"/>
          <w:lang w:val="en-US"/>
        </w:rPr>
      </w:pPr>
      <w:r w:rsidRPr="00846470">
        <w:rPr>
          <w:rFonts w:ascii="Arial" w:hAnsi="Arial" w:cs="Arial"/>
          <w:sz w:val="22"/>
          <w:szCs w:val="22"/>
          <w:u w:val="single"/>
          <w:lang w:val="en-US"/>
        </w:rPr>
        <w:t>Invites</w:t>
      </w:r>
      <w:r w:rsidRPr="00846470">
        <w:rPr>
          <w:rFonts w:ascii="Arial" w:hAnsi="Arial" w:cs="Arial"/>
          <w:sz w:val="22"/>
          <w:szCs w:val="22"/>
          <w:lang w:val="en-US"/>
        </w:rPr>
        <w:t xml:space="preserve"> the State Party to use Form ICH-04-Report to report on the use of the assistance granted.</w:t>
      </w:r>
    </w:p>
    <w:p w14:paraId="6CC6CF1F" w14:textId="24F6D792" w:rsidR="00815129" w:rsidRPr="00846470" w:rsidRDefault="00815129" w:rsidP="006A5038">
      <w:pPr>
        <w:pStyle w:val="COMTitleDecision"/>
        <w:spacing w:before="360"/>
        <w:ind w:left="0"/>
        <w:rPr>
          <w:rFonts w:eastAsia="SimSun"/>
        </w:rPr>
      </w:pPr>
      <w:r w:rsidRPr="00846470">
        <w:t>DECISION 17.COM</w:t>
      </w:r>
      <w:r w:rsidRPr="00846470">
        <w:rPr>
          <w:lang w:val="en-US"/>
        </w:rPr>
        <w:t> </w:t>
      </w:r>
      <w:r w:rsidRPr="00846470">
        <w:t>1.BUR 4</w:t>
      </w:r>
    </w:p>
    <w:p w14:paraId="2204BC85" w14:textId="77777777" w:rsidR="00815129" w:rsidRPr="00846470" w:rsidRDefault="00815129" w:rsidP="000E5943">
      <w:pPr>
        <w:pStyle w:val="COMPreambulaDecisions"/>
        <w:ind w:left="0"/>
        <w:rPr>
          <w:rFonts w:eastAsia="SimSun"/>
        </w:rPr>
      </w:pPr>
      <w:r w:rsidRPr="00846470">
        <w:t>The Bureau,</w:t>
      </w:r>
    </w:p>
    <w:p w14:paraId="2AC0EF4B" w14:textId="77777777" w:rsidR="00815129" w:rsidRPr="00846470" w:rsidRDefault="00815129" w:rsidP="000E5943">
      <w:pPr>
        <w:pStyle w:val="COMParaDecision"/>
        <w:numPr>
          <w:ilvl w:val="0"/>
          <w:numId w:val="16"/>
        </w:numPr>
        <w:ind w:left="567" w:hanging="567"/>
      </w:pPr>
      <w:r w:rsidRPr="00846470">
        <w:t>Having examined</w:t>
      </w:r>
      <w:r w:rsidRPr="00846470">
        <w:rPr>
          <w:u w:val="none"/>
        </w:rPr>
        <w:t xml:space="preserve"> document LHE/22/17.COM</w:t>
      </w:r>
      <w:r w:rsidRPr="00846470">
        <w:rPr>
          <w:u w:val="none"/>
          <w:lang w:val="en-US"/>
        </w:rPr>
        <w:t> 1</w:t>
      </w:r>
      <w:r w:rsidRPr="00846470">
        <w:rPr>
          <w:u w:val="none"/>
        </w:rPr>
        <w:t>.BUR/4,</w:t>
      </w:r>
    </w:p>
    <w:p w14:paraId="46A8D3D5" w14:textId="77777777" w:rsidR="00815129" w:rsidRPr="00846470" w:rsidRDefault="00815129" w:rsidP="000E5943">
      <w:pPr>
        <w:pStyle w:val="COMParaDecision"/>
        <w:ind w:left="567"/>
      </w:pPr>
      <w:r w:rsidRPr="00846470">
        <w:t>Recalling</w:t>
      </w:r>
      <w:r w:rsidRPr="00846470">
        <w:rPr>
          <w:u w:val="none"/>
        </w:rPr>
        <w:t xml:space="preserve"> </w:t>
      </w:r>
      <w:hyperlink r:id="rId8" w:history="1">
        <w:r w:rsidRPr="00846470">
          <w:rPr>
            <w:rStyle w:val="Lienhypertexte"/>
          </w:rPr>
          <w:t>Decision 16.COM 17</w:t>
        </w:r>
      </w:hyperlink>
      <w:r w:rsidRPr="00846470">
        <w:rPr>
          <w:rFonts w:eastAsiaTheme="minorEastAsia"/>
          <w:u w:val="none"/>
          <w:lang w:eastAsia="ko-KR"/>
        </w:rPr>
        <w:t>,</w:t>
      </w:r>
    </w:p>
    <w:p w14:paraId="29FFBC9F" w14:textId="5A75B6B9" w:rsidR="00815129" w:rsidRPr="00846470" w:rsidRDefault="00815129" w:rsidP="000E5943">
      <w:pPr>
        <w:pStyle w:val="COMParaDecision"/>
        <w:ind w:left="567"/>
        <w:rPr>
          <w:u w:val="none"/>
        </w:rPr>
      </w:pPr>
      <w:r w:rsidRPr="00846470">
        <w:rPr>
          <w:rFonts w:eastAsiaTheme="minorEastAsia"/>
          <w:lang w:eastAsia="ko-KR"/>
        </w:rPr>
        <w:t>Further re</w:t>
      </w:r>
      <w:r w:rsidRPr="00846470">
        <w:rPr>
          <w:rFonts w:eastAsiaTheme="minorEastAsia" w:hint="eastAsia"/>
          <w:lang w:eastAsia="ko-KR"/>
        </w:rPr>
        <w:t>calling</w:t>
      </w:r>
      <w:r w:rsidRPr="00846470">
        <w:rPr>
          <w:rFonts w:eastAsiaTheme="minorEastAsia" w:hint="eastAsia"/>
          <w:u w:val="none"/>
          <w:lang w:eastAsia="ko-KR"/>
        </w:rPr>
        <w:t xml:space="preserve"> Rule 4.1 of the Rules of Procedure of the Committee,</w:t>
      </w:r>
    </w:p>
    <w:p w14:paraId="52F3F1CF" w14:textId="7CD328A0" w:rsidR="00815129" w:rsidRPr="00846470" w:rsidRDefault="00815129" w:rsidP="000E5943">
      <w:pPr>
        <w:pStyle w:val="COMParaDecision"/>
        <w:ind w:left="567"/>
      </w:pPr>
      <w:r w:rsidRPr="00846470">
        <w:t>Decides</w:t>
      </w:r>
      <w:r w:rsidRPr="00846470">
        <w:rPr>
          <w:u w:val="none"/>
        </w:rPr>
        <w:t xml:space="preserve"> to hold the seventeenth session of the Committee at UNESCO Headquarters from 28 November to 3 December 2022.</w:t>
      </w:r>
    </w:p>
    <w:p w14:paraId="19AC5F4A" w14:textId="176A519B" w:rsidR="00190205" w:rsidRPr="00D86BB3" w:rsidRDefault="00190205" w:rsidP="00D86BB3">
      <w:pPr>
        <w:rPr>
          <w:rFonts w:ascii="Arial" w:eastAsia="SimSun" w:hAnsi="Arial" w:cs="Arial"/>
          <w:sz w:val="22"/>
          <w:szCs w:val="22"/>
          <w:u w:val="single"/>
          <w:lang w:val="en-GB"/>
        </w:rPr>
      </w:pPr>
    </w:p>
    <w:sectPr w:rsidR="00190205" w:rsidRPr="00D86BB3"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6A109D2" w:rsidR="00D95C4C" w:rsidRPr="00284A05" w:rsidRDefault="00C5776D" w:rsidP="00C5776D">
    <w:pPr>
      <w:pStyle w:val="En-tte"/>
      <w:rPr>
        <w:rFonts w:ascii="Arial" w:hAnsi="Arial" w:cs="Arial"/>
        <w:lang w:val="en-US"/>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26221A" w:rsidRPr="004E1760">
      <w:rPr>
        <w:rFonts w:ascii="Arial" w:hAnsi="Arial" w:cs="Arial"/>
        <w:sz w:val="20"/>
        <w:szCs w:val="20"/>
      </w:rPr>
      <w:t>2</w:t>
    </w:r>
    <w:r w:rsidR="00CB0542" w:rsidRPr="004E1760">
      <w:rPr>
        <w:rFonts w:ascii="Arial" w:hAnsi="Arial" w:cs="Arial"/>
        <w:sz w:val="20"/>
        <w:szCs w:val="20"/>
      </w:rPr>
      <w:t>/1</w:t>
    </w:r>
    <w:r w:rsidR="0026221A" w:rsidRPr="004E1760">
      <w:rPr>
        <w:rFonts w:ascii="Arial" w:hAnsi="Arial" w:cs="Arial"/>
        <w:sz w:val="20"/>
        <w:szCs w:val="20"/>
      </w:rPr>
      <w:t>7</w:t>
    </w:r>
    <w:r w:rsidR="00EC6F8D" w:rsidRPr="004E1760">
      <w:rPr>
        <w:rFonts w:ascii="Arial" w:hAnsi="Arial" w:cs="Arial"/>
        <w:sz w:val="20"/>
        <w:szCs w:val="20"/>
      </w:rPr>
      <w:t>.</w:t>
    </w:r>
    <w:r w:rsidR="004E1760">
      <w:rPr>
        <w:rFonts w:ascii="Arial" w:hAnsi="Arial" w:cs="Arial"/>
        <w:sz w:val="20"/>
        <w:szCs w:val="20"/>
      </w:rPr>
      <w:t>COM </w:t>
    </w:r>
    <w:r w:rsidR="00151E44">
      <w:rPr>
        <w:rFonts w:ascii="Arial" w:hAnsi="Arial" w:cs="Arial"/>
        <w:sz w:val="20"/>
        <w:szCs w:val="20"/>
      </w:rPr>
      <w:t>1</w:t>
    </w:r>
    <w:r w:rsidR="004E1760" w:rsidRPr="0036787A">
      <w:rPr>
        <w:rFonts w:ascii="Arial" w:hAnsi="Arial" w:cs="Arial"/>
        <w:sz w:val="20"/>
        <w:szCs w:val="20"/>
      </w:rPr>
      <w:t>.</w:t>
    </w:r>
    <w:r w:rsidR="004E1760" w:rsidRPr="00284A05">
      <w:rPr>
        <w:rFonts w:ascii="Arial" w:hAnsi="Arial" w:cs="Arial"/>
        <w:sz w:val="20"/>
        <w:szCs w:val="20"/>
        <w:lang w:val="en-US"/>
      </w:rPr>
      <w:t>BUR</w:t>
    </w:r>
    <w:r w:rsidR="00A534AB" w:rsidRPr="00284A05">
      <w:rPr>
        <w:rFonts w:ascii="Arial" w:hAnsi="Arial" w:cs="Arial"/>
        <w:sz w:val="20"/>
        <w:szCs w:val="20"/>
        <w:lang w:val="en-US"/>
      </w:rPr>
      <w:t>/Decisions</w:t>
    </w:r>
    <w:r w:rsidR="004E1760" w:rsidRPr="00284A05">
      <w:rPr>
        <w:rFonts w:ascii="Arial" w:hAnsi="Arial" w:cs="Arial"/>
        <w:sz w:val="20"/>
        <w:szCs w:val="20"/>
        <w:lang w:val="en-US"/>
      </w:rPr>
      <w:t xml:space="preserve"> </w:t>
    </w:r>
    <w:r w:rsidR="00D95C4C" w:rsidRPr="00284A05">
      <w:rPr>
        <w:rFonts w:ascii="Arial" w:hAnsi="Arial" w:cs="Arial"/>
        <w:sz w:val="20"/>
        <w:szCs w:val="20"/>
        <w:lang w:val="en-US"/>
      </w:rPr>
      <w:t xml:space="preserve">– page </w:t>
    </w:r>
    <w:r w:rsidR="00D95C4C" w:rsidRPr="00284A05">
      <w:rPr>
        <w:rStyle w:val="Numrodepage"/>
        <w:rFonts w:ascii="Arial" w:hAnsi="Arial" w:cs="Arial"/>
        <w:sz w:val="20"/>
        <w:szCs w:val="20"/>
        <w:lang w:val="en-US"/>
      </w:rPr>
      <w:fldChar w:fldCharType="begin"/>
    </w:r>
    <w:r w:rsidR="00D95C4C" w:rsidRPr="00284A05">
      <w:rPr>
        <w:rStyle w:val="Numrodepage"/>
        <w:rFonts w:ascii="Arial" w:hAnsi="Arial" w:cs="Arial"/>
        <w:sz w:val="20"/>
        <w:szCs w:val="20"/>
        <w:lang w:val="en-US"/>
      </w:rPr>
      <w:instrText xml:space="preserve"> PAGE </w:instrText>
    </w:r>
    <w:r w:rsidR="00D95C4C" w:rsidRPr="00284A05">
      <w:rPr>
        <w:rStyle w:val="Numrodepage"/>
        <w:rFonts w:ascii="Arial" w:hAnsi="Arial" w:cs="Arial"/>
        <w:sz w:val="20"/>
        <w:szCs w:val="20"/>
        <w:lang w:val="en-US"/>
      </w:rPr>
      <w:fldChar w:fldCharType="separate"/>
    </w:r>
    <w:r w:rsidR="006E75EB" w:rsidRPr="00284A05">
      <w:rPr>
        <w:rStyle w:val="Numrodepage"/>
        <w:rFonts w:ascii="Arial" w:hAnsi="Arial" w:cs="Arial"/>
        <w:noProof/>
        <w:sz w:val="20"/>
        <w:szCs w:val="20"/>
        <w:lang w:val="en-US"/>
      </w:rPr>
      <w:t>2</w:t>
    </w:r>
    <w:r w:rsidR="00D95C4C" w:rsidRPr="00284A05">
      <w:rPr>
        <w:rStyle w:val="Numrodepage"/>
        <w:rFonts w:ascii="Arial" w:hAnsi="Arial" w:cs="Arial"/>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BEF7B10"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815129">
      <w:rPr>
        <w:rFonts w:ascii="Arial" w:hAnsi="Arial" w:cs="Arial"/>
        <w:sz w:val="20"/>
        <w:szCs w:val="20"/>
        <w:lang w:val="en-GB"/>
      </w:rPr>
      <w:t xml:space="preserve"> 1.BUR</w:t>
    </w:r>
    <w:r w:rsidR="004A34A0" w:rsidRPr="0063300C">
      <w:rPr>
        <w:rFonts w:ascii="Arial" w:hAnsi="Arial" w:cs="Arial"/>
        <w:sz w:val="20"/>
        <w:szCs w:val="20"/>
        <w:lang w:val="en-GB"/>
      </w:rPr>
      <w:t>/</w:t>
    </w:r>
    <w:r w:rsidR="00815129">
      <w:rPr>
        <w:rFonts w:ascii="Arial" w:hAnsi="Arial" w:cs="Arial"/>
        <w:sz w:val="20"/>
        <w:szCs w:val="20"/>
        <w:lang w:val="en-GB"/>
      </w:rPr>
      <w:t>Decisions</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7777777" w:rsidR="004E1760" w:rsidRPr="00D7105A" w:rsidRDefault="004E1760" w:rsidP="004E1760">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Pr="00D7105A">
      <w:rPr>
        <w:rFonts w:ascii="Arial" w:hAnsi="Arial" w:cs="Arial"/>
        <w:b/>
        <w:sz w:val="44"/>
        <w:szCs w:val="44"/>
        <w:lang w:val="pt-PT"/>
      </w:rPr>
      <w:t xml:space="preserve"> </w:t>
    </w:r>
    <w:r w:rsidRPr="00232D65">
      <w:rPr>
        <w:rFonts w:ascii="Arial" w:hAnsi="Arial" w:cs="Arial"/>
        <w:b/>
        <w:sz w:val="44"/>
        <w:szCs w:val="44"/>
        <w:lang w:val="pt-PT"/>
      </w:rPr>
      <w:t>COM 1 BUR</w:t>
    </w:r>
  </w:p>
  <w:p w14:paraId="6D1B3489" w14:textId="0730DE3F"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22</w:t>
    </w:r>
    <w:r w:rsidRPr="00D7105A">
      <w:rPr>
        <w:rFonts w:ascii="Arial" w:hAnsi="Arial" w:cs="Arial"/>
        <w:b/>
        <w:sz w:val="22"/>
        <w:szCs w:val="22"/>
        <w:lang w:val="pt-PT"/>
      </w:rPr>
      <w:t>/</w:t>
    </w:r>
    <w:bookmarkStart w:id="3" w:name="_Hlk94624970"/>
    <w:r w:rsidRPr="00D7105A">
      <w:rPr>
        <w:rFonts w:ascii="Arial" w:hAnsi="Arial" w:cs="Arial"/>
        <w:b/>
        <w:sz w:val="22"/>
        <w:szCs w:val="22"/>
        <w:lang w:val="pt-PT"/>
      </w:rPr>
      <w:t>1</w:t>
    </w:r>
    <w:r>
      <w:rPr>
        <w:rFonts w:ascii="Arial" w:hAnsi="Arial" w:cs="Arial"/>
        <w:b/>
        <w:sz w:val="22"/>
        <w:szCs w:val="22"/>
        <w:lang w:val="pt-PT"/>
      </w:rPr>
      <w:t>7</w:t>
    </w:r>
    <w:r w:rsidRPr="00D7105A">
      <w:rPr>
        <w:rFonts w:ascii="Arial" w:hAnsi="Arial" w:cs="Arial"/>
        <w:b/>
        <w:sz w:val="22"/>
        <w:szCs w:val="22"/>
        <w:lang w:val="pt-PT"/>
      </w:rPr>
      <w:t>.</w:t>
    </w:r>
    <w:r w:rsidRPr="00F72876">
      <w:rPr>
        <w:rFonts w:ascii="Arial" w:hAnsi="Arial" w:cs="Arial"/>
        <w:b/>
        <w:sz w:val="22"/>
        <w:szCs w:val="22"/>
        <w:lang w:val="pt-PT"/>
      </w:rPr>
      <w:t>COM </w:t>
    </w:r>
    <w:r w:rsidR="00151E44">
      <w:rPr>
        <w:rFonts w:ascii="Arial" w:hAnsi="Arial" w:cs="Arial"/>
        <w:b/>
        <w:sz w:val="22"/>
        <w:szCs w:val="22"/>
        <w:lang w:val="pt-PT"/>
      </w:rPr>
      <w:t>1</w:t>
    </w:r>
    <w:r w:rsidRPr="00F72876">
      <w:rPr>
        <w:rFonts w:ascii="Arial" w:hAnsi="Arial" w:cs="Arial"/>
        <w:b/>
        <w:sz w:val="22"/>
        <w:szCs w:val="22"/>
        <w:lang w:val="pt-PT"/>
      </w:rPr>
      <w:t>.BUR</w:t>
    </w:r>
    <w:r w:rsidRPr="00D7105A">
      <w:rPr>
        <w:rFonts w:ascii="Arial" w:hAnsi="Arial" w:cs="Arial"/>
        <w:b/>
        <w:sz w:val="22"/>
        <w:szCs w:val="22"/>
        <w:lang w:val="pt-PT"/>
      </w:rPr>
      <w:t>/</w:t>
    </w:r>
    <w:r w:rsidR="00A534AB">
      <w:rPr>
        <w:rFonts w:ascii="Arial" w:hAnsi="Arial" w:cs="Arial"/>
        <w:b/>
        <w:sz w:val="22"/>
        <w:szCs w:val="22"/>
        <w:lang w:val="pt-PT"/>
      </w:rPr>
      <w:t>Decisions</w:t>
    </w:r>
  </w:p>
  <w:bookmarkEnd w:id="3"/>
  <w:p w14:paraId="1B4446C3" w14:textId="78CF2E8F" w:rsidR="00D95C4C" w:rsidRPr="005E1385" w:rsidRDefault="00D95C4C" w:rsidP="00655736">
    <w:pPr>
      <w:jc w:val="right"/>
      <w:rPr>
        <w:rFonts w:ascii="Arial" w:eastAsiaTheme="minorEastAsia" w:hAnsi="Arial" w:cs="Arial"/>
        <w:b/>
        <w:sz w:val="22"/>
        <w:szCs w:val="22"/>
        <w:lang w:val="en-US" w:eastAsia="ko-KR"/>
      </w:rPr>
    </w:pPr>
    <w:r w:rsidRPr="00CF4A8D">
      <w:rPr>
        <w:rFonts w:ascii="Arial" w:hAnsi="Arial" w:cs="Arial"/>
        <w:b/>
        <w:sz w:val="22"/>
        <w:szCs w:val="22"/>
        <w:lang w:val="en-US"/>
      </w:rPr>
      <w:t xml:space="preserve">Paris, </w:t>
    </w:r>
    <w:r w:rsidR="00846470">
      <w:rPr>
        <w:rFonts w:ascii="Arial" w:hAnsi="Arial" w:cs="Arial"/>
        <w:b/>
        <w:sz w:val="22"/>
        <w:szCs w:val="22"/>
        <w:lang w:val="en-US"/>
      </w:rPr>
      <w:t>14</w:t>
    </w:r>
    <w:r w:rsidR="00151E44" w:rsidRPr="00CF4A8D">
      <w:rPr>
        <w:rFonts w:ascii="Arial" w:hAnsi="Arial" w:cs="Arial"/>
        <w:b/>
        <w:sz w:val="22"/>
        <w:szCs w:val="22"/>
        <w:lang w:val="en-US"/>
      </w:rPr>
      <w:t xml:space="preserve"> </w:t>
    </w:r>
    <w:r w:rsidR="00A534AB" w:rsidRPr="00CF4A8D">
      <w:rPr>
        <w:rFonts w:ascii="Arial" w:hAnsi="Arial" w:cs="Arial"/>
        <w:b/>
        <w:sz w:val="22"/>
        <w:szCs w:val="22"/>
        <w:lang w:val="en-US"/>
      </w:rPr>
      <w:t>March</w:t>
    </w:r>
    <w:r w:rsidRPr="00CF4A8D">
      <w:rPr>
        <w:rFonts w:ascii="Arial" w:hAnsi="Arial" w:cs="Arial"/>
        <w:b/>
        <w:sz w:val="22"/>
        <w:szCs w:val="22"/>
        <w:lang w:val="en-US"/>
      </w:rPr>
      <w:t xml:space="preserve"> </w:t>
    </w:r>
    <w:r w:rsidR="00337CEB" w:rsidRPr="00CF4A8D">
      <w:rPr>
        <w:rFonts w:ascii="Arial" w:hAnsi="Arial" w:cs="Arial"/>
        <w:b/>
        <w:sz w:val="22"/>
        <w:szCs w:val="22"/>
        <w:lang w:val="en-US"/>
      </w:rPr>
      <w:t>20</w:t>
    </w:r>
    <w:r w:rsidR="00D7105A" w:rsidRPr="00CF4A8D">
      <w:rPr>
        <w:rFonts w:ascii="Arial" w:hAnsi="Arial" w:cs="Arial"/>
        <w:b/>
        <w:sz w:val="22"/>
        <w:szCs w:val="22"/>
        <w:lang w:val="en-US"/>
      </w:rPr>
      <w:t>2</w:t>
    </w:r>
    <w:r w:rsidR="0026221A" w:rsidRPr="00CF4A8D">
      <w:rPr>
        <w:rFonts w:ascii="Arial" w:hAnsi="Arial" w:cs="Arial"/>
        <w:b/>
        <w:sz w:val="22"/>
        <w:szCs w:val="22"/>
        <w:lang w:val="en-US"/>
      </w:rPr>
      <w:t>2</w:t>
    </w:r>
  </w:p>
  <w:p w14:paraId="255B57FF" w14:textId="032BF981" w:rsidR="00D95C4C" w:rsidRPr="00151E44" w:rsidRDefault="00D95C4C" w:rsidP="00962034">
    <w:pPr>
      <w:spacing w:after="120"/>
      <w:jc w:val="right"/>
      <w:rPr>
        <w:rFonts w:ascii="Arial" w:hAnsi="Arial" w:cs="Arial"/>
        <w:b/>
        <w:sz w:val="22"/>
        <w:szCs w:val="22"/>
        <w:lang w:val="en-US"/>
      </w:rPr>
    </w:pPr>
    <w:r w:rsidRPr="00815129">
      <w:rPr>
        <w:rFonts w:ascii="Arial" w:hAnsi="Arial" w:cs="Arial"/>
        <w:b/>
        <w:sz w:val="22"/>
        <w:szCs w:val="22"/>
        <w:lang w:val="en-US"/>
      </w:rPr>
      <w:t xml:space="preserve">Original: </w:t>
    </w:r>
    <w:r w:rsidR="00151E44" w:rsidRPr="00815129">
      <w:rPr>
        <w:rFonts w:ascii="Arial" w:hAnsi="Arial" w:cs="Arial"/>
        <w:b/>
        <w:sz w:val="22"/>
        <w:szCs w:val="22"/>
        <w:lang w:val="en-US"/>
      </w:rPr>
      <w:t>English</w:t>
    </w:r>
    <w:r w:rsidR="005E1385">
      <w:rPr>
        <w:rFonts w:ascii="Arial" w:hAnsi="Arial" w:cs="Arial"/>
        <w:b/>
        <w:sz w:val="22"/>
        <w:szCs w:val="22"/>
        <w:lang w:val="en-US"/>
      </w:rPr>
      <w:t xml:space="preserve"> / French</w:t>
    </w:r>
  </w:p>
  <w:p w14:paraId="3C4B8B1B" w14:textId="77777777" w:rsidR="00D95C4C" w:rsidRPr="00151E44" w:rsidRDefault="00D95C4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71447D4"/>
    <w:multiLevelType w:val="hybridMultilevel"/>
    <w:tmpl w:val="9F8659EE"/>
    <w:lvl w:ilvl="0" w:tplc="74E29F06">
      <w:start w:val="1"/>
      <w:numFmt w:val="lowerRoman"/>
      <w:lvlText w:val="%1)"/>
      <w:lvlJc w:val="left"/>
      <w:pPr>
        <w:ind w:left="360" w:hanging="360"/>
      </w:pPr>
      <w:rPr>
        <w:rFonts w:ascii="Arial" w:eastAsia="SimSun" w:hAnsi="Arial" w:cs="Aria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1"/>
  </w:num>
  <w:num w:numId="2">
    <w:abstractNumId w:val="4"/>
  </w:num>
  <w:num w:numId="3">
    <w:abstractNumId w:val="1"/>
  </w:num>
  <w:num w:numId="4">
    <w:abstractNumId w:val="13"/>
  </w:num>
  <w:num w:numId="5">
    <w:abstractNumId w:val="12"/>
  </w:num>
  <w:num w:numId="6">
    <w:abstractNumId w:val="0"/>
  </w:num>
  <w:num w:numId="7">
    <w:abstractNumId w:val="2"/>
  </w:num>
  <w:num w:numId="8">
    <w:abstractNumId w:val="9"/>
  </w:num>
  <w:num w:numId="9">
    <w:abstractNumId w:val="3"/>
  </w:num>
  <w:num w:numId="10">
    <w:abstractNumId w:val="6"/>
  </w:num>
  <w:num w:numId="11">
    <w:abstractNumId w:val="8"/>
  </w:num>
  <w:num w:numId="12">
    <w:abstractNumId w:val="7"/>
  </w:num>
  <w:num w:numId="13">
    <w:abstractNumId w:val="14"/>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9E4"/>
    <w:rsid w:val="00042D88"/>
    <w:rsid w:val="0005176E"/>
    <w:rsid w:val="000765F7"/>
    <w:rsid w:val="00077AB7"/>
    <w:rsid w:val="00081569"/>
    <w:rsid w:val="00081CD8"/>
    <w:rsid w:val="0009704C"/>
    <w:rsid w:val="000A7F0E"/>
    <w:rsid w:val="000B1C8F"/>
    <w:rsid w:val="000C0D61"/>
    <w:rsid w:val="000E5943"/>
    <w:rsid w:val="000F3A3F"/>
    <w:rsid w:val="00102557"/>
    <w:rsid w:val="00151E44"/>
    <w:rsid w:val="00164D56"/>
    <w:rsid w:val="00167B10"/>
    <w:rsid w:val="0017402F"/>
    <w:rsid w:val="00190205"/>
    <w:rsid w:val="00196C1B"/>
    <w:rsid w:val="001B0F73"/>
    <w:rsid w:val="001C2DB7"/>
    <w:rsid w:val="001D14FE"/>
    <w:rsid w:val="001D5C04"/>
    <w:rsid w:val="001F26CF"/>
    <w:rsid w:val="00222A2D"/>
    <w:rsid w:val="00223029"/>
    <w:rsid w:val="00234745"/>
    <w:rsid w:val="002351A6"/>
    <w:rsid w:val="002407AF"/>
    <w:rsid w:val="00247632"/>
    <w:rsid w:val="0026221A"/>
    <w:rsid w:val="0027466B"/>
    <w:rsid w:val="002838A5"/>
    <w:rsid w:val="00284A05"/>
    <w:rsid w:val="00285BB4"/>
    <w:rsid w:val="002C09E3"/>
    <w:rsid w:val="002D1244"/>
    <w:rsid w:val="00337CEB"/>
    <w:rsid w:val="00344B58"/>
    <w:rsid w:val="0034539A"/>
    <w:rsid w:val="00345CB4"/>
    <w:rsid w:val="00375D42"/>
    <w:rsid w:val="003D069C"/>
    <w:rsid w:val="003D7646"/>
    <w:rsid w:val="003F113A"/>
    <w:rsid w:val="003F3E63"/>
    <w:rsid w:val="00407480"/>
    <w:rsid w:val="00413F5C"/>
    <w:rsid w:val="00414643"/>
    <w:rsid w:val="004421E5"/>
    <w:rsid w:val="00452284"/>
    <w:rsid w:val="00457C8E"/>
    <w:rsid w:val="004856CA"/>
    <w:rsid w:val="00487E67"/>
    <w:rsid w:val="0049705E"/>
    <w:rsid w:val="004A2875"/>
    <w:rsid w:val="004A34A0"/>
    <w:rsid w:val="004C7C82"/>
    <w:rsid w:val="004E1760"/>
    <w:rsid w:val="005008A8"/>
    <w:rsid w:val="00517FD8"/>
    <w:rsid w:val="00526B7B"/>
    <w:rsid w:val="005308CE"/>
    <w:rsid w:val="0053318C"/>
    <w:rsid w:val="0057439C"/>
    <w:rsid w:val="005B0127"/>
    <w:rsid w:val="005B7A35"/>
    <w:rsid w:val="005C4B73"/>
    <w:rsid w:val="005E1385"/>
    <w:rsid w:val="005E1D2B"/>
    <w:rsid w:val="005E7074"/>
    <w:rsid w:val="005F2BAF"/>
    <w:rsid w:val="00600D93"/>
    <w:rsid w:val="00621681"/>
    <w:rsid w:val="00626BEA"/>
    <w:rsid w:val="0063300C"/>
    <w:rsid w:val="00651A5B"/>
    <w:rsid w:val="00655736"/>
    <w:rsid w:val="00663B8D"/>
    <w:rsid w:val="00696C8D"/>
    <w:rsid w:val="006A2AC2"/>
    <w:rsid w:val="006A3617"/>
    <w:rsid w:val="006A5038"/>
    <w:rsid w:val="006B4452"/>
    <w:rsid w:val="006D2A6F"/>
    <w:rsid w:val="006E46E4"/>
    <w:rsid w:val="006E75EB"/>
    <w:rsid w:val="00717DA5"/>
    <w:rsid w:val="00744484"/>
    <w:rsid w:val="00747566"/>
    <w:rsid w:val="00773188"/>
    <w:rsid w:val="00783782"/>
    <w:rsid w:val="00784B8C"/>
    <w:rsid w:val="007879E1"/>
    <w:rsid w:val="00815129"/>
    <w:rsid w:val="00823A11"/>
    <w:rsid w:val="00846470"/>
    <w:rsid w:val="0085405E"/>
    <w:rsid w:val="0085414A"/>
    <w:rsid w:val="00857EB9"/>
    <w:rsid w:val="00857F6E"/>
    <w:rsid w:val="0086269D"/>
    <w:rsid w:val="0086543A"/>
    <w:rsid w:val="008724E5"/>
    <w:rsid w:val="00884A9D"/>
    <w:rsid w:val="0088512B"/>
    <w:rsid w:val="008A2B2D"/>
    <w:rsid w:val="008A4E1E"/>
    <w:rsid w:val="008C296C"/>
    <w:rsid w:val="008D4305"/>
    <w:rsid w:val="008E1A85"/>
    <w:rsid w:val="009163A7"/>
    <w:rsid w:val="00946D0B"/>
    <w:rsid w:val="00955877"/>
    <w:rsid w:val="00962034"/>
    <w:rsid w:val="009A18CD"/>
    <w:rsid w:val="009D5428"/>
    <w:rsid w:val="00A12558"/>
    <w:rsid w:val="00A13903"/>
    <w:rsid w:val="00A34ED5"/>
    <w:rsid w:val="00A45DBF"/>
    <w:rsid w:val="00A534AB"/>
    <w:rsid w:val="00A725CF"/>
    <w:rsid w:val="00A755A2"/>
    <w:rsid w:val="00AA6660"/>
    <w:rsid w:val="00AB2C36"/>
    <w:rsid w:val="00AB6DDE"/>
    <w:rsid w:val="00AB70B6"/>
    <w:rsid w:val="00AD1A86"/>
    <w:rsid w:val="00AE103E"/>
    <w:rsid w:val="00AF0A07"/>
    <w:rsid w:val="00AF4AEC"/>
    <w:rsid w:val="00AF625E"/>
    <w:rsid w:val="00AF70EC"/>
    <w:rsid w:val="00B139BE"/>
    <w:rsid w:val="00B2172B"/>
    <w:rsid w:val="00B435AB"/>
    <w:rsid w:val="00B917D2"/>
    <w:rsid w:val="00BA241A"/>
    <w:rsid w:val="00BB04AF"/>
    <w:rsid w:val="00BD52C9"/>
    <w:rsid w:val="00BE19CF"/>
    <w:rsid w:val="00BE6354"/>
    <w:rsid w:val="00C138D1"/>
    <w:rsid w:val="00C23A97"/>
    <w:rsid w:val="00C52EBE"/>
    <w:rsid w:val="00C5776D"/>
    <w:rsid w:val="00C64855"/>
    <w:rsid w:val="00C70EA7"/>
    <w:rsid w:val="00C7433F"/>
    <w:rsid w:val="00C7516E"/>
    <w:rsid w:val="00C75770"/>
    <w:rsid w:val="00CA56BB"/>
    <w:rsid w:val="00CB0542"/>
    <w:rsid w:val="00CF4A8D"/>
    <w:rsid w:val="00D00B2B"/>
    <w:rsid w:val="00D24877"/>
    <w:rsid w:val="00D7105A"/>
    <w:rsid w:val="00D8250F"/>
    <w:rsid w:val="00D86BB3"/>
    <w:rsid w:val="00D95C4C"/>
    <w:rsid w:val="00DA36ED"/>
    <w:rsid w:val="00DB48FE"/>
    <w:rsid w:val="00DE34F1"/>
    <w:rsid w:val="00DE6160"/>
    <w:rsid w:val="00DF1297"/>
    <w:rsid w:val="00DF4942"/>
    <w:rsid w:val="00E16EFD"/>
    <w:rsid w:val="00E2125F"/>
    <w:rsid w:val="00E244E1"/>
    <w:rsid w:val="00E4150C"/>
    <w:rsid w:val="00E627B1"/>
    <w:rsid w:val="00E70169"/>
    <w:rsid w:val="00E9376C"/>
    <w:rsid w:val="00E95AE2"/>
    <w:rsid w:val="00EA335E"/>
    <w:rsid w:val="00EA528C"/>
    <w:rsid w:val="00EA580C"/>
    <w:rsid w:val="00EC6F8D"/>
    <w:rsid w:val="00ED39B2"/>
    <w:rsid w:val="00EE49F4"/>
    <w:rsid w:val="00EF34E2"/>
    <w:rsid w:val="00F30DC6"/>
    <w:rsid w:val="00F32C23"/>
    <w:rsid w:val="00F41690"/>
    <w:rsid w:val="00F53DE9"/>
    <w:rsid w:val="00F576CB"/>
    <w:rsid w:val="00F7035D"/>
    <w:rsid w:val="00F71A02"/>
    <w:rsid w:val="00F74286"/>
    <w:rsid w:val="00FA0D63"/>
    <w:rsid w:val="00FD1226"/>
    <w:rsid w:val="00FE4E9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character" w:customStyle="1" w:styleId="MargeChar">
    <w:name w:val="Marge Char"/>
    <w:link w:val="Marge"/>
    <w:rsid w:val="00815129"/>
    <w:rPr>
      <w:rFonts w:ascii="Arial" w:eastAsia="Times New Roman" w:hAnsi="Arial"/>
      <w:snapToGrid w:val="0"/>
      <w:sz w:val="22"/>
      <w:szCs w:val="24"/>
      <w:lang w:eastAsia="en-US"/>
    </w:rPr>
  </w:style>
  <w:style w:type="character" w:styleId="Lienhypertexte">
    <w:name w:val="Hyperlink"/>
    <w:basedOn w:val="Policepardfaut"/>
    <w:uiPriority w:val="99"/>
    <w:unhideWhenUsed/>
    <w:rsid w:val="00815129"/>
    <w:rPr>
      <w:color w:val="0000FF" w:themeColor="hyperlink"/>
      <w:u w:val="single"/>
    </w:rPr>
  </w:style>
  <w:style w:type="character" w:styleId="Marquedecommentaire">
    <w:name w:val="annotation reference"/>
    <w:basedOn w:val="Policepardfaut"/>
    <w:uiPriority w:val="99"/>
    <w:semiHidden/>
    <w:unhideWhenUsed/>
    <w:rsid w:val="00B435AB"/>
    <w:rPr>
      <w:sz w:val="16"/>
      <w:szCs w:val="16"/>
    </w:rPr>
  </w:style>
  <w:style w:type="paragraph" w:styleId="Commentaire">
    <w:name w:val="annotation text"/>
    <w:basedOn w:val="Normal"/>
    <w:link w:val="CommentaireCar"/>
    <w:uiPriority w:val="99"/>
    <w:semiHidden/>
    <w:unhideWhenUsed/>
    <w:rsid w:val="00B435AB"/>
    <w:rPr>
      <w:sz w:val="20"/>
      <w:szCs w:val="20"/>
    </w:rPr>
  </w:style>
  <w:style w:type="character" w:customStyle="1" w:styleId="CommentaireCar">
    <w:name w:val="Commentaire Car"/>
    <w:basedOn w:val="Policepardfaut"/>
    <w:link w:val="Commentaire"/>
    <w:uiPriority w:val="99"/>
    <w:semiHidden/>
    <w:rsid w:val="00B435AB"/>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435AB"/>
    <w:rPr>
      <w:b/>
      <w:bCs/>
    </w:rPr>
  </w:style>
  <w:style w:type="character" w:customStyle="1" w:styleId="ObjetducommentaireCar">
    <w:name w:val="Objet du commentaire Car"/>
    <w:basedOn w:val="CommentaireCar"/>
    <w:link w:val="Objetducommentaire"/>
    <w:uiPriority w:val="99"/>
    <w:semiHidden/>
    <w:rsid w:val="00B435A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6.COM/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28</TotalTime>
  <Pages>5</Pages>
  <Words>1724</Words>
  <Characters>9488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16</cp:revision>
  <cp:lastPrinted>2011-08-06T10:22:00Z</cp:lastPrinted>
  <dcterms:created xsi:type="dcterms:W3CDTF">2022-03-07T10:54:00Z</dcterms:created>
  <dcterms:modified xsi:type="dcterms:W3CDTF">2022-03-14T09:23:00Z</dcterms:modified>
</cp:coreProperties>
</file>