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7777777" w:rsidR="00BC3420" w:rsidRPr="00906FFC" w:rsidRDefault="00BC3420" w:rsidP="00BC3420">
      <w:pPr>
        <w:spacing w:before="1440"/>
        <w:jc w:val="center"/>
        <w:rPr>
          <w:rFonts w:ascii="Arial" w:hAnsi="Arial" w:cs="Arial"/>
          <w:b/>
          <w:sz w:val="22"/>
          <w:szCs w:val="22"/>
        </w:rPr>
      </w:pPr>
      <w:r w:rsidRPr="00906FFC">
        <w:rPr>
          <w:rFonts w:ascii="Arial" w:hAnsi="Arial" w:cs="Arial"/>
          <w:b/>
          <w:sz w:val="22"/>
          <w:szCs w:val="22"/>
        </w:rPr>
        <w:t>CONVENTION POUR LA SAUVEGARDE DU</w:t>
      </w:r>
      <w:r w:rsidRPr="00906FFC">
        <w:rPr>
          <w:rFonts w:ascii="Arial" w:hAnsi="Arial" w:cs="Arial"/>
          <w:b/>
          <w:sz w:val="22"/>
          <w:szCs w:val="22"/>
        </w:rPr>
        <w:br/>
        <w:t>PATRIMOINE CULTUREL IMMATÉRIEL</w:t>
      </w:r>
    </w:p>
    <w:p w14:paraId="2F1AD104" w14:textId="77777777" w:rsidR="00BC3420" w:rsidRPr="00906FFC" w:rsidRDefault="00BC3420" w:rsidP="00BC3420">
      <w:pPr>
        <w:spacing w:before="1200"/>
        <w:jc w:val="center"/>
        <w:rPr>
          <w:rFonts w:ascii="Arial" w:hAnsi="Arial" w:cs="Arial"/>
          <w:b/>
          <w:sz w:val="22"/>
          <w:szCs w:val="22"/>
        </w:rPr>
      </w:pPr>
      <w:r w:rsidRPr="00906FFC">
        <w:rPr>
          <w:rFonts w:ascii="Arial" w:hAnsi="Arial" w:cs="Arial"/>
          <w:b/>
          <w:sz w:val="22"/>
          <w:szCs w:val="22"/>
        </w:rPr>
        <w:t>COMITÉ INTERGOUVERNEMENTAL DE SAUVEGARDE</w:t>
      </w:r>
      <w:r w:rsidRPr="00906FFC">
        <w:rPr>
          <w:rFonts w:ascii="Arial" w:hAnsi="Arial" w:cs="Arial"/>
          <w:b/>
          <w:sz w:val="22"/>
          <w:szCs w:val="22"/>
        </w:rPr>
        <w:br/>
        <w:t>DU PATRIMOINE CULTUREL IMMATÉRIEL</w:t>
      </w:r>
    </w:p>
    <w:p w14:paraId="040EDB3A" w14:textId="77777777" w:rsidR="00AC4027" w:rsidRPr="00906FFC" w:rsidRDefault="00AC4027" w:rsidP="00AC4027">
      <w:pPr>
        <w:spacing w:before="840" w:after="840"/>
        <w:jc w:val="center"/>
        <w:rPr>
          <w:rFonts w:ascii="Arial" w:hAnsi="Arial" w:cs="Arial"/>
          <w:b/>
          <w:sz w:val="22"/>
          <w:szCs w:val="22"/>
        </w:rPr>
      </w:pPr>
      <w:r w:rsidRPr="00906FFC">
        <w:rPr>
          <w:rFonts w:ascii="Arial" w:hAnsi="Arial" w:cs="Arial"/>
          <w:b/>
          <w:sz w:val="22"/>
          <w:szCs w:val="22"/>
        </w:rPr>
        <w:t>Réunion du Bureau</w:t>
      </w:r>
    </w:p>
    <w:p w14:paraId="342A8D74" w14:textId="6766D01D" w:rsidR="00AC4027" w:rsidRPr="00906FFC" w:rsidRDefault="00AC4027" w:rsidP="00AC4027">
      <w:pPr>
        <w:jc w:val="center"/>
        <w:rPr>
          <w:rFonts w:ascii="Arial" w:hAnsi="Arial"/>
          <w:b/>
          <w:sz w:val="22"/>
        </w:rPr>
      </w:pPr>
      <w:r w:rsidRPr="00906FFC">
        <w:rPr>
          <w:rFonts w:ascii="Arial" w:hAnsi="Arial"/>
          <w:b/>
          <w:sz w:val="22"/>
        </w:rPr>
        <w:t>En ligne</w:t>
      </w:r>
    </w:p>
    <w:p w14:paraId="5F817A00" w14:textId="17ACD126" w:rsidR="00AC4027" w:rsidRPr="00906FFC" w:rsidRDefault="00EF0DCC" w:rsidP="00AC4027">
      <w:pPr>
        <w:jc w:val="center"/>
        <w:rPr>
          <w:rFonts w:ascii="Arial" w:hAnsi="Arial"/>
          <w:b/>
          <w:sz w:val="22"/>
        </w:rPr>
      </w:pPr>
      <w:r w:rsidRPr="00906FFC">
        <w:rPr>
          <w:rFonts w:ascii="Arial" w:hAnsi="Arial"/>
          <w:b/>
          <w:sz w:val="22"/>
        </w:rPr>
        <w:t>7</w:t>
      </w:r>
      <w:r w:rsidR="00CC70DC" w:rsidRPr="00906FFC">
        <w:rPr>
          <w:rFonts w:ascii="Arial" w:hAnsi="Arial"/>
          <w:b/>
          <w:sz w:val="22"/>
        </w:rPr>
        <w:t xml:space="preserve"> mars</w:t>
      </w:r>
      <w:r w:rsidR="00AC4027" w:rsidRPr="00906FFC">
        <w:rPr>
          <w:rFonts w:ascii="Arial" w:hAnsi="Arial"/>
          <w:b/>
          <w:sz w:val="22"/>
        </w:rPr>
        <w:t> 2022</w:t>
      </w:r>
    </w:p>
    <w:p w14:paraId="05322A32" w14:textId="33D14B1B" w:rsidR="00AC4027" w:rsidRPr="00906FFC" w:rsidRDefault="00CC70DC" w:rsidP="00AC4027">
      <w:pPr>
        <w:jc w:val="center"/>
        <w:rPr>
          <w:rFonts w:ascii="Arial" w:hAnsi="Arial"/>
          <w:b/>
          <w:sz w:val="22"/>
        </w:rPr>
      </w:pPr>
      <w:r w:rsidRPr="00906FFC">
        <w:rPr>
          <w:rFonts w:ascii="Arial" w:hAnsi="Arial"/>
          <w:b/>
          <w:sz w:val="22"/>
        </w:rPr>
        <w:t>10</w:t>
      </w:r>
      <w:r w:rsidR="00AC4027" w:rsidRPr="00906FFC">
        <w:rPr>
          <w:rFonts w:ascii="Arial" w:hAnsi="Arial"/>
          <w:b/>
          <w:sz w:val="22"/>
        </w:rPr>
        <w:t xml:space="preserve">h00 – </w:t>
      </w:r>
      <w:r w:rsidRPr="00906FFC">
        <w:rPr>
          <w:rFonts w:ascii="Arial" w:hAnsi="Arial"/>
          <w:b/>
          <w:sz w:val="22"/>
        </w:rPr>
        <w:t>13</w:t>
      </w:r>
      <w:r w:rsidR="00AC4027" w:rsidRPr="00906FFC">
        <w:rPr>
          <w:rFonts w:ascii="Arial" w:hAnsi="Arial"/>
          <w:b/>
          <w:sz w:val="22"/>
        </w:rPr>
        <w:t>h00 (Heure de Paris)</w:t>
      </w:r>
    </w:p>
    <w:p w14:paraId="72EF57E2" w14:textId="471EC869" w:rsidR="008F09EC" w:rsidRPr="00906FFC" w:rsidRDefault="0048375B" w:rsidP="008F09EC">
      <w:pPr>
        <w:pStyle w:val="Sansinterligne2"/>
        <w:spacing w:before="1200"/>
        <w:jc w:val="center"/>
        <w:rPr>
          <w:rFonts w:ascii="Arial" w:hAnsi="Arial" w:cs="Arial"/>
          <w:b/>
          <w:sz w:val="22"/>
          <w:szCs w:val="22"/>
        </w:rPr>
      </w:pPr>
      <w:r w:rsidRPr="00906FFC">
        <w:rPr>
          <w:rFonts w:ascii="Arial" w:hAnsi="Arial" w:cs="Arial"/>
          <w:b/>
          <w:sz w:val="22"/>
          <w:szCs w:val="22"/>
          <w:u w:val="single"/>
        </w:rPr>
        <w:t>DÉCISIONS</w:t>
      </w:r>
    </w:p>
    <w:p w14:paraId="630B69F1" w14:textId="4198E673" w:rsidR="008F09EC" w:rsidRPr="00906FFC" w:rsidRDefault="008F09EC" w:rsidP="00EF74E3">
      <w:pPr>
        <w:pStyle w:val="Sansinterligne"/>
        <w:tabs>
          <w:tab w:val="left" w:pos="4410"/>
          <w:tab w:val="center" w:pos="4819"/>
        </w:tabs>
        <w:spacing w:after="1200"/>
        <w:rPr>
          <w:rFonts w:ascii="Arial" w:hAnsi="Arial" w:cs="Arial"/>
          <w:b/>
          <w:sz w:val="22"/>
          <w:szCs w:val="22"/>
        </w:rPr>
      </w:pPr>
    </w:p>
    <w:p w14:paraId="5072A522" w14:textId="77777777" w:rsidR="009B5302" w:rsidRPr="00906FFC" w:rsidRDefault="00BC3420" w:rsidP="007E60C6">
      <w:pPr>
        <w:pStyle w:val="COMTitleDecision"/>
        <w:spacing w:before="360" w:after="240"/>
        <w:ind w:left="0"/>
      </w:pPr>
      <w:r w:rsidRPr="00906FFC">
        <w:br w:type="page"/>
      </w:r>
    </w:p>
    <w:p w14:paraId="02718F19" w14:textId="0D3E32E3" w:rsidR="00C1192B" w:rsidRPr="00906FFC" w:rsidRDefault="00C1192B" w:rsidP="00B11D3A">
      <w:pPr>
        <w:pStyle w:val="GATitleResolution"/>
        <w:ind w:left="0"/>
      </w:pPr>
      <w:r w:rsidRPr="00906FFC">
        <w:lastRenderedPageBreak/>
        <w:t>DÉCISION 17.COM 1.BUR 2</w:t>
      </w:r>
    </w:p>
    <w:p w14:paraId="598B6B7A" w14:textId="77777777" w:rsidR="00C1192B" w:rsidRPr="00906FFC" w:rsidRDefault="00C1192B" w:rsidP="00B11D3A">
      <w:pPr>
        <w:pStyle w:val="COMPreambulaDecision"/>
        <w:ind w:left="0"/>
      </w:pPr>
      <w:r w:rsidRPr="00906FFC">
        <w:t>Le Bureau,</w:t>
      </w:r>
    </w:p>
    <w:p w14:paraId="54A70668" w14:textId="77777777" w:rsidR="00C1192B" w:rsidRPr="00906FFC" w:rsidRDefault="00C1192B" w:rsidP="006608CB">
      <w:pPr>
        <w:pStyle w:val="COMParaDecision"/>
        <w:ind w:left="567"/>
        <w:rPr>
          <w:u w:val="none"/>
        </w:rPr>
      </w:pPr>
      <w:r w:rsidRPr="00906FFC">
        <w:t>Ayant examiné</w:t>
      </w:r>
      <w:r w:rsidRPr="00906FFC">
        <w:rPr>
          <w:u w:val="none"/>
        </w:rPr>
        <w:t xml:space="preserve"> le document LHE/22/17.COM 1.BUR/2 Rev. 2 et son annexe telle qu’amendée,</w:t>
      </w:r>
    </w:p>
    <w:p w14:paraId="26ADA185" w14:textId="77777777" w:rsidR="00C1192B" w:rsidRPr="00906FFC" w:rsidRDefault="00C1192B" w:rsidP="00B11D3A">
      <w:pPr>
        <w:pStyle w:val="COMParaDecision"/>
        <w:ind w:left="567"/>
        <w:rPr>
          <w:u w:val="none"/>
        </w:rPr>
      </w:pPr>
      <w:r w:rsidRPr="00906FFC">
        <w:t>Adopte</w:t>
      </w:r>
      <w:r w:rsidRPr="00906FFC">
        <w:rPr>
          <w:u w:val="none"/>
        </w:rPr>
        <w:t xml:space="preserve"> l’ordre du jour de sa première réunion tel qu’indiqué en annexe de cette décision. </w:t>
      </w:r>
    </w:p>
    <w:p w14:paraId="6E1A27B5" w14:textId="77777777" w:rsidR="00C1192B" w:rsidRPr="00906FFC" w:rsidRDefault="00C1192B" w:rsidP="00C1192B">
      <w:pPr>
        <w:spacing w:before="480" w:after="120"/>
        <w:jc w:val="center"/>
        <w:rPr>
          <w:rFonts w:ascii="Arial" w:hAnsi="Arial" w:cs="Arial"/>
          <w:b/>
          <w:sz w:val="22"/>
          <w:szCs w:val="22"/>
          <w:u w:val="single"/>
        </w:rPr>
      </w:pPr>
      <w:r w:rsidRPr="00906FFC">
        <w:rPr>
          <w:rFonts w:ascii="Arial" w:hAnsi="Arial" w:cs="Arial"/>
          <w:b/>
          <w:sz w:val="22"/>
          <w:szCs w:val="22"/>
          <w:u w:val="single"/>
        </w:rPr>
        <w:t xml:space="preserve">ANNEXE </w:t>
      </w:r>
    </w:p>
    <w:p w14:paraId="7C723406" w14:textId="0B921C6C" w:rsidR="00C1192B" w:rsidRPr="00906FFC" w:rsidRDefault="00C1192B" w:rsidP="00C1192B">
      <w:pPr>
        <w:spacing w:before="360" w:after="240"/>
        <w:ind w:left="1134" w:hanging="567"/>
        <w:jc w:val="both"/>
        <w:rPr>
          <w:rFonts w:ascii="Arial" w:eastAsia="SimSun" w:hAnsi="Arial" w:cs="Arial"/>
          <w:b/>
          <w:sz w:val="22"/>
          <w:szCs w:val="22"/>
        </w:rPr>
      </w:pPr>
      <w:r w:rsidRPr="00906FFC">
        <w:rPr>
          <w:rFonts w:ascii="Arial" w:eastAsia="SimSun" w:hAnsi="Arial" w:cs="Arial"/>
          <w:b/>
          <w:sz w:val="22"/>
          <w:szCs w:val="22"/>
        </w:rPr>
        <w:t>Ordre du jour de la première réunion du Bureau du 17.COM</w:t>
      </w:r>
    </w:p>
    <w:tbl>
      <w:tblPr>
        <w:tblW w:w="8172" w:type="dxa"/>
        <w:tblInd w:w="675" w:type="dxa"/>
        <w:tblLook w:val="04A0" w:firstRow="1" w:lastRow="0" w:firstColumn="1" w:lastColumn="0" w:noHBand="0" w:noVBand="1"/>
      </w:tblPr>
      <w:tblGrid>
        <w:gridCol w:w="486"/>
        <w:gridCol w:w="4050"/>
        <w:gridCol w:w="3636"/>
      </w:tblGrid>
      <w:tr w:rsidR="00C1192B" w:rsidRPr="00906FFC" w14:paraId="4FF88619" w14:textId="77777777" w:rsidTr="00F84520">
        <w:tc>
          <w:tcPr>
            <w:tcW w:w="4536" w:type="dxa"/>
            <w:gridSpan w:val="2"/>
          </w:tcPr>
          <w:p w14:paraId="4442D253" w14:textId="77777777" w:rsidR="00C1192B" w:rsidRPr="00906FFC" w:rsidRDefault="00C1192B" w:rsidP="00F84520">
            <w:pPr>
              <w:adjustRightInd w:val="0"/>
              <w:spacing w:before="120" w:after="160"/>
              <w:outlineLvl w:val="0"/>
              <w:rPr>
                <w:rFonts w:ascii="Arial" w:eastAsia="SimSun" w:hAnsi="Arial" w:cs="Arial"/>
                <w:sz w:val="22"/>
                <w:szCs w:val="22"/>
                <w:u w:val="single"/>
              </w:rPr>
            </w:pPr>
            <w:r w:rsidRPr="00906FFC">
              <w:rPr>
                <w:rFonts w:ascii="Arial" w:eastAsia="SimSun" w:hAnsi="Arial" w:cs="Arial"/>
                <w:sz w:val="22"/>
                <w:szCs w:val="22"/>
                <w:u w:val="single"/>
              </w:rPr>
              <w:t>Point de l’ordre du jour</w:t>
            </w:r>
          </w:p>
        </w:tc>
        <w:tc>
          <w:tcPr>
            <w:tcW w:w="3636" w:type="dxa"/>
          </w:tcPr>
          <w:p w14:paraId="528B95A4" w14:textId="77777777" w:rsidR="00C1192B" w:rsidRPr="00906FFC" w:rsidRDefault="00C1192B" w:rsidP="00F84520">
            <w:pPr>
              <w:adjustRightInd w:val="0"/>
              <w:spacing w:before="120" w:after="160"/>
              <w:outlineLvl w:val="0"/>
              <w:rPr>
                <w:rFonts w:ascii="Arial" w:eastAsia="SimSun" w:hAnsi="Arial" w:cs="Arial"/>
                <w:sz w:val="22"/>
                <w:szCs w:val="22"/>
                <w:u w:val="single"/>
              </w:rPr>
            </w:pPr>
            <w:r w:rsidRPr="00906FFC">
              <w:rPr>
                <w:rFonts w:ascii="Arial" w:eastAsia="SimSun" w:hAnsi="Arial" w:cs="Arial"/>
                <w:sz w:val="22"/>
                <w:szCs w:val="22"/>
                <w:u w:val="single"/>
              </w:rPr>
              <w:t>Document</w:t>
            </w:r>
          </w:p>
        </w:tc>
      </w:tr>
      <w:tr w:rsidR="00C1192B" w:rsidRPr="00906FFC" w14:paraId="16B03F19" w14:textId="77777777" w:rsidTr="00F84520">
        <w:tc>
          <w:tcPr>
            <w:tcW w:w="486" w:type="dxa"/>
          </w:tcPr>
          <w:p w14:paraId="0C3D5EE7" w14:textId="77777777" w:rsidR="00C1192B" w:rsidRPr="00906FFC" w:rsidRDefault="00C1192B" w:rsidP="00F84520">
            <w:pPr>
              <w:adjustRightInd w:val="0"/>
              <w:spacing w:before="120" w:after="160"/>
              <w:outlineLvl w:val="0"/>
              <w:rPr>
                <w:rFonts w:ascii="Arial" w:eastAsia="SimSun" w:hAnsi="Arial" w:cs="Arial"/>
                <w:sz w:val="22"/>
                <w:szCs w:val="22"/>
              </w:rPr>
            </w:pPr>
            <w:r w:rsidRPr="00906FFC">
              <w:rPr>
                <w:rFonts w:ascii="Arial" w:eastAsia="SimSun" w:hAnsi="Arial" w:cs="Arial"/>
                <w:sz w:val="22"/>
                <w:szCs w:val="22"/>
              </w:rPr>
              <w:t>1.</w:t>
            </w:r>
          </w:p>
        </w:tc>
        <w:tc>
          <w:tcPr>
            <w:tcW w:w="4050" w:type="dxa"/>
          </w:tcPr>
          <w:p w14:paraId="296E7406" w14:textId="77777777" w:rsidR="00C1192B" w:rsidRPr="00906FFC" w:rsidRDefault="00C1192B" w:rsidP="00F84520">
            <w:pPr>
              <w:adjustRightInd w:val="0"/>
              <w:spacing w:before="120" w:after="160"/>
              <w:outlineLvl w:val="0"/>
              <w:rPr>
                <w:rFonts w:ascii="Arial" w:eastAsia="SimSun" w:hAnsi="Arial" w:cs="Arial"/>
                <w:sz w:val="22"/>
                <w:szCs w:val="22"/>
              </w:rPr>
            </w:pPr>
            <w:r w:rsidRPr="00906FFC">
              <w:rPr>
                <w:rFonts w:ascii="Arial" w:eastAsia="SimSun" w:hAnsi="Arial" w:cs="Arial"/>
                <w:sz w:val="22"/>
                <w:szCs w:val="22"/>
              </w:rPr>
              <w:t>Ouverture</w:t>
            </w:r>
          </w:p>
        </w:tc>
        <w:tc>
          <w:tcPr>
            <w:tcW w:w="3636" w:type="dxa"/>
          </w:tcPr>
          <w:p w14:paraId="0D65D530" w14:textId="77777777" w:rsidR="00C1192B" w:rsidRPr="00906FFC" w:rsidRDefault="00C1192B" w:rsidP="00F84520">
            <w:pPr>
              <w:adjustRightInd w:val="0"/>
              <w:spacing w:before="120" w:after="160"/>
              <w:outlineLvl w:val="0"/>
              <w:rPr>
                <w:rFonts w:ascii="Arial" w:eastAsia="SimSun" w:hAnsi="Arial" w:cs="Arial"/>
                <w:sz w:val="22"/>
                <w:szCs w:val="22"/>
              </w:rPr>
            </w:pPr>
          </w:p>
        </w:tc>
      </w:tr>
      <w:tr w:rsidR="00C1192B" w:rsidRPr="00906FFC" w14:paraId="59721129" w14:textId="77777777" w:rsidTr="00F84520">
        <w:tc>
          <w:tcPr>
            <w:tcW w:w="486" w:type="dxa"/>
          </w:tcPr>
          <w:p w14:paraId="02715F74" w14:textId="77777777" w:rsidR="00C1192B" w:rsidRPr="00906FFC" w:rsidRDefault="00C1192B" w:rsidP="00F84520">
            <w:pPr>
              <w:adjustRightInd w:val="0"/>
              <w:spacing w:before="120" w:after="160"/>
              <w:outlineLvl w:val="0"/>
              <w:rPr>
                <w:rFonts w:ascii="Arial" w:eastAsia="SimSun" w:hAnsi="Arial" w:cs="Arial"/>
                <w:sz w:val="22"/>
                <w:szCs w:val="22"/>
              </w:rPr>
            </w:pPr>
            <w:r w:rsidRPr="00906FFC">
              <w:rPr>
                <w:rFonts w:ascii="Arial" w:eastAsia="SimSun" w:hAnsi="Arial" w:cs="Arial"/>
                <w:sz w:val="22"/>
                <w:szCs w:val="22"/>
              </w:rPr>
              <w:t>2.</w:t>
            </w:r>
          </w:p>
        </w:tc>
        <w:tc>
          <w:tcPr>
            <w:tcW w:w="4050" w:type="dxa"/>
          </w:tcPr>
          <w:p w14:paraId="52678F8D" w14:textId="77777777" w:rsidR="00C1192B" w:rsidRPr="00906FFC" w:rsidRDefault="00C1192B" w:rsidP="00F84520">
            <w:pPr>
              <w:adjustRightInd w:val="0"/>
              <w:spacing w:before="120" w:after="160"/>
              <w:outlineLvl w:val="0"/>
              <w:rPr>
                <w:rFonts w:ascii="Arial" w:eastAsia="SimSun" w:hAnsi="Arial" w:cs="Arial"/>
                <w:sz w:val="22"/>
                <w:szCs w:val="22"/>
              </w:rPr>
            </w:pPr>
            <w:r w:rsidRPr="00906FFC">
              <w:rPr>
                <w:rFonts w:ascii="Arial" w:eastAsia="SimSun" w:hAnsi="Arial" w:cs="Arial"/>
                <w:sz w:val="22"/>
                <w:szCs w:val="22"/>
              </w:rPr>
              <w:t>Adoption de l’ordre du jour</w:t>
            </w:r>
          </w:p>
        </w:tc>
        <w:tc>
          <w:tcPr>
            <w:tcW w:w="3636" w:type="dxa"/>
          </w:tcPr>
          <w:p w14:paraId="69FAE6B8" w14:textId="77777777" w:rsidR="00C1192B" w:rsidRPr="00906FFC" w:rsidRDefault="00C1192B" w:rsidP="00F84520">
            <w:pPr>
              <w:adjustRightInd w:val="0"/>
              <w:spacing w:before="120" w:after="160"/>
              <w:outlineLvl w:val="0"/>
              <w:rPr>
                <w:rFonts w:ascii="Arial" w:eastAsia="SimSun" w:hAnsi="Arial" w:cs="Arial"/>
                <w:sz w:val="22"/>
                <w:szCs w:val="22"/>
              </w:rPr>
            </w:pPr>
            <w:r w:rsidRPr="00906FFC">
              <w:rPr>
                <w:rFonts w:ascii="Arial" w:hAnsi="Arial" w:cs="Arial"/>
                <w:sz w:val="22"/>
                <w:szCs w:val="22"/>
              </w:rPr>
              <w:t>LHE/22/17.COM 1.BUR/2 Rev. 2</w:t>
            </w:r>
          </w:p>
        </w:tc>
      </w:tr>
      <w:tr w:rsidR="00C1192B" w:rsidRPr="00906FFC" w14:paraId="5C1AC344" w14:textId="77777777" w:rsidTr="00F84520">
        <w:tc>
          <w:tcPr>
            <w:tcW w:w="486" w:type="dxa"/>
          </w:tcPr>
          <w:p w14:paraId="08093674" w14:textId="77777777" w:rsidR="00C1192B" w:rsidRPr="00906FFC" w:rsidRDefault="00C1192B" w:rsidP="00F84520">
            <w:pPr>
              <w:adjustRightInd w:val="0"/>
              <w:spacing w:before="120" w:after="160"/>
              <w:outlineLvl w:val="0"/>
              <w:rPr>
                <w:rFonts w:ascii="Arial" w:eastAsia="SimSun" w:hAnsi="Arial" w:cs="Arial"/>
                <w:sz w:val="22"/>
                <w:szCs w:val="22"/>
              </w:rPr>
            </w:pPr>
            <w:r w:rsidRPr="00906FFC">
              <w:rPr>
                <w:rFonts w:ascii="Arial" w:eastAsia="SimSun" w:hAnsi="Arial" w:cs="Arial"/>
                <w:sz w:val="22"/>
                <w:szCs w:val="22"/>
              </w:rPr>
              <w:t>3.</w:t>
            </w:r>
          </w:p>
        </w:tc>
        <w:tc>
          <w:tcPr>
            <w:tcW w:w="4050" w:type="dxa"/>
          </w:tcPr>
          <w:p w14:paraId="647AAA79" w14:textId="77777777" w:rsidR="00C1192B" w:rsidRPr="00906FFC" w:rsidRDefault="00C1192B" w:rsidP="00F84520">
            <w:pPr>
              <w:adjustRightInd w:val="0"/>
              <w:spacing w:before="120" w:after="160"/>
              <w:outlineLvl w:val="0"/>
              <w:rPr>
                <w:rFonts w:ascii="Arial" w:eastAsia="SimSun" w:hAnsi="Arial" w:cs="Arial"/>
                <w:sz w:val="22"/>
                <w:szCs w:val="22"/>
              </w:rPr>
            </w:pPr>
            <w:r w:rsidRPr="00906FFC">
              <w:rPr>
                <w:rFonts w:ascii="Arial" w:eastAsia="SimSun" w:hAnsi="Arial" w:cs="Arial"/>
                <w:sz w:val="22"/>
                <w:szCs w:val="22"/>
              </w:rPr>
              <w:t>Examen des demandes d’assistance internationale jusqu’à 100 000 dollars des États-Unis</w:t>
            </w:r>
          </w:p>
        </w:tc>
        <w:tc>
          <w:tcPr>
            <w:tcW w:w="3636" w:type="dxa"/>
          </w:tcPr>
          <w:p w14:paraId="50EAD5D9" w14:textId="77777777" w:rsidR="00C1192B" w:rsidRPr="00906FFC" w:rsidRDefault="00C1192B" w:rsidP="00F84520">
            <w:pPr>
              <w:adjustRightInd w:val="0"/>
              <w:spacing w:before="120" w:after="160"/>
              <w:outlineLvl w:val="0"/>
              <w:rPr>
                <w:rFonts w:ascii="Arial" w:eastAsia="SimSun" w:hAnsi="Arial" w:cs="Arial"/>
                <w:sz w:val="22"/>
                <w:szCs w:val="22"/>
              </w:rPr>
            </w:pPr>
            <w:r w:rsidRPr="00906FFC">
              <w:rPr>
                <w:rFonts w:ascii="Arial" w:hAnsi="Arial" w:cs="Arial"/>
                <w:sz w:val="22"/>
                <w:szCs w:val="22"/>
              </w:rPr>
              <w:t>LHE/22/17.COM 1.BUR/3</w:t>
            </w:r>
          </w:p>
        </w:tc>
      </w:tr>
      <w:tr w:rsidR="00C1192B" w:rsidRPr="00906FFC" w14:paraId="3EF15FD5" w14:textId="77777777" w:rsidTr="00F84520">
        <w:tc>
          <w:tcPr>
            <w:tcW w:w="486" w:type="dxa"/>
          </w:tcPr>
          <w:p w14:paraId="09C1F4F4" w14:textId="77777777" w:rsidR="00C1192B" w:rsidRPr="00906FFC" w:rsidRDefault="00C1192B" w:rsidP="00F84520">
            <w:pPr>
              <w:adjustRightInd w:val="0"/>
              <w:spacing w:before="120" w:after="160"/>
              <w:outlineLvl w:val="0"/>
              <w:rPr>
                <w:rFonts w:ascii="Arial" w:eastAsia="SimSun" w:hAnsi="Arial" w:cs="Arial"/>
                <w:sz w:val="22"/>
                <w:szCs w:val="22"/>
              </w:rPr>
            </w:pPr>
            <w:r w:rsidRPr="00906FFC">
              <w:rPr>
                <w:rFonts w:ascii="Arial" w:eastAsia="SimSun" w:hAnsi="Arial" w:cs="Arial"/>
                <w:sz w:val="22"/>
                <w:szCs w:val="22"/>
              </w:rPr>
              <w:t>4.</w:t>
            </w:r>
          </w:p>
        </w:tc>
        <w:tc>
          <w:tcPr>
            <w:tcW w:w="4050" w:type="dxa"/>
          </w:tcPr>
          <w:p w14:paraId="70DEE1AB" w14:textId="77777777" w:rsidR="00C1192B" w:rsidRPr="00906FFC" w:rsidRDefault="00C1192B" w:rsidP="00F84520">
            <w:pPr>
              <w:adjustRightInd w:val="0"/>
              <w:spacing w:before="120" w:after="160"/>
              <w:outlineLvl w:val="0"/>
              <w:rPr>
                <w:rFonts w:ascii="Arial" w:eastAsia="SimSun" w:hAnsi="Arial" w:cs="Arial"/>
                <w:sz w:val="22"/>
                <w:szCs w:val="22"/>
              </w:rPr>
            </w:pPr>
            <w:r w:rsidRPr="00906FFC">
              <w:rPr>
                <w:rFonts w:ascii="Arial" w:eastAsia="SimSun" w:hAnsi="Arial" w:cs="Arial"/>
                <w:sz w:val="22"/>
                <w:szCs w:val="22"/>
              </w:rPr>
              <w:t>Lieu de la dix-septième session du Comité</w:t>
            </w:r>
          </w:p>
        </w:tc>
        <w:tc>
          <w:tcPr>
            <w:tcW w:w="3636" w:type="dxa"/>
          </w:tcPr>
          <w:p w14:paraId="318463B2" w14:textId="77777777" w:rsidR="00C1192B" w:rsidRPr="00906FFC" w:rsidRDefault="00C1192B" w:rsidP="00F84520">
            <w:pPr>
              <w:adjustRightInd w:val="0"/>
              <w:spacing w:before="120" w:after="160"/>
              <w:outlineLvl w:val="0"/>
              <w:rPr>
                <w:rFonts w:ascii="Arial" w:hAnsi="Arial" w:cs="Arial"/>
                <w:sz w:val="22"/>
                <w:szCs w:val="22"/>
              </w:rPr>
            </w:pPr>
            <w:r w:rsidRPr="00906FFC">
              <w:rPr>
                <w:rFonts w:ascii="Arial" w:hAnsi="Arial" w:cs="Arial"/>
                <w:sz w:val="22"/>
                <w:szCs w:val="22"/>
              </w:rPr>
              <w:t>LHE/22/17.COM 1.BUR/4</w:t>
            </w:r>
          </w:p>
        </w:tc>
      </w:tr>
      <w:tr w:rsidR="00C1192B" w:rsidRPr="00906FFC" w14:paraId="74CD85E4" w14:textId="77777777" w:rsidTr="00F84520">
        <w:tc>
          <w:tcPr>
            <w:tcW w:w="486" w:type="dxa"/>
          </w:tcPr>
          <w:p w14:paraId="4CF642BF" w14:textId="77777777" w:rsidR="00C1192B" w:rsidRPr="00906FFC" w:rsidRDefault="00C1192B" w:rsidP="00F84520">
            <w:pPr>
              <w:adjustRightInd w:val="0"/>
              <w:spacing w:before="120" w:after="160"/>
              <w:outlineLvl w:val="0"/>
              <w:rPr>
                <w:rFonts w:ascii="Arial" w:eastAsia="SimSun" w:hAnsi="Arial" w:cs="Arial"/>
                <w:sz w:val="22"/>
                <w:szCs w:val="22"/>
              </w:rPr>
            </w:pPr>
            <w:r w:rsidRPr="00906FFC">
              <w:rPr>
                <w:rFonts w:ascii="Arial" w:eastAsia="SimSun" w:hAnsi="Arial" w:cs="Arial"/>
                <w:sz w:val="22"/>
                <w:szCs w:val="22"/>
              </w:rPr>
              <w:t>5.</w:t>
            </w:r>
          </w:p>
        </w:tc>
        <w:tc>
          <w:tcPr>
            <w:tcW w:w="4050" w:type="dxa"/>
          </w:tcPr>
          <w:p w14:paraId="1E6B8775" w14:textId="77777777" w:rsidR="00C1192B" w:rsidRPr="00906FFC" w:rsidRDefault="00C1192B" w:rsidP="00F84520">
            <w:pPr>
              <w:adjustRightInd w:val="0"/>
              <w:spacing w:before="120" w:after="160"/>
              <w:outlineLvl w:val="0"/>
              <w:rPr>
                <w:rFonts w:ascii="Arial" w:eastAsia="SimSun" w:hAnsi="Arial" w:cs="Arial"/>
                <w:sz w:val="22"/>
                <w:szCs w:val="22"/>
              </w:rPr>
            </w:pPr>
            <w:r w:rsidRPr="00906FFC">
              <w:rPr>
                <w:rFonts w:ascii="Arial" w:hAnsi="Arial" w:cs="Arial"/>
                <w:color w:val="202124"/>
                <w:sz w:val="21"/>
                <w:szCs w:val="21"/>
                <w:shd w:val="clear" w:color="auto" w:fill="FFFFFF"/>
              </w:rPr>
              <w:t>É</w:t>
            </w:r>
            <w:r w:rsidRPr="00906FFC">
              <w:rPr>
                <w:rFonts w:ascii="Arial" w:eastAsia="SimSun" w:hAnsi="Arial" w:cs="Arial"/>
                <w:sz w:val="22"/>
                <w:szCs w:val="22"/>
              </w:rPr>
              <w:t>lection du/de la Président(e) de la dix-septième session du Comité</w:t>
            </w:r>
          </w:p>
        </w:tc>
        <w:tc>
          <w:tcPr>
            <w:tcW w:w="3636" w:type="dxa"/>
          </w:tcPr>
          <w:p w14:paraId="1E3866D4" w14:textId="77777777" w:rsidR="00C1192B" w:rsidRPr="00906FFC" w:rsidRDefault="00C1192B" w:rsidP="00F84520">
            <w:pPr>
              <w:adjustRightInd w:val="0"/>
              <w:spacing w:before="120" w:after="160"/>
              <w:outlineLvl w:val="0"/>
              <w:rPr>
                <w:rFonts w:ascii="Arial" w:hAnsi="Arial" w:cs="Arial"/>
                <w:sz w:val="22"/>
                <w:szCs w:val="22"/>
              </w:rPr>
            </w:pPr>
            <w:r w:rsidRPr="00906FFC">
              <w:rPr>
                <w:rFonts w:ascii="Arial" w:hAnsi="Arial" w:cs="Arial"/>
                <w:sz w:val="22"/>
                <w:szCs w:val="22"/>
              </w:rPr>
              <w:t>LHE/22/17.COM 1.BUR/5</w:t>
            </w:r>
          </w:p>
        </w:tc>
      </w:tr>
      <w:tr w:rsidR="00C1192B" w:rsidRPr="00906FFC" w14:paraId="3F881D8F" w14:textId="77777777" w:rsidTr="00F84520">
        <w:tc>
          <w:tcPr>
            <w:tcW w:w="486" w:type="dxa"/>
          </w:tcPr>
          <w:p w14:paraId="0B96627C" w14:textId="77777777" w:rsidR="00C1192B" w:rsidRPr="00906FFC" w:rsidRDefault="00C1192B" w:rsidP="00F84520">
            <w:pPr>
              <w:adjustRightInd w:val="0"/>
              <w:spacing w:before="120" w:after="160"/>
              <w:outlineLvl w:val="0"/>
              <w:rPr>
                <w:rFonts w:ascii="Arial" w:eastAsia="SimSun" w:hAnsi="Arial" w:cs="Arial"/>
                <w:sz w:val="22"/>
                <w:szCs w:val="22"/>
              </w:rPr>
            </w:pPr>
            <w:r w:rsidRPr="00906FFC">
              <w:rPr>
                <w:rFonts w:ascii="Arial" w:eastAsia="SimSun" w:hAnsi="Arial" w:cs="Arial"/>
                <w:sz w:val="22"/>
                <w:szCs w:val="22"/>
              </w:rPr>
              <w:t>6.</w:t>
            </w:r>
          </w:p>
        </w:tc>
        <w:tc>
          <w:tcPr>
            <w:tcW w:w="4050" w:type="dxa"/>
          </w:tcPr>
          <w:p w14:paraId="234CDCD5" w14:textId="77777777" w:rsidR="00C1192B" w:rsidRPr="00906FFC" w:rsidRDefault="00C1192B" w:rsidP="00F84520">
            <w:pPr>
              <w:adjustRightInd w:val="0"/>
              <w:spacing w:before="120" w:after="160"/>
              <w:outlineLvl w:val="0"/>
              <w:rPr>
                <w:rFonts w:ascii="Arial" w:hAnsi="Arial" w:cs="Arial"/>
                <w:sz w:val="22"/>
                <w:szCs w:val="22"/>
              </w:rPr>
            </w:pPr>
            <w:r w:rsidRPr="00906FFC">
              <w:rPr>
                <w:rFonts w:ascii="Arial" w:hAnsi="Arial" w:cs="Arial"/>
                <w:sz w:val="22"/>
                <w:szCs w:val="22"/>
              </w:rPr>
              <w:t>Questions diverses</w:t>
            </w:r>
          </w:p>
          <w:p w14:paraId="56C08A2E" w14:textId="77777777" w:rsidR="00C1192B" w:rsidRPr="00906FFC" w:rsidRDefault="00C1192B" w:rsidP="00C1192B">
            <w:pPr>
              <w:pStyle w:val="Paragraphedeliste"/>
              <w:numPr>
                <w:ilvl w:val="0"/>
                <w:numId w:val="18"/>
              </w:numPr>
              <w:adjustRightInd w:val="0"/>
              <w:spacing w:before="120" w:after="160"/>
              <w:ind w:left="397" w:hanging="397"/>
              <w:contextualSpacing w:val="0"/>
              <w:outlineLvl w:val="0"/>
              <w:rPr>
                <w:rFonts w:ascii="Arial" w:hAnsi="Arial" w:cs="Arial"/>
                <w:sz w:val="22"/>
                <w:szCs w:val="22"/>
              </w:rPr>
            </w:pPr>
            <w:r w:rsidRPr="00906FFC">
              <w:rPr>
                <w:rFonts w:ascii="Arial" w:hAnsi="Arial" w:cs="Arial"/>
                <w:sz w:val="22"/>
                <w:szCs w:val="22"/>
              </w:rPr>
              <w:t>Dates des réunions statutaires en 2022</w:t>
            </w:r>
          </w:p>
          <w:p w14:paraId="3381E665" w14:textId="77777777" w:rsidR="00C1192B" w:rsidRPr="00906FFC" w:rsidRDefault="00C1192B" w:rsidP="00C1192B">
            <w:pPr>
              <w:pStyle w:val="Paragraphedeliste"/>
              <w:numPr>
                <w:ilvl w:val="0"/>
                <w:numId w:val="18"/>
              </w:numPr>
              <w:adjustRightInd w:val="0"/>
              <w:spacing w:before="120" w:after="160"/>
              <w:ind w:left="397" w:hanging="397"/>
              <w:contextualSpacing w:val="0"/>
              <w:outlineLvl w:val="0"/>
              <w:rPr>
                <w:rFonts w:ascii="Arial" w:hAnsi="Arial" w:cs="Arial"/>
                <w:sz w:val="22"/>
                <w:szCs w:val="22"/>
              </w:rPr>
            </w:pPr>
            <w:r w:rsidRPr="00906FFC">
              <w:rPr>
                <w:rFonts w:ascii="Arial" w:hAnsi="Arial" w:cs="Arial"/>
                <w:sz w:val="22"/>
                <w:szCs w:val="22"/>
              </w:rPr>
              <w:t>Candidatures du cycle 2022</w:t>
            </w:r>
          </w:p>
          <w:p w14:paraId="197088CF" w14:textId="77777777" w:rsidR="00C1192B" w:rsidRPr="00906FFC" w:rsidRDefault="00C1192B" w:rsidP="00C1192B">
            <w:pPr>
              <w:pStyle w:val="Paragraphedeliste"/>
              <w:numPr>
                <w:ilvl w:val="0"/>
                <w:numId w:val="18"/>
              </w:numPr>
              <w:adjustRightInd w:val="0"/>
              <w:spacing w:before="120" w:after="160"/>
              <w:ind w:left="397" w:hanging="397"/>
              <w:contextualSpacing w:val="0"/>
              <w:outlineLvl w:val="0"/>
              <w:rPr>
                <w:rFonts w:ascii="Arial" w:hAnsi="Arial" w:cs="Arial"/>
                <w:sz w:val="22"/>
                <w:szCs w:val="22"/>
              </w:rPr>
            </w:pPr>
            <w:r w:rsidRPr="00906FFC">
              <w:rPr>
                <w:rFonts w:ascii="Arial" w:hAnsi="Arial" w:cs="Arial"/>
                <w:sz w:val="22"/>
                <w:szCs w:val="22"/>
              </w:rPr>
              <w:t>Harmonisation du Règlement intérieur des organes directeurs de la Convention de 2003</w:t>
            </w:r>
          </w:p>
          <w:p w14:paraId="0D3D380E" w14:textId="77777777" w:rsidR="00C1192B" w:rsidRPr="00906FFC" w:rsidRDefault="00C1192B" w:rsidP="00C1192B">
            <w:pPr>
              <w:pStyle w:val="Paragraphedeliste"/>
              <w:numPr>
                <w:ilvl w:val="0"/>
                <w:numId w:val="18"/>
              </w:numPr>
              <w:adjustRightInd w:val="0"/>
              <w:spacing w:before="120" w:after="160"/>
              <w:ind w:left="397" w:hanging="397"/>
              <w:contextualSpacing w:val="0"/>
              <w:outlineLvl w:val="0"/>
              <w:rPr>
                <w:rFonts w:ascii="Arial" w:hAnsi="Arial" w:cs="Arial"/>
                <w:sz w:val="22"/>
                <w:szCs w:val="22"/>
              </w:rPr>
            </w:pPr>
            <w:r w:rsidRPr="00906FFC">
              <w:rPr>
                <w:rFonts w:ascii="Arial" w:hAnsi="Arial" w:cs="Arial"/>
                <w:sz w:val="22"/>
                <w:szCs w:val="22"/>
              </w:rPr>
              <w:t xml:space="preserve">Décision du Bureau de la dix-septième session du Comité intergouvernemental de sauvegarde du patrimoine culturel immatériel sur la situation actuelle en Ukraine </w:t>
            </w:r>
          </w:p>
          <w:p w14:paraId="009C362D" w14:textId="77777777" w:rsidR="00C1192B" w:rsidRPr="00906FFC" w:rsidRDefault="00C1192B" w:rsidP="00C1192B">
            <w:pPr>
              <w:pStyle w:val="Paragraphedeliste"/>
              <w:numPr>
                <w:ilvl w:val="0"/>
                <w:numId w:val="18"/>
              </w:numPr>
              <w:adjustRightInd w:val="0"/>
              <w:spacing w:before="120" w:after="160"/>
              <w:ind w:left="397" w:hanging="397"/>
              <w:contextualSpacing w:val="0"/>
              <w:outlineLvl w:val="0"/>
              <w:rPr>
                <w:rFonts w:ascii="Arial" w:hAnsi="Arial" w:cs="Arial"/>
                <w:sz w:val="22"/>
                <w:szCs w:val="22"/>
              </w:rPr>
            </w:pPr>
            <w:r w:rsidRPr="00906FFC">
              <w:rPr>
                <w:rFonts w:ascii="Arial" w:hAnsi="Arial" w:cs="Arial"/>
                <w:sz w:val="22"/>
                <w:szCs w:val="22"/>
              </w:rPr>
              <w:t>Autres questions</w:t>
            </w:r>
          </w:p>
        </w:tc>
        <w:tc>
          <w:tcPr>
            <w:tcW w:w="3636" w:type="dxa"/>
          </w:tcPr>
          <w:p w14:paraId="03D6FB99" w14:textId="77777777" w:rsidR="00C1192B" w:rsidRPr="00906FFC" w:rsidRDefault="00C1192B" w:rsidP="00F84520">
            <w:pPr>
              <w:adjustRightInd w:val="0"/>
              <w:spacing w:before="120" w:after="160"/>
              <w:outlineLvl w:val="0"/>
              <w:rPr>
                <w:rFonts w:ascii="Arial" w:eastAsia="SimSun" w:hAnsi="Arial" w:cs="Arial"/>
                <w:sz w:val="22"/>
                <w:szCs w:val="22"/>
              </w:rPr>
            </w:pPr>
          </w:p>
          <w:p w14:paraId="697EC63E" w14:textId="77777777" w:rsidR="00C1192B" w:rsidRPr="00906FFC" w:rsidRDefault="00C1192B" w:rsidP="00F84520">
            <w:pPr>
              <w:adjustRightInd w:val="0"/>
              <w:spacing w:before="120" w:after="160"/>
              <w:outlineLvl w:val="0"/>
              <w:rPr>
                <w:rFonts w:ascii="Arial" w:eastAsia="SimSun" w:hAnsi="Arial" w:cs="Arial"/>
                <w:sz w:val="22"/>
                <w:szCs w:val="22"/>
              </w:rPr>
            </w:pPr>
            <w:r w:rsidRPr="00906FFC">
              <w:rPr>
                <w:rFonts w:ascii="Arial" w:hAnsi="Arial" w:cs="Arial"/>
                <w:sz w:val="22"/>
                <w:szCs w:val="22"/>
              </w:rPr>
              <w:t>LHE/22/Calendrier Rev.</w:t>
            </w:r>
          </w:p>
        </w:tc>
      </w:tr>
      <w:tr w:rsidR="00C1192B" w:rsidRPr="00906FFC" w14:paraId="277A48E5" w14:textId="77777777" w:rsidTr="00F84520">
        <w:tc>
          <w:tcPr>
            <w:tcW w:w="486" w:type="dxa"/>
          </w:tcPr>
          <w:p w14:paraId="63E2DA27" w14:textId="77777777" w:rsidR="00C1192B" w:rsidRPr="00906FFC" w:rsidRDefault="00C1192B" w:rsidP="00F84520">
            <w:pPr>
              <w:adjustRightInd w:val="0"/>
              <w:spacing w:before="120" w:after="160"/>
              <w:outlineLvl w:val="0"/>
              <w:rPr>
                <w:rFonts w:ascii="Arial" w:eastAsia="SimSun" w:hAnsi="Arial" w:cs="Arial"/>
                <w:sz w:val="22"/>
                <w:szCs w:val="22"/>
              </w:rPr>
            </w:pPr>
            <w:r w:rsidRPr="00906FFC">
              <w:rPr>
                <w:rFonts w:ascii="Arial" w:eastAsia="SimSun" w:hAnsi="Arial" w:cs="Arial"/>
                <w:sz w:val="22"/>
                <w:szCs w:val="22"/>
              </w:rPr>
              <w:t>7.</w:t>
            </w:r>
          </w:p>
        </w:tc>
        <w:tc>
          <w:tcPr>
            <w:tcW w:w="4050" w:type="dxa"/>
          </w:tcPr>
          <w:p w14:paraId="10D7F6E4" w14:textId="77777777" w:rsidR="00C1192B" w:rsidRPr="00906FFC" w:rsidRDefault="00C1192B" w:rsidP="00F84520">
            <w:pPr>
              <w:adjustRightInd w:val="0"/>
              <w:spacing w:before="120" w:after="160"/>
              <w:outlineLvl w:val="0"/>
              <w:rPr>
                <w:rFonts w:ascii="Arial" w:eastAsia="SimSun" w:hAnsi="Arial" w:cs="Arial"/>
                <w:sz w:val="22"/>
                <w:szCs w:val="22"/>
              </w:rPr>
            </w:pPr>
            <w:r w:rsidRPr="00906FFC">
              <w:rPr>
                <w:rFonts w:ascii="Arial" w:eastAsia="SimSun" w:hAnsi="Arial" w:cs="Arial"/>
                <w:sz w:val="22"/>
                <w:szCs w:val="22"/>
              </w:rPr>
              <w:t>Clôture</w:t>
            </w:r>
          </w:p>
        </w:tc>
        <w:tc>
          <w:tcPr>
            <w:tcW w:w="3636" w:type="dxa"/>
          </w:tcPr>
          <w:p w14:paraId="482751CF" w14:textId="77777777" w:rsidR="00C1192B" w:rsidRPr="00906FFC" w:rsidRDefault="00C1192B" w:rsidP="00F84520">
            <w:pPr>
              <w:adjustRightInd w:val="0"/>
              <w:spacing w:before="120" w:after="160"/>
              <w:outlineLvl w:val="0"/>
              <w:rPr>
                <w:rFonts w:ascii="Arial" w:hAnsi="Arial" w:cs="Arial"/>
                <w:sz w:val="22"/>
                <w:szCs w:val="22"/>
              </w:rPr>
            </w:pPr>
          </w:p>
        </w:tc>
      </w:tr>
    </w:tbl>
    <w:p w14:paraId="4F7C96FA" w14:textId="77777777" w:rsidR="00721B50" w:rsidRDefault="00721B50">
      <w:pPr>
        <w:rPr>
          <w:rFonts w:ascii="Arial" w:hAnsi="Arial" w:cs="Arial"/>
          <w:b/>
          <w:snapToGrid w:val="0"/>
          <w:sz w:val="22"/>
          <w:szCs w:val="22"/>
          <w:lang w:eastAsia="en-GB"/>
        </w:rPr>
      </w:pPr>
      <w:r>
        <w:rPr>
          <w:b/>
        </w:rPr>
        <w:br w:type="page"/>
      </w:r>
    </w:p>
    <w:p w14:paraId="5DA3B4AF" w14:textId="5B00AA76" w:rsidR="00C1192B" w:rsidRPr="00906FFC" w:rsidRDefault="00C1192B" w:rsidP="006608CB">
      <w:pPr>
        <w:pStyle w:val="COMPara"/>
        <w:keepNext/>
        <w:spacing w:before="240"/>
        <w:ind w:left="153" w:hanging="153"/>
      </w:pPr>
      <w:r w:rsidRPr="00906FFC">
        <w:rPr>
          <w:b/>
        </w:rPr>
        <w:lastRenderedPageBreak/>
        <w:t>DÉCISION 17.COM 1.BUR</w:t>
      </w:r>
      <w:bookmarkStart w:id="0" w:name="_Hlk70614833"/>
      <w:bookmarkStart w:id="1" w:name="_Hlk53501546"/>
      <w:r w:rsidRPr="00906FFC">
        <w:t xml:space="preserve"> </w:t>
      </w:r>
      <w:r w:rsidRPr="00906FFC">
        <w:rPr>
          <w:b/>
        </w:rPr>
        <w:t>3</w:t>
      </w:r>
      <w:bookmarkEnd w:id="0"/>
      <w:bookmarkEnd w:id="1"/>
    </w:p>
    <w:p w14:paraId="6C577936" w14:textId="77777777" w:rsidR="00C1192B" w:rsidRPr="00906FFC" w:rsidRDefault="00C1192B" w:rsidP="00B11D3A">
      <w:pPr>
        <w:keepNext/>
        <w:spacing w:before="120" w:after="120"/>
        <w:ind w:left="567" w:hanging="567"/>
        <w:jc w:val="both"/>
        <w:rPr>
          <w:rFonts w:ascii="Arial" w:hAnsi="Arial" w:cs="Arial"/>
          <w:sz w:val="22"/>
          <w:szCs w:val="22"/>
        </w:rPr>
      </w:pPr>
      <w:r w:rsidRPr="00906FFC">
        <w:rPr>
          <w:rFonts w:ascii="Arial" w:hAnsi="Arial"/>
          <w:sz w:val="22"/>
        </w:rPr>
        <w:t>Le Bureau,</w:t>
      </w:r>
    </w:p>
    <w:p w14:paraId="72D1EC13" w14:textId="77777777" w:rsidR="00C1192B" w:rsidRPr="00906FFC" w:rsidRDefault="00C1192B" w:rsidP="00B11D3A">
      <w:pPr>
        <w:pStyle w:val="Paragraphedeliste"/>
        <w:numPr>
          <w:ilvl w:val="0"/>
          <w:numId w:val="19"/>
        </w:numPr>
        <w:spacing w:before="120" w:after="120"/>
        <w:ind w:left="567" w:hanging="567"/>
        <w:contextualSpacing w:val="0"/>
        <w:jc w:val="both"/>
        <w:rPr>
          <w:rFonts w:ascii="Arial" w:hAnsi="Arial" w:cs="Arial"/>
          <w:sz w:val="22"/>
          <w:szCs w:val="22"/>
        </w:rPr>
      </w:pPr>
      <w:r w:rsidRPr="00906FFC">
        <w:rPr>
          <w:rFonts w:ascii="Arial" w:hAnsi="Arial"/>
          <w:sz w:val="22"/>
          <w:u w:val="single"/>
        </w:rPr>
        <w:t>Rappelant</w:t>
      </w:r>
      <w:r w:rsidRPr="00906FFC">
        <w:rPr>
          <w:rFonts w:ascii="Arial" w:hAnsi="Arial"/>
          <w:sz w:val="22"/>
        </w:rPr>
        <w:t xml:space="preserve"> l’article 23 de la Convention, ainsi que le chapitre I.4 des Directives opérationnelles relatives aux critères d’admissibilité des demandes d’assistance internationale,</w:t>
      </w:r>
    </w:p>
    <w:p w14:paraId="7A5A7E9F" w14:textId="6C43B992" w:rsidR="00C1192B" w:rsidRPr="00906FFC" w:rsidRDefault="00C1192B" w:rsidP="00B11D3A">
      <w:pPr>
        <w:pStyle w:val="Paragraphedeliste"/>
        <w:numPr>
          <w:ilvl w:val="0"/>
          <w:numId w:val="19"/>
        </w:numPr>
        <w:spacing w:before="120" w:after="120"/>
        <w:ind w:left="567" w:hanging="567"/>
        <w:contextualSpacing w:val="0"/>
        <w:jc w:val="both"/>
        <w:rPr>
          <w:rFonts w:ascii="Arial" w:hAnsi="Arial" w:cs="Arial"/>
          <w:sz w:val="22"/>
          <w:szCs w:val="22"/>
        </w:rPr>
      </w:pPr>
      <w:r w:rsidRPr="00906FFC">
        <w:rPr>
          <w:rFonts w:ascii="Arial" w:hAnsi="Arial"/>
          <w:sz w:val="22"/>
          <w:u w:val="single"/>
        </w:rPr>
        <w:t>Ayant examiné</w:t>
      </w:r>
      <w:r w:rsidRPr="00906FFC">
        <w:rPr>
          <w:rFonts w:ascii="Arial" w:hAnsi="Arial"/>
          <w:sz w:val="22"/>
        </w:rPr>
        <w:t xml:space="preserve"> le document LHE/22/17.COM 1.BUR/3 ainsi que la demande d’assistance internationale n° 01926 soumise par la Colombie,</w:t>
      </w:r>
    </w:p>
    <w:p w14:paraId="7CB8A55A" w14:textId="77777777" w:rsidR="00C1192B" w:rsidRPr="00906FFC" w:rsidRDefault="00C1192B" w:rsidP="00B11D3A">
      <w:pPr>
        <w:pStyle w:val="Paragraphedeliste"/>
        <w:numPr>
          <w:ilvl w:val="0"/>
          <w:numId w:val="19"/>
        </w:numPr>
        <w:spacing w:before="120" w:after="120"/>
        <w:ind w:left="567" w:hanging="567"/>
        <w:contextualSpacing w:val="0"/>
        <w:jc w:val="both"/>
        <w:rPr>
          <w:rFonts w:ascii="Arial" w:hAnsi="Arial" w:cs="Arial"/>
          <w:sz w:val="22"/>
          <w:szCs w:val="22"/>
        </w:rPr>
      </w:pPr>
      <w:r w:rsidRPr="00906FFC">
        <w:rPr>
          <w:rFonts w:ascii="Arial" w:hAnsi="Arial"/>
          <w:sz w:val="22"/>
          <w:u w:val="single"/>
        </w:rPr>
        <w:t>Prend note</w:t>
      </w:r>
      <w:r w:rsidRPr="00906FFC">
        <w:rPr>
          <w:rFonts w:ascii="Arial" w:hAnsi="Arial"/>
          <w:sz w:val="22"/>
        </w:rPr>
        <w:t xml:space="preserve"> que la Colombie a demandé une assistance internationale pour le projet intitulé </w:t>
      </w:r>
      <w:r w:rsidRPr="00906FFC">
        <w:rPr>
          <w:rFonts w:ascii="Arial" w:hAnsi="Arial"/>
          <w:b/>
          <w:sz w:val="22"/>
        </w:rPr>
        <w:t xml:space="preserve">Entre l’Amazonie et les Andes : sauvegarde et transmission des connaissances et techniques traditionnelles associées au vernis de Pasto mopa-mopa des </w:t>
      </w:r>
      <w:bookmarkStart w:id="2" w:name="_Hlk94262435"/>
      <w:r w:rsidRPr="00906FFC">
        <w:rPr>
          <w:rFonts w:ascii="Arial" w:hAnsi="Arial"/>
          <w:b/>
          <w:sz w:val="22"/>
        </w:rPr>
        <w:t xml:space="preserve">départements </w:t>
      </w:r>
      <w:bookmarkEnd w:id="2"/>
      <w:r w:rsidRPr="00906FFC">
        <w:rPr>
          <w:rFonts w:ascii="Arial" w:hAnsi="Arial"/>
          <w:b/>
          <w:sz w:val="22"/>
        </w:rPr>
        <w:t>colombiens de Putumayo et Nariño</w:t>
      </w:r>
      <w:r w:rsidRPr="00906FFC">
        <w:rPr>
          <w:rFonts w:ascii="Arial" w:hAnsi="Arial"/>
          <w:sz w:val="22"/>
        </w:rPr>
        <w:t> :</w:t>
      </w:r>
    </w:p>
    <w:p w14:paraId="52AC56D2" w14:textId="77777777" w:rsidR="00C1192B" w:rsidRPr="00906FFC" w:rsidRDefault="00C1192B" w:rsidP="00B11D3A">
      <w:pPr>
        <w:pStyle w:val="Paragraphedeliste"/>
        <w:spacing w:before="120" w:after="120"/>
        <w:ind w:left="567"/>
        <w:contextualSpacing w:val="0"/>
        <w:jc w:val="both"/>
        <w:rPr>
          <w:rFonts w:ascii="Arial" w:hAnsi="Arial" w:cs="Arial"/>
          <w:sz w:val="22"/>
          <w:szCs w:val="22"/>
        </w:rPr>
      </w:pPr>
      <w:r w:rsidRPr="00906FFC">
        <w:rPr>
          <w:rFonts w:ascii="Arial" w:hAnsi="Arial"/>
          <w:sz w:val="22"/>
        </w:rPr>
        <w:t xml:space="preserve">Ce projet de vingt mois, qui doit être mis en œuvre par la fondation Mundo </w:t>
      </w:r>
      <w:proofErr w:type="spellStart"/>
      <w:r w:rsidRPr="00906FFC">
        <w:rPr>
          <w:rFonts w:ascii="Arial" w:hAnsi="Arial"/>
          <w:sz w:val="22"/>
        </w:rPr>
        <w:t>Espiral</w:t>
      </w:r>
      <w:proofErr w:type="spellEnd"/>
      <w:r w:rsidRPr="00906FFC">
        <w:rPr>
          <w:rFonts w:ascii="Arial" w:hAnsi="Arial"/>
          <w:sz w:val="22"/>
        </w:rPr>
        <w:t>, vise à renforcer les capacités et les conditions d’apprentissage et de transmission des « connaissances et techniques traditionnelles associées au vernis de Pasto mopa-mopa de Putumayo et de Nariño », un élément inscrit sur la Liste du patrimoine culturel immatériel nécessitant une sauvegarde urgente en 2020. Le projet cherche à soutenir les initiatives lancées par les praticiens (récolteurs, artisans du bois, vernisseurs) pour garantir la sauvegarde future de l’élément, avec quatre activités principales : (a) une formation de renforcement des capacités des formateurs destinée à cinquante-cinq praticiens ; (b) un programme pilote d’apprentissage dans lequel chaque praticien travaillera aux côtés d’un apprenti dans un environnement d’apprentissage individuel ; (c) une documentation sur la vie et le travail des praticiens du vernis de Pasto mopa-mopa, qui donnera lieu à une publication et à un documentaire vidéo et (d) des initiatives de sensibilisation ciblant les jeunes apprentis, les communautés de Nariño et de Putumayo et les parties prenantes clés, telles que le secteur privé, les entités publiques locales et les organisations non gouvernementales locales. Le projet s’achèvera avec un événement mettant en avant les deux communautés et une table ronde réunissant les parties prenantes pour réfléchir aux possibilités et initiatives futures contribuant à la sauvegarde et à la viabilité de l'élément. Le programme pilote d’apprentissage sera également intégré à la « Stratégie de sauvegarde de l’artisanat traditionnel pour la consolidation de la paix »,</w:t>
      </w:r>
      <w:r w:rsidRPr="00906FFC">
        <w:t xml:space="preserve"> </w:t>
      </w:r>
      <w:r w:rsidRPr="00906FFC">
        <w:rPr>
          <w:rFonts w:ascii="Arial" w:hAnsi="Arial"/>
          <w:sz w:val="22"/>
        </w:rPr>
        <w:t>sélectionné sur le Registre de bonnes pratiques de sauvegarde en 2019.</w:t>
      </w:r>
    </w:p>
    <w:p w14:paraId="388B8A22" w14:textId="77777777" w:rsidR="00C1192B" w:rsidRPr="00906FFC" w:rsidRDefault="00C1192B" w:rsidP="00B11D3A">
      <w:pPr>
        <w:pStyle w:val="Paragraphedeliste"/>
        <w:numPr>
          <w:ilvl w:val="0"/>
          <w:numId w:val="19"/>
        </w:numPr>
        <w:spacing w:before="120" w:after="120"/>
        <w:ind w:left="567" w:hanging="567"/>
        <w:contextualSpacing w:val="0"/>
        <w:jc w:val="both"/>
        <w:rPr>
          <w:rFonts w:ascii="Arial" w:hAnsi="Arial" w:cs="Arial"/>
          <w:sz w:val="22"/>
          <w:szCs w:val="22"/>
        </w:rPr>
      </w:pPr>
      <w:r w:rsidRPr="00906FFC">
        <w:rPr>
          <w:rFonts w:ascii="Arial" w:hAnsi="Arial"/>
          <w:sz w:val="22"/>
          <w:u w:val="single"/>
        </w:rPr>
        <w:t>Prend note en outre</w:t>
      </w:r>
      <w:r w:rsidRPr="00906FFC">
        <w:rPr>
          <w:rFonts w:ascii="Arial" w:hAnsi="Arial"/>
          <w:sz w:val="22"/>
        </w:rPr>
        <w:t xml:space="preserve"> que cette assistance concerne l’appui à un projet mis en œuvre au niveau national, conformément à l’article 20 (c) de la Convention, et qu’elle prend la forme d’</w:t>
      </w:r>
      <w:r w:rsidRPr="00906FFC">
        <w:rPr>
          <w:rFonts w:ascii="Arial" w:hAnsi="Arial"/>
          <w:b/>
          <w:sz w:val="22"/>
        </w:rPr>
        <w:t>octroi d’un don</w:t>
      </w:r>
      <w:r w:rsidRPr="00906FFC">
        <w:rPr>
          <w:rFonts w:ascii="Arial" w:hAnsi="Arial"/>
          <w:sz w:val="22"/>
        </w:rPr>
        <w:t>, conformément à l’article 21 (g) de la Convention ;</w:t>
      </w:r>
    </w:p>
    <w:p w14:paraId="5C3F1E01" w14:textId="2349937D" w:rsidR="00C1192B" w:rsidRPr="00906FFC" w:rsidRDefault="00C1192B" w:rsidP="00B11D3A">
      <w:pPr>
        <w:pStyle w:val="Paragraphedeliste"/>
        <w:numPr>
          <w:ilvl w:val="0"/>
          <w:numId w:val="19"/>
        </w:numPr>
        <w:spacing w:before="120" w:after="120"/>
        <w:ind w:left="567" w:hanging="567"/>
        <w:contextualSpacing w:val="0"/>
        <w:jc w:val="both"/>
        <w:rPr>
          <w:rFonts w:ascii="Arial" w:hAnsi="Arial" w:cs="Arial"/>
          <w:sz w:val="22"/>
          <w:szCs w:val="22"/>
        </w:rPr>
      </w:pPr>
      <w:r w:rsidRPr="00906FFC">
        <w:rPr>
          <w:rFonts w:ascii="Arial" w:hAnsi="Arial"/>
          <w:sz w:val="22"/>
          <w:u w:val="single"/>
        </w:rPr>
        <w:t>Prend note également</w:t>
      </w:r>
      <w:r w:rsidRPr="00906FFC">
        <w:rPr>
          <w:rFonts w:ascii="Arial" w:hAnsi="Arial"/>
          <w:sz w:val="22"/>
        </w:rPr>
        <w:t xml:space="preserve"> que la Colombie a demandé une allocation d’un montant de </w:t>
      </w:r>
      <w:r w:rsidR="00015CD5" w:rsidRPr="00906FFC">
        <w:rPr>
          <w:rFonts w:ascii="Arial" w:hAnsi="Arial"/>
          <w:sz w:val="22"/>
        </w:rPr>
        <w:t>98 </w:t>
      </w:r>
      <w:r w:rsidRPr="00906FFC">
        <w:rPr>
          <w:rFonts w:ascii="Arial" w:hAnsi="Arial"/>
          <w:sz w:val="22"/>
        </w:rPr>
        <w:t>925</w:t>
      </w:r>
      <w:r w:rsidR="00015CD5" w:rsidRPr="00906FFC">
        <w:rPr>
          <w:rFonts w:ascii="Arial" w:hAnsi="Arial"/>
          <w:sz w:val="22"/>
        </w:rPr>
        <w:t> </w:t>
      </w:r>
      <w:r w:rsidRPr="00906FFC">
        <w:rPr>
          <w:rFonts w:ascii="Arial" w:hAnsi="Arial"/>
          <w:sz w:val="22"/>
        </w:rPr>
        <w:t>dollars des États-Unis du Fonds du patrimoine culturel immatériel pour la mise en œuvre de ce projet ;</w:t>
      </w:r>
    </w:p>
    <w:p w14:paraId="7C6EFC87" w14:textId="77777777" w:rsidR="00C1192B" w:rsidRPr="00906FFC" w:rsidRDefault="00C1192B" w:rsidP="00B11D3A">
      <w:pPr>
        <w:pStyle w:val="Paragraphedeliste"/>
        <w:numPr>
          <w:ilvl w:val="0"/>
          <w:numId w:val="19"/>
        </w:numPr>
        <w:spacing w:before="120" w:after="120"/>
        <w:ind w:left="567" w:hanging="567"/>
        <w:contextualSpacing w:val="0"/>
        <w:jc w:val="both"/>
        <w:rPr>
          <w:rFonts w:ascii="Arial" w:hAnsi="Arial" w:cs="Arial"/>
          <w:sz w:val="22"/>
          <w:szCs w:val="22"/>
        </w:rPr>
      </w:pPr>
      <w:r w:rsidRPr="00906FFC">
        <w:rPr>
          <w:rFonts w:ascii="Arial" w:hAnsi="Arial"/>
          <w:sz w:val="22"/>
          <w:u w:val="single"/>
        </w:rPr>
        <w:t>Décide</w:t>
      </w:r>
      <w:r w:rsidRPr="00906FFC">
        <w:rPr>
          <w:rFonts w:ascii="Arial" w:hAnsi="Arial"/>
          <w:sz w:val="22"/>
        </w:rPr>
        <w:t xml:space="preserve"> que, d’après les informations fournies dans le dossier n° 01926, la demande satisfait aux critères d’octroi de l’assistance internationale énoncés aux paragraphes 10 et 12 des Directives opérationnelles comme suit :</w:t>
      </w:r>
    </w:p>
    <w:p w14:paraId="48DAC406" w14:textId="77777777" w:rsidR="00C1192B" w:rsidRPr="00906FFC" w:rsidRDefault="00C1192B" w:rsidP="00B11D3A">
      <w:pPr>
        <w:pStyle w:val="Marge"/>
        <w:spacing w:before="120" w:after="120"/>
        <w:ind w:left="567"/>
        <w:rPr>
          <w:szCs w:val="22"/>
        </w:rPr>
      </w:pPr>
      <w:r w:rsidRPr="00906FFC">
        <w:rPr>
          <w:b/>
        </w:rPr>
        <w:t>Critère A.1</w:t>
      </w:r>
      <w:r w:rsidRPr="00906FFC">
        <w:t> : Le projet concerne les communautés associées au vernis de Pasto mopa-mopa de Putumayo et Nariño. Les principaux bénéficiaires du projet sont les praticiens et les artisans de ces pratiques traditionnelles (récolteurs, menuisiers, sculpteurs et vernisseurs) ainsi que les futurs apprentis. Les praticiens ont collaboré avec l’agence de mise en œuvre proposée et le Ministère de la culture pour élaborer la demande. Plus précisément, ils ont participé à trois réunions visant à identifier les risques et les lacunes à l’origine de la nécessité d’une sauvegarde urgente de l’élément. Le projet met l’accent sur le rôle central et actif des communautés tout au long de la mise en œuvre, de la planification au suivi.</w:t>
      </w:r>
    </w:p>
    <w:p w14:paraId="0B9EF320" w14:textId="77777777" w:rsidR="00C1192B" w:rsidRPr="00906FFC" w:rsidRDefault="00C1192B" w:rsidP="00B11D3A">
      <w:pPr>
        <w:pStyle w:val="Paragraphedeliste"/>
        <w:spacing w:before="120" w:after="120"/>
        <w:ind w:left="567"/>
        <w:contextualSpacing w:val="0"/>
        <w:jc w:val="both"/>
        <w:rPr>
          <w:rFonts w:ascii="Arial" w:hAnsi="Arial"/>
          <w:sz w:val="22"/>
        </w:rPr>
      </w:pPr>
      <w:r w:rsidRPr="00906FFC">
        <w:rPr>
          <w:rFonts w:ascii="Arial" w:hAnsi="Arial"/>
          <w:b/>
          <w:sz w:val="22"/>
        </w:rPr>
        <w:t>Critère A.2</w:t>
      </w:r>
      <w:r w:rsidRPr="00906FFC">
        <w:rPr>
          <w:rFonts w:ascii="Arial" w:hAnsi="Arial"/>
          <w:sz w:val="22"/>
        </w:rPr>
        <w:t> : Le budget est présenté de manière structurée, il correspond aux activités prévues et à la durée proposée. Toutefois, des informations plus détaillées auraient pu être fournies pour certains postes de dépenses, concernant notamment la documentation (activité 4), la diffusion et la sensibilisation (activité 5).</w:t>
      </w:r>
    </w:p>
    <w:p w14:paraId="4D37DF1C" w14:textId="0BA269AA" w:rsidR="00C1192B" w:rsidRPr="00906FFC" w:rsidRDefault="00C1192B" w:rsidP="00B11D3A">
      <w:pPr>
        <w:ind w:left="567"/>
        <w:jc w:val="both"/>
        <w:rPr>
          <w:rFonts w:ascii="Arial" w:hAnsi="Arial" w:cs="Arial"/>
          <w:sz w:val="22"/>
          <w:szCs w:val="22"/>
        </w:rPr>
      </w:pPr>
      <w:r w:rsidRPr="00906FFC">
        <w:rPr>
          <w:rFonts w:ascii="Arial" w:hAnsi="Arial"/>
          <w:b/>
          <w:sz w:val="22"/>
        </w:rPr>
        <w:lastRenderedPageBreak/>
        <w:t>Critère A.3</w:t>
      </w:r>
      <w:r w:rsidRPr="00906FFC">
        <w:rPr>
          <w:rFonts w:ascii="Arial" w:hAnsi="Arial"/>
          <w:sz w:val="22"/>
        </w:rPr>
        <w:t> : Les activités proposées sont cohérentes et bien planifiées concernant les objectifs et les résultats escomptés du projet, qui s’articule autour de quatre composantes principales : le renforcement des capacités, la documentation, la sensibilisation et les possibilités de réseautage. Le projet sera clôturé avec une table ronde réunissant des praticiens, les secteurs public et privé et des organisations non gouvernementales locales pour développer des initiatives conjointes et des opportunités d’emploi susceptibles de contribuer à la sauvegarde et à la viabilité des connaissances et techniques traditionnelles associées au vernis de Pasto mopa-mopa. En outre, l’ordre des activités proposées est logique et le calendrier prévu semble réaliste pour obtenir les résultats attendus.</w:t>
      </w:r>
    </w:p>
    <w:p w14:paraId="73772556" w14:textId="77777777" w:rsidR="00C1192B" w:rsidRPr="00906FFC" w:rsidRDefault="00C1192B" w:rsidP="00B11D3A">
      <w:pPr>
        <w:pStyle w:val="Paragraphedeliste"/>
        <w:spacing w:before="120" w:after="120"/>
        <w:ind w:left="567"/>
        <w:contextualSpacing w:val="0"/>
        <w:jc w:val="both"/>
        <w:rPr>
          <w:rFonts w:ascii="Arial" w:hAnsi="Arial" w:cs="Arial"/>
          <w:sz w:val="22"/>
          <w:szCs w:val="22"/>
        </w:rPr>
      </w:pPr>
      <w:r w:rsidRPr="00906FFC">
        <w:rPr>
          <w:rFonts w:ascii="Arial" w:hAnsi="Arial"/>
          <w:b/>
          <w:sz w:val="22"/>
        </w:rPr>
        <w:t>Critère A.4</w:t>
      </w:r>
      <w:r w:rsidRPr="00906FFC">
        <w:rPr>
          <w:rFonts w:ascii="Arial" w:hAnsi="Arial"/>
          <w:sz w:val="22"/>
        </w:rPr>
        <w:t xml:space="preserve"> : Le projet devrait renforcer les capacités des praticiens, qui pourront alors partager et diffuser leurs connaissances et leurs savoir-faire traditionnels auprès des membres de la communauté, apprentis et autres artisans notamment. La production de matériel audiovisuel permettrait de promouvoir les résultats du projet et de sensibiliser la société civile, les jeunes et les différentes parties prenantes à l'importance de la sauvegarde du patrimoine culturel immatériel. Le projet contribuerait également à la viabilité de ces pratiques et à la transmission des connaissances à d’autres membres de la communauté. L’élément « Les connaissances et techniques traditionnelles associées au vernis de Pasto mopa-mopa de Putumayo et de Nariño » est inscrit sur la Liste du patrimoine culturel immatériel nécessitant une sauvegarde urgente, et ce projet fera partie du plan de sauvegarde de l'élément. Cependant, la durabilité du projet dépend de l’approche adoptée pour pérenniser les résultats obtenus. Il convient ainsi de s’assurer que les connaissances et les savoir-faire transmis à l’occasion du projet continuent à l’être après sa clôture. À cet effet, il est recommandé à l’État partie soumissionnaire de définir les mécanismes nécessaires à la poursuite </w:t>
      </w:r>
      <w:bookmarkStart w:id="3" w:name="_Hlk94713570"/>
      <w:r w:rsidRPr="00906FFC">
        <w:rPr>
          <w:rFonts w:ascii="Arial" w:hAnsi="Arial"/>
          <w:sz w:val="22"/>
        </w:rPr>
        <w:t xml:space="preserve">du programme pilote d’apprentissage </w:t>
      </w:r>
      <w:bookmarkEnd w:id="3"/>
      <w:r w:rsidRPr="00906FFC">
        <w:rPr>
          <w:rFonts w:ascii="Arial" w:hAnsi="Arial"/>
          <w:sz w:val="22"/>
        </w:rPr>
        <w:t>et d’identifier un financement pour couvrir ces coûts.</w:t>
      </w:r>
    </w:p>
    <w:p w14:paraId="3CE05139" w14:textId="77777777" w:rsidR="00C1192B" w:rsidRPr="00906FFC" w:rsidRDefault="00C1192B" w:rsidP="00B11D3A">
      <w:pPr>
        <w:pStyle w:val="Paragraphedeliste"/>
        <w:spacing w:before="120" w:after="120"/>
        <w:ind w:left="567"/>
        <w:contextualSpacing w:val="0"/>
        <w:jc w:val="both"/>
        <w:rPr>
          <w:rFonts w:ascii="Arial" w:hAnsi="Arial" w:cs="Arial"/>
          <w:sz w:val="22"/>
          <w:szCs w:val="22"/>
        </w:rPr>
      </w:pPr>
      <w:r w:rsidRPr="00906FFC">
        <w:rPr>
          <w:rFonts w:ascii="Arial" w:hAnsi="Arial"/>
          <w:b/>
          <w:sz w:val="22"/>
        </w:rPr>
        <w:t>Critère A.5</w:t>
      </w:r>
      <w:r w:rsidRPr="00906FFC">
        <w:rPr>
          <w:rFonts w:ascii="Arial" w:hAnsi="Arial"/>
          <w:sz w:val="22"/>
        </w:rPr>
        <w:t> : L’État demandeur financera 34 pour cent du budget total du projet pour lequel une assistance internationale est demandée au Fonds du patrimoine culturel immatériel et d’autres partenaires contribueront à hauteur de 2 pour cent.</w:t>
      </w:r>
    </w:p>
    <w:p w14:paraId="0498D0A7" w14:textId="43985BDD" w:rsidR="00C1192B" w:rsidRPr="00906FFC" w:rsidRDefault="00C1192B" w:rsidP="00B11D3A">
      <w:pPr>
        <w:pStyle w:val="Paragraphedeliste"/>
        <w:spacing w:before="120" w:after="120"/>
        <w:ind w:left="567"/>
        <w:contextualSpacing w:val="0"/>
        <w:jc w:val="both"/>
        <w:rPr>
          <w:rFonts w:ascii="Arial" w:hAnsi="Arial" w:cs="Arial"/>
          <w:sz w:val="22"/>
          <w:szCs w:val="22"/>
        </w:rPr>
      </w:pPr>
      <w:r w:rsidRPr="00906FFC">
        <w:rPr>
          <w:rFonts w:ascii="Arial" w:hAnsi="Arial"/>
          <w:b/>
          <w:sz w:val="22"/>
        </w:rPr>
        <w:t>Critère A.6</w:t>
      </w:r>
      <w:r w:rsidRPr="00906FFC">
        <w:rPr>
          <w:rFonts w:ascii="Arial" w:hAnsi="Arial"/>
          <w:sz w:val="22"/>
        </w:rPr>
        <w:t xml:space="preserve"> : Le projet cible le renforcement des capacités des communautés à renforcer la viabilité des connaissances et des techniques traditionnelles associées au vernis de Pasto mopa-mopa afin de les transmettre aux générations futures. À l’occasion des deux ateliers de formation des formateurs, cinquante-cinq praticiens et artisans participeront à la conception du « programme pilote d’apprentissage » dans leurs domaines d’expertise : techniques de vernissage, travail du bois et récolte des bourgeons de mopa-mopa. Les ateliers viseront également à créer un certificat de formation aux métiers de l’artisanat liés à cet élément. Le projet prévoit la formation des apprentis par les praticiens formés et la transmission des connaissances et savoir-faire dans le cadre d’un programme pilote d’apprentissage de 100 heures. En outre, les sessions de formation seront enregistrées pour documenter les connaissances et les techniques associées au </w:t>
      </w:r>
      <w:proofErr w:type="spellStart"/>
      <w:r w:rsidRPr="00906FFC">
        <w:rPr>
          <w:rFonts w:ascii="Arial" w:hAnsi="Arial"/>
          <w:sz w:val="22"/>
        </w:rPr>
        <w:t>mopa-mopa</w:t>
      </w:r>
      <w:proofErr w:type="spellEnd"/>
      <w:r w:rsidRPr="00906FFC">
        <w:rPr>
          <w:rFonts w:ascii="Arial" w:hAnsi="Arial"/>
          <w:sz w:val="22"/>
        </w:rPr>
        <w:t>.</w:t>
      </w:r>
    </w:p>
    <w:p w14:paraId="75893B15" w14:textId="77777777" w:rsidR="00C1192B" w:rsidRPr="00906FFC" w:rsidRDefault="00C1192B" w:rsidP="00B11D3A">
      <w:pPr>
        <w:pStyle w:val="Paragraphedeliste"/>
        <w:spacing w:before="120" w:after="120"/>
        <w:ind w:left="567"/>
        <w:contextualSpacing w:val="0"/>
        <w:jc w:val="both"/>
        <w:rPr>
          <w:rFonts w:ascii="Arial" w:hAnsi="Arial" w:cs="Arial"/>
          <w:sz w:val="22"/>
          <w:szCs w:val="22"/>
          <w:shd w:val="clear" w:color="auto" w:fill="FFFFFF"/>
        </w:rPr>
      </w:pPr>
      <w:r w:rsidRPr="00906FFC">
        <w:rPr>
          <w:rFonts w:ascii="Arial" w:hAnsi="Arial"/>
          <w:b/>
          <w:sz w:val="22"/>
        </w:rPr>
        <w:t>Critère A.7</w:t>
      </w:r>
      <w:r w:rsidRPr="00906FFC">
        <w:rPr>
          <w:rFonts w:ascii="Arial" w:hAnsi="Arial"/>
          <w:sz w:val="22"/>
        </w:rPr>
        <w:t xml:space="preserve"> : La Colombie a bénéficié de l’assistance internationale du Fonds du patrimoine culturel immatériel pour les trois projets suivants : (a) « Le patrimoine culturel immatériel comme socle de résilience, de réconciliation et de création d’un environnement pacifique dans la Colombie post-accords » (dossier n° 01522, 2018-2020, 99 400 dollars des États-Unis) ; b) « Mon patrimoine, ma région : stratégie de renforcement des capacités de gestion sociale du patrimoine culturel immatériel dans deux départements de la région colombienne </w:t>
      </w:r>
      <w:proofErr w:type="spellStart"/>
      <w:r w:rsidRPr="00906FFC">
        <w:rPr>
          <w:rFonts w:ascii="Arial" w:hAnsi="Arial"/>
          <w:sz w:val="22"/>
        </w:rPr>
        <w:t>Oronico</w:t>
      </w:r>
      <w:proofErr w:type="spellEnd"/>
      <w:r w:rsidRPr="00906FFC">
        <w:rPr>
          <w:rFonts w:ascii="Arial" w:hAnsi="Arial"/>
          <w:sz w:val="22"/>
        </w:rPr>
        <w:t xml:space="preserve"> » (dossier n° 01518, 2019-2020, 99 950 dollars des États-Unis) et c) « La sauvegarde du savoir traditionnel pour la protection des sites naturels sacrés sur le territoire des Jaguars de </w:t>
      </w:r>
      <w:proofErr w:type="spellStart"/>
      <w:r w:rsidRPr="00906FFC">
        <w:rPr>
          <w:rFonts w:ascii="Arial" w:hAnsi="Arial"/>
          <w:sz w:val="22"/>
        </w:rPr>
        <w:t>Yuruparí</w:t>
      </w:r>
      <w:proofErr w:type="spellEnd"/>
      <w:r w:rsidRPr="00906FFC">
        <w:rPr>
          <w:rFonts w:ascii="Arial" w:hAnsi="Arial"/>
          <w:sz w:val="22"/>
        </w:rPr>
        <w:t>, dans le département de Vaupés, en Colombie » (dossier n° 01224, 2017-2018, 25 000 dollars des États-Unis). Les travaux stipulés dans les contrats relatifs à ces projets ont été réalisés conformément aux règlements de l’UNESCO.</w:t>
      </w:r>
    </w:p>
    <w:p w14:paraId="2CAC791C" w14:textId="77777777" w:rsidR="00C1192B" w:rsidRPr="00906FFC" w:rsidRDefault="00C1192B" w:rsidP="00B11D3A">
      <w:pPr>
        <w:pStyle w:val="Paragraphedeliste"/>
        <w:spacing w:before="120" w:after="120"/>
        <w:ind w:left="567"/>
        <w:contextualSpacing w:val="0"/>
        <w:jc w:val="both"/>
        <w:rPr>
          <w:rFonts w:ascii="Arial" w:hAnsi="Arial" w:cs="Arial"/>
          <w:sz w:val="22"/>
          <w:szCs w:val="22"/>
        </w:rPr>
      </w:pPr>
      <w:r w:rsidRPr="00906FFC">
        <w:rPr>
          <w:rFonts w:ascii="Arial" w:hAnsi="Arial"/>
          <w:b/>
          <w:sz w:val="22"/>
        </w:rPr>
        <w:t>Paragraphe 10(a)</w:t>
      </w:r>
      <w:r w:rsidRPr="00906FFC">
        <w:rPr>
          <w:rFonts w:ascii="Arial" w:hAnsi="Arial"/>
          <w:sz w:val="22"/>
        </w:rPr>
        <w:t> : Le projet a une portée locale et sa mise en œuvre implique des partenaires nationaux, comme le ministère de la Culture, des organisations non gouvernementales locales et les autorités locales.</w:t>
      </w:r>
    </w:p>
    <w:p w14:paraId="6FAEF0F9" w14:textId="77777777" w:rsidR="00C1192B" w:rsidRPr="00906FFC" w:rsidRDefault="00C1192B" w:rsidP="00B11D3A">
      <w:pPr>
        <w:pStyle w:val="Paragraphedeliste"/>
        <w:spacing w:before="120" w:after="120"/>
        <w:ind w:left="567"/>
        <w:contextualSpacing w:val="0"/>
        <w:jc w:val="both"/>
        <w:rPr>
          <w:rFonts w:ascii="Arial" w:hAnsi="Arial" w:cs="Arial"/>
          <w:sz w:val="22"/>
          <w:szCs w:val="22"/>
        </w:rPr>
      </w:pPr>
      <w:r w:rsidRPr="00906FFC">
        <w:rPr>
          <w:rFonts w:ascii="Arial" w:hAnsi="Arial"/>
          <w:b/>
          <w:sz w:val="22"/>
        </w:rPr>
        <w:lastRenderedPageBreak/>
        <w:t>Paragraphe 10(b) </w:t>
      </w:r>
      <w:r w:rsidRPr="00906FFC">
        <w:rPr>
          <w:rFonts w:ascii="Arial" w:hAnsi="Arial"/>
          <w:bCs/>
          <w:sz w:val="22"/>
        </w:rPr>
        <w:t xml:space="preserve">: </w:t>
      </w:r>
      <w:r w:rsidRPr="00906FFC">
        <w:rPr>
          <w:rFonts w:ascii="Arial" w:hAnsi="Arial"/>
          <w:sz w:val="22"/>
        </w:rPr>
        <w:t>La force du projet réside dans la mise en place d’un programme pilote d’apprentissage qui s’inscrira, avec la méthodologie développée et le contenu des ateliers de formation, dans la « Stratégie de sauvegarde de l’artisanat traditionnel pour la consolidation de la paix », sélectionnée sur le Registre des bonnes pratiques de sauvegarde en 2019. Le programme pilote d’apprentissage pourrait susciter l’intérêt du secteur privé et de donateurs pour obtenir de nouveaux financements à l’issue du projet.</w:t>
      </w:r>
    </w:p>
    <w:p w14:paraId="255F7D70" w14:textId="77777777" w:rsidR="00C1192B" w:rsidRPr="00906FFC" w:rsidRDefault="00C1192B" w:rsidP="00B11D3A">
      <w:pPr>
        <w:pStyle w:val="Paragraphedeliste"/>
        <w:numPr>
          <w:ilvl w:val="0"/>
          <w:numId w:val="19"/>
        </w:numPr>
        <w:spacing w:before="120" w:after="120"/>
        <w:ind w:left="567" w:hanging="567"/>
        <w:contextualSpacing w:val="0"/>
        <w:jc w:val="both"/>
        <w:rPr>
          <w:rFonts w:ascii="Arial" w:hAnsi="Arial" w:cs="Arial"/>
          <w:sz w:val="22"/>
          <w:szCs w:val="22"/>
        </w:rPr>
      </w:pPr>
      <w:r w:rsidRPr="00906FFC">
        <w:rPr>
          <w:rFonts w:ascii="Arial" w:hAnsi="Arial"/>
          <w:sz w:val="22"/>
          <w:u w:val="single"/>
        </w:rPr>
        <w:t>Approuve</w:t>
      </w:r>
      <w:r w:rsidRPr="00906FFC">
        <w:rPr>
          <w:rFonts w:ascii="Arial" w:hAnsi="Arial"/>
          <w:sz w:val="22"/>
        </w:rPr>
        <w:t xml:space="preserve"> la demande d’assistance internationale de la Colombie pour le projet intitulé </w:t>
      </w:r>
      <w:r w:rsidRPr="00906FFC">
        <w:rPr>
          <w:rFonts w:ascii="Arial" w:hAnsi="Arial"/>
          <w:b/>
          <w:sz w:val="22"/>
        </w:rPr>
        <w:t>Entre l’Amazonie et les Andes : la sauvegarde et la transmission des connaissances et des techniques traditionnelles associées au vernis de Pasto mopa-mopa des départements colombiens de Putumayo et de Nariño </w:t>
      </w:r>
      <w:r w:rsidRPr="00906FFC">
        <w:rPr>
          <w:rFonts w:ascii="Arial" w:hAnsi="Arial"/>
          <w:sz w:val="22"/>
        </w:rPr>
        <w:t xml:space="preserve">et </w:t>
      </w:r>
      <w:r w:rsidRPr="00906FFC">
        <w:rPr>
          <w:rFonts w:ascii="Arial" w:hAnsi="Arial"/>
          <w:sz w:val="22"/>
          <w:u w:val="single"/>
        </w:rPr>
        <w:t>accorde</w:t>
      </w:r>
      <w:r w:rsidRPr="00906FFC">
        <w:rPr>
          <w:rFonts w:ascii="Arial" w:hAnsi="Arial"/>
          <w:sz w:val="22"/>
        </w:rPr>
        <w:t>, à cet effet, un montant de 98 925 dollars des États-Unis à l’État partie ;</w:t>
      </w:r>
    </w:p>
    <w:p w14:paraId="5B5C0AA0" w14:textId="77777777" w:rsidR="00C1192B" w:rsidRPr="00906FFC" w:rsidRDefault="00C1192B" w:rsidP="00B11D3A">
      <w:pPr>
        <w:pStyle w:val="Paragraphedeliste"/>
        <w:numPr>
          <w:ilvl w:val="0"/>
          <w:numId w:val="19"/>
        </w:numPr>
        <w:spacing w:before="120" w:after="120"/>
        <w:ind w:left="567" w:hanging="567"/>
        <w:contextualSpacing w:val="0"/>
        <w:jc w:val="both"/>
        <w:rPr>
          <w:rFonts w:ascii="Arial" w:hAnsi="Arial" w:cs="Arial"/>
          <w:sz w:val="22"/>
          <w:szCs w:val="22"/>
        </w:rPr>
      </w:pPr>
      <w:r w:rsidRPr="00906FFC">
        <w:rPr>
          <w:rFonts w:ascii="Arial" w:hAnsi="Arial"/>
          <w:sz w:val="22"/>
          <w:u w:val="single"/>
        </w:rPr>
        <w:t>Encourage</w:t>
      </w:r>
      <w:r w:rsidRPr="00906FFC">
        <w:rPr>
          <w:rFonts w:ascii="Arial" w:hAnsi="Arial"/>
          <w:sz w:val="22"/>
        </w:rPr>
        <w:t xml:space="preserve"> l’État partie à mobiliser des fonds supplémentaires pour poursuivre ce programme pilote d’apprentissage à l’issue du projet ;</w:t>
      </w:r>
    </w:p>
    <w:p w14:paraId="75108D44" w14:textId="77777777" w:rsidR="00C1192B" w:rsidRPr="00906FFC" w:rsidRDefault="00C1192B" w:rsidP="00B11D3A">
      <w:pPr>
        <w:pStyle w:val="Paragraphedeliste"/>
        <w:numPr>
          <w:ilvl w:val="0"/>
          <w:numId w:val="19"/>
        </w:numPr>
        <w:spacing w:before="120" w:after="120"/>
        <w:ind w:left="567" w:hanging="567"/>
        <w:contextualSpacing w:val="0"/>
        <w:jc w:val="both"/>
        <w:rPr>
          <w:rFonts w:ascii="Arial" w:hAnsi="Arial" w:cs="Arial"/>
          <w:sz w:val="22"/>
          <w:szCs w:val="22"/>
          <w:u w:val="single"/>
        </w:rPr>
      </w:pPr>
      <w:r w:rsidRPr="00906FFC">
        <w:rPr>
          <w:rFonts w:ascii="Arial" w:hAnsi="Arial"/>
          <w:sz w:val="22"/>
          <w:u w:val="single"/>
        </w:rPr>
        <w:t>Demande</w:t>
      </w:r>
      <w:r w:rsidRPr="00906FFC">
        <w:rPr>
          <w:rFonts w:ascii="Arial" w:hAnsi="Arial"/>
          <w:sz w:val="22"/>
        </w:rPr>
        <w:t xml:space="preserve"> au Secrétariat de se mettre d’accord avec l’État partie sur les détails techniques de l’assistance, en accordant une attention particulière à ce que le budget et le plan de travail des activités </w:t>
      </w:r>
      <w:r w:rsidRPr="00906FFC">
        <w:rPr>
          <w:rFonts w:ascii="Arial" w:hAnsi="Arial" w:cs="Arial"/>
          <w:sz w:val="22"/>
          <w:szCs w:val="22"/>
          <w:lang w:val="fr"/>
        </w:rPr>
        <w:t>que le Fonds du patrimoine culturel immatériel devra couvrir, soient suffisamment détaillés et spécifiques pour justifier les dépenses ;</w:t>
      </w:r>
    </w:p>
    <w:p w14:paraId="17084E2F" w14:textId="77777777" w:rsidR="00C1192B" w:rsidRPr="00906FFC" w:rsidRDefault="00C1192B" w:rsidP="00B11D3A">
      <w:pPr>
        <w:pStyle w:val="Paragraphedeliste"/>
        <w:numPr>
          <w:ilvl w:val="0"/>
          <w:numId w:val="19"/>
        </w:numPr>
        <w:spacing w:before="120" w:after="120"/>
        <w:ind w:left="567" w:hanging="567"/>
        <w:contextualSpacing w:val="0"/>
        <w:jc w:val="both"/>
        <w:rPr>
          <w:rFonts w:ascii="Arial" w:hAnsi="Arial" w:cs="Arial"/>
          <w:sz w:val="22"/>
          <w:szCs w:val="22"/>
        </w:rPr>
      </w:pPr>
      <w:r w:rsidRPr="00906FFC">
        <w:rPr>
          <w:rFonts w:ascii="Arial" w:hAnsi="Arial"/>
          <w:sz w:val="22"/>
          <w:u w:val="single"/>
        </w:rPr>
        <w:t>Invite</w:t>
      </w:r>
      <w:r w:rsidRPr="00906FFC">
        <w:rPr>
          <w:rFonts w:ascii="Arial" w:hAnsi="Arial"/>
          <w:sz w:val="22"/>
        </w:rPr>
        <w:t xml:space="preserve"> l’État partie à utiliser le formulaire ICH-04-Rapport pour rendre compte de l’utilisation de l’assistance accordée.</w:t>
      </w:r>
    </w:p>
    <w:p w14:paraId="45A593A7" w14:textId="167374F7" w:rsidR="00C1192B" w:rsidRPr="00906FFC" w:rsidRDefault="00C1192B" w:rsidP="00B11D3A">
      <w:pPr>
        <w:pStyle w:val="GATitleResolution"/>
        <w:ind w:left="0"/>
      </w:pPr>
      <w:r w:rsidRPr="00906FFC">
        <w:t>DÉCISION 17.COM 1.BUR 4</w:t>
      </w:r>
    </w:p>
    <w:p w14:paraId="7C1E4674" w14:textId="77777777" w:rsidR="00C1192B" w:rsidRPr="00906FFC" w:rsidRDefault="00C1192B" w:rsidP="00B11D3A">
      <w:pPr>
        <w:pStyle w:val="COMPreambulaDecision"/>
        <w:ind w:left="0"/>
      </w:pPr>
      <w:r w:rsidRPr="00906FFC">
        <w:t>Le Bureau,</w:t>
      </w:r>
    </w:p>
    <w:p w14:paraId="3081D9B6" w14:textId="77777777" w:rsidR="00C1192B" w:rsidRPr="00906FFC" w:rsidRDefault="00C1192B" w:rsidP="00B11D3A">
      <w:pPr>
        <w:pStyle w:val="COMParaDecision"/>
        <w:numPr>
          <w:ilvl w:val="0"/>
          <w:numId w:val="20"/>
        </w:numPr>
        <w:ind w:left="567" w:hanging="567"/>
      </w:pPr>
      <w:r w:rsidRPr="00906FFC">
        <w:t>Ayant examiné</w:t>
      </w:r>
      <w:r w:rsidRPr="00906FFC">
        <w:rPr>
          <w:u w:val="none"/>
        </w:rPr>
        <w:t xml:space="preserve"> le document LHE/22/17.COM 1.BUR/4,</w:t>
      </w:r>
    </w:p>
    <w:p w14:paraId="0089E17B" w14:textId="77777777" w:rsidR="00C1192B" w:rsidRPr="00906FFC" w:rsidRDefault="00C1192B" w:rsidP="00B11D3A">
      <w:pPr>
        <w:pStyle w:val="COMParaDecision"/>
        <w:ind w:left="567"/>
      </w:pPr>
      <w:r w:rsidRPr="00906FFC">
        <w:t>Rappelant</w:t>
      </w:r>
      <w:r w:rsidRPr="00906FFC">
        <w:rPr>
          <w:u w:val="none"/>
        </w:rPr>
        <w:t xml:space="preserve"> la </w:t>
      </w:r>
      <w:hyperlink r:id="rId8" w:history="1">
        <w:r w:rsidRPr="00906FFC">
          <w:rPr>
            <w:rStyle w:val="Lienhypertexte"/>
          </w:rPr>
          <w:t>décision 16.COM 17</w:t>
        </w:r>
      </w:hyperlink>
      <w:r w:rsidRPr="00906FFC">
        <w:t>,</w:t>
      </w:r>
    </w:p>
    <w:p w14:paraId="449BCE4D" w14:textId="77777777" w:rsidR="00C1192B" w:rsidRPr="00906FFC" w:rsidRDefault="00C1192B" w:rsidP="00B11D3A">
      <w:pPr>
        <w:pStyle w:val="COMParaDecision"/>
        <w:ind w:left="567"/>
      </w:pPr>
      <w:r w:rsidRPr="00906FFC">
        <w:t>Rappelant en outre</w:t>
      </w:r>
      <w:r w:rsidRPr="00906FFC">
        <w:rPr>
          <w:u w:val="none"/>
        </w:rPr>
        <w:t xml:space="preserve"> l’article 4.1 du Règlement intérieur du Comité,</w:t>
      </w:r>
    </w:p>
    <w:p w14:paraId="284636AB" w14:textId="77777777" w:rsidR="00C1192B" w:rsidRPr="00906FFC" w:rsidRDefault="00C1192B" w:rsidP="00B11D3A">
      <w:pPr>
        <w:pStyle w:val="COMParaDecision"/>
        <w:ind w:left="567"/>
      </w:pPr>
      <w:r w:rsidRPr="00906FFC">
        <w:t>Décide</w:t>
      </w:r>
      <w:r w:rsidRPr="00906FFC">
        <w:rPr>
          <w:u w:val="none"/>
        </w:rPr>
        <w:t xml:space="preserve"> de tenir la dix-septième session du Comité au siège de l’UNESCO du 28 novembre au 3 décembre 2022.</w:t>
      </w:r>
    </w:p>
    <w:p w14:paraId="76C423F0" w14:textId="77777777" w:rsidR="00C1192B" w:rsidRPr="00D02494" w:rsidRDefault="00C1192B" w:rsidP="00C1192B">
      <w:pPr>
        <w:pStyle w:val="COMParaDecision"/>
        <w:numPr>
          <w:ilvl w:val="0"/>
          <w:numId w:val="0"/>
        </w:numPr>
        <w:ind w:left="1134" w:hanging="567"/>
        <w:jc w:val="left"/>
      </w:pPr>
    </w:p>
    <w:sectPr w:rsidR="00C1192B" w:rsidRPr="00D02494" w:rsidSect="00655736">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410C" w14:textId="77777777" w:rsidR="00993211" w:rsidRDefault="00993211" w:rsidP="00655736">
      <w:r>
        <w:separator/>
      </w:r>
    </w:p>
    <w:p w14:paraId="770169DC" w14:textId="77777777" w:rsidR="00993211" w:rsidRDefault="00993211"/>
    <w:p w14:paraId="0C470A8C" w14:textId="77777777" w:rsidR="00993211" w:rsidRDefault="00993211" w:rsidP="002E58D4"/>
    <w:p w14:paraId="1C6C4672" w14:textId="77777777" w:rsidR="00993211" w:rsidRDefault="00993211" w:rsidP="002E58D4"/>
    <w:p w14:paraId="00D755FD" w14:textId="77777777" w:rsidR="00993211" w:rsidRDefault="00993211" w:rsidP="002E58D4"/>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5C273572" w:rsidR="006B5001" w:rsidRPr="00AC4027" w:rsidRDefault="008F09EC" w:rsidP="00461168">
    <w:pPr>
      <w:pStyle w:val="En-tte"/>
      <w:rPr>
        <w:rFonts w:ascii="Arial" w:hAnsi="Arial" w:cs="Arial"/>
      </w:rPr>
    </w:pPr>
    <w:r w:rsidRPr="00AC4027">
      <w:rPr>
        <w:rFonts w:ascii="Arial" w:hAnsi="Arial" w:cs="Arial"/>
        <w:sz w:val="20"/>
        <w:szCs w:val="20"/>
      </w:rPr>
      <w:t>LHE/</w:t>
    </w:r>
    <w:r w:rsidR="00D520C1" w:rsidRPr="00AC4027">
      <w:rPr>
        <w:rFonts w:ascii="Arial" w:hAnsi="Arial" w:cs="Arial"/>
        <w:sz w:val="20"/>
        <w:szCs w:val="20"/>
      </w:rPr>
      <w:t>2</w:t>
    </w:r>
    <w:r w:rsidR="00AE3322" w:rsidRPr="00AC4027">
      <w:rPr>
        <w:rFonts w:ascii="Arial" w:hAnsi="Arial" w:cs="Arial"/>
        <w:sz w:val="20"/>
        <w:szCs w:val="20"/>
      </w:rPr>
      <w:t>2</w:t>
    </w:r>
    <w:r w:rsidRPr="00AC4027">
      <w:rPr>
        <w:rFonts w:ascii="Arial" w:hAnsi="Arial" w:cs="Arial"/>
        <w:sz w:val="20"/>
        <w:szCs w:val="20"/>
      </w:rPr>
      <w:t>/1</w:t>
    </w:r>
    <w:r w:rsidR="00AE3322" w:rsidRPr="00AC4027">
      <w:rPr>
        <w:rFonts w:ascii="Arial" w:hAnsi="Arial" w:cs="Arial"/>
        <w:sz w:val="20"/>
        <w:szCs w:val="20"/>
      </w:rPr>
      <w:t>7</w:t>
    </w:r>
    <w:r w:rsidRPr="00AC4027">
      <w:rPr>
        <w:rFonts w:ascii="Arial" w:hAnsi="Arial" w:cs="Arial"/>
        <w:sz w:val="20"/>
        <w:szCs w:val="20"/>
      </w:rPr>
      <w:t>.</w:t>
    </w:r>
    <w:r w:rsidR="00AC4027">
      <w:rPr>
        <w:rFonts w:ascii="Arial" w:hAnsi="Arial" w:cs="Arial"/>
        <w:sz w:val="20"/>
        <w:szCs w:val="20"/>
      </w:rPr>
      <w:t>COM </w:t>
    </w:r>
    <w:r w:rsidR="00CC70DC">
      <w:rPr>
        <w:rFonts w:ascii="Arial" w:hAnsi="Arial" w:cs="Arial"/>
        <w:sz w:val="20"/>
        <w:szCs w:val="20"/>
      </w:rPr>
      <w:t>1</w:t>
    </w:r>
    <w:r w:rsidR="00AC4027" w:rsidRPr="0036787A">
      <w:rPr>
        <w:rFonts w:ascii="Arial" w:hAnsi="Arial" w:cs="Arial"/>
        <w:sz w:val="20"/>
        <w:szCs w:val="20"/>
      </w:rPr>
      <w:t>.BUR/</w:t>
    </w:r>
    <w:r w:rsidR="0048375B">
      <w:rPr>
        <w:rFonts w:ascii="Arial" w:hAnsi="Arial" w:cs="Arial"/>
        <w:sz w:val="20"/>
        <w:szCs w:val="20"/>
      </w:rPr>
      <w:t>Décisions</w:t>
    </w:r>
    <w:r w:rsidR="00AC4027">
      <w:rPr>
        <w:rFonts w:ascii="Arial" w:hAnsi="Arial" w:cs="Arial"/>
        <w:sz w:val="20"/>
        <w:szCs w:val="20"/>
      </w:rPr>
      <w:t xml:space="preserve"> </w:t>
    </w:r>
    <w:r w:rsidR="00E9376C" w:rsidRPr="00AC4027">
      <w:rPr>
        <w:rFonts w:ascii="Arial" w:hAnsi="Arial" w:cs="Arial"/>
        <w:sz w:val="20"/>
        <w:szCs w:val="20"/>
      </w:rPr>
      <w:t xml:space="preserve">– page </w:t>
    </w:r>
    <w:r w:rsidR="00E9376C" w:rsidRPr="00EF563B">
      <w:rPr>
        <w:rStyle w:val="Numrodepage"/>
        <w:rFonts w:ascii="Arial" w:hAnsi="Arial" w:cs="Arial"/>
        <w:sz w:val="20"/>
        <w:szCs w:val="20"/>
      </w:rPr>
      <w:fldChar w:fldCharType="begin"/>
    </w:r>
    <w:r w:rsidR="00E9376C" w:rsidRPr="00AC4027">
      <w:rPr>
        <w:rStyle w:val="Numrodepage"/>
        <w:rFonts w:ascii="Arial" w:hAnsi="Arial" w:cs="Arial"/>
        <w:sz w:val="20"/>
        <w:szCs w:val="20"/>
      </w:rPr>
      <w:instrText xml:space="preserve"> PAGE </w:instrText>
    </w:r>
    <w:r w:rsidR="00E9376C" w:rsidRPr="00EF563B">
      <w:rPr>
        <w:rStyle w:val="Numrodepage"/>
        <w:rFonts w:ascii="Arial" w:hAnsi="Arial" w:cs="Arial"/>
        <w:sz w:val="20"/>
        <w:szCs w:val="20"/>
      </w:rPr>
      <w:fldChar w:fldCharType="separate"/>
    </w:r>
    <w:r w:rsidR="009B223B" w:rsidRPr="00AC4027">
      <w:rPr>
        <w:rStyle w:val="Numrodepage"/>
        <w:rFonts w:ascii="Arial" w:hAnsi="Arial" w:cs="Arial"/>
        <w:noProof/>
        <w:sz w:val="20"/>
        <w:szCs w:val="20"/>
      </w:rPr>
      <w:t>2</w:t>
    </w:r>
    <w:r w:rsidR="00E9376C" w:rsidRPr="00EF563B">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7DB9B065" w:rsidR="006B5001" w:rsidRPr="00BC3420" w:rsidRDefault="008F09EC" w:rsidP="00461168">
    <w:pPr>
      <w:pStyle w:val="En-tte"/>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2E2F53">
      <w:rPr>
        <w:rFonts w:ascii="Arial" w:hAnsi="Arial" w:cs="Arial"/>
        <w:sz w:val="20"/>
        <w:szCs w:val="20"/>
        <w:lang w:val="en-US"/>
      </w:rPr>
      <w:t>2</w:t>
    </w:r>
    <w:r w:rsidR="00EF74E3">
      <w:rPr>
        <w:rFonts w:ascii="Arial" w:hAnsi="Arial" w:cs="Arial"/>
        <w:sz w:val="20"/>
        <w:szCs w:val="20"/>
        <w:lang w:val="en-US"/>
      </w:rPr>
      <w:t>/1</w:t>
    </w:r>
    <w:r w:rsidR="002E2F53">
      <w:rPr>
        <w:rFonts w:ascii="Arial" w:hAnsi="Arial" w:cs="Arial"/>
        <w:sz w:val="20"/>
        <w:szCs w:val="20"/>
        <w:lang w:val="en-US"/>
      </w:rPr>
      <w:t>7</w:t>
    </w:r>
    <w:r>
      <w:rPr>
        <w:rFonts w:ascii="Arial" w:hAnsi="Arial" w:cs="Arial"/>
        <w:sz w:val="20"/>
        <w:szCs w:val="20"/>
        <w:lang w:val="en-US"/>
      </w:rPr>
      <w:t>.COM</w:t>
    </w:r>
    <w:r w:rsidR="005C4E7D">
      <w:rPr>
        <w:rFonts w:ascii="Arial" w:hAnsi="Arial" w:cs="Arial"/>
        <w:sz w:val="20"/>
        <w:szCs w:val="20"/>
        <w:lang w:val="en-US"/>
      </w:rPr>
      <w:t xml:space="preserve"> </w:t>
    </w:r>
    <w:r w:rsidR="005C4E7D">
      <w:rPr>
        <w:rFonts w:ascii="Arial" w:hAnsi="Arial" w:cs="Arial"/>
        <w:sz w:val="20"/>
        <w:szCs w:val="20"/>
      </w:rPr>
      <w:t>1</w:t>
    </w:r>
    <w:r w:rsidR="005C4E7D" w:rsidRPr="0036787A">
      <w:rPr>
        <w:rFonts w:ascii="Arial" w:hAnsi="Arial" w:cs="Arial"/>
        <w:sz w:val="20"/>
        <w:szCs w:val="20"/>
      </w:rPr>
      <w:t>.BUR/</w:t>
    </w:r>
    <w:r w:rsidR="005C4E7D">
      <w:rPr>
        <w:rFonts w:ascii="Arial" w:hAnsi="Arial" w:cs="Arial"/>
        <w:sz w:val="20"/>
        <w:szCs w:val="20"/>
      </w:rPr>
      <w:t>Décisions</w:t>
    </w:r>
    <w:r w:rsidR="005C4E7D" w:rsidRPr="00AC4027">
      <w:rPr>
        <w:rFonts w:ascii="Arial" w:hAnsi="Arial" w:cs="Arial"/>
        <w:sz w:val="20"/>
        <w:szCs w:val="20"/>
      </w:rPr>
      <w:t xml:space="preserve"> </w:t>
    </w:r>
    <w:r w:rsidR="002C0D14" w:rsidRPr="00EF563B">
      <w:rPr>
        <w:rFonts w:ascii="Arial" w:hAnsi="Arial" w:cs="Arial"/>
        <w:sz w:val="20"/>
        <w:szCs w:val="20"/>
        <w:lang w:val="en-US"/>
      </w:rPr>
      <w:t xml:space="preserve">– page </w:t>
    </w:r>
    <w:r w:rsidR="002C0D14" w:rsidRPr="00EF563B">
      <w:rPr>
        <w:rStyle w:val="Numrodepage"/>
        <w:rFonts w:ascii="Arial" w:hAnsi="Arial" w:cs="Arial"/>
        <w:sz w:val="20"/>
        <w:szCs w:val="20"/>
      </w:rPr>
      <w:fldChar w:fldCharType="begin"/>
    </w:r>
    <w:r w:rsidR="002C0D14" w:rsidRPr="00EF563B">
      <w:rPr>
        <w:rStyle w:val="Numrodepage"/>
        <w:rFonts w:ascii="Arial" w:hAnsi="Arial" w:cs="Arial"/>
        <w:sz w:val="20"/>
        <w:szCs w:val="20"/>
        <w:lang w:val="en-US"/>
      </w:rPr>
      <w:instrText xml:space="preserve"> </w:instrText>
    </w:r>
    <w:r w:rsidR="002C0D14">
      <w:rPr>
        <w:rStyle w:val="Numrodepage"/>
        <w:rFonts w:ascii="Arial" w:hAnsi="Arial" w:cs="Arial"/>
        <w:sz w:val="20"/>
        <w:szCs w:val="20"/>
        <w:lang w:val="en-US"/>
      </w:rPr>
      <w:instrText>PAGE</w:instrText>
    </w:r>
    <w:r w:rsidR="002C0D14" w:rsidRPr="00EF563B">
      <w:rPr>
        <w:rStyle w:val="Numrodepage"/>
        <w:rFonts w:ascii="Arial" w:hAnsi="Arial" w:cs="Arial"/>
        <w:sz w:val="20"/>
        <w:szCs w:val="20"/>
        <w:lang w:val="en-US"/>
      </w:rPr>
      <w:instrText xml:space="preserve"> </w:instrText>
    </w:r>
    <w:r w:rsidR="002C0D14" w:rsidRPr="00EF563B">
      <w:rPr>
        <w:rStyle w:val="Numrodepage"/>
        <w:rFonts w:ascii="Arial" w:hAnsi="Arial" w:cs="Arial"/>
        <w:sz w:val="20"/>
        <w:szCs w:val="20"/>
      </w:rPr>
      <w:fldChar w:fldCharType="separate"/>
    </w:r>
    <w:r w:rsidR="007C354B">
      <w:rPr>
        <w:rStyle w:val="Numrodepage"/>
        <w:rFonts w:ascii="Arial" w:hAnsi="Arial" w:cs="Arial"/>
        <w:noProof/>
        <w:sz w:val="20"/>
        <w:szCs w:val="20"/>
        <w:lang w:val="en-US"/>
      </w:rPr>
      <w:t>3</w:t>
    </w:r>
    <w:r w:rsidR="002C0D14"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En-tte"/>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5920C" w14:textId="31A1482B" w:rsidR="00AC4027" w:rsidRPr="00D7105A" w:rsidRDefault="00AC4027" w:rsidP="00AC4027">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Pr>
        <w:rFonts w:ascii="Arial" w:hAnsi="Arial" w:cs="Arial"/>
        <w:b/>
        <w:sz w:val="44"/>
        <w:szCs w:val="44"/>
        <w:lang w:val="pt-PT"/>
      </w:rPr>
      <w:t>7</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CC70DC">
      <w:rPr>
        <w:rFonts w:ascii="Arial" w:hAnsi="Arial" w:cs="Arial"/>
        <w:b/>
        <w:sz w:val="44"/>
        <w:szCs w:val="44"/>
        <w:lang w:val="pt-PT"/>
      </w:rPr>
      <w:t>1</w:t>
    </w:r>
    <w:r w:rsidRPr="00232D65">
      <w:rPr>
        <w:rFonts w:ascii="Arial" w:hAnsi="Arial" w:cs="Arial"/>
        <w:b/>
        <w:sz w:val="44"/>
        <w:szCs w:val="44"/>
        <w:lang w:val="pt-PT"/>
      </w:rPr>
      <w:t xml:space="preserve"> BUR</w:t>
    </w:r>
  </w:p>
  <w:p w14:paraId="4AD38C3D" w14:textId="39C9AC14" w:rsidR="00E9376C" w:rsidRPr="00906FFC"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AE3322">
      <w:rPr>
        <w:rFonts w:ascii="Arial" w:hAnsi="Arial" w:cs="Arial"/>
        <w:b/>
        <w:sz w:val="22"/>
        <w:szCs w:val="22"/>
        <w:lang w:val="pt-PT"/>
      </w:rPr>
      <w:t>2</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AE3322">
      <w:rPr>
        <w:rFonts w:ascii="Arial" w:hAnsi="Arial" w:cs="Arial"/>
        <w:b/>
        <w:sz w:val="22"/>
        <w:szCs w:val="22"/>
        <w:lang w:val="pt-PT"/>
      </w:rPr>
      <w:t>7</w:t>
    </w:r>
    <w:r w:rsidR="00E9376C" w:rsidRPr="00C318BF">
      <w:rPr>
        <w:rFonts w:ascii="Arial" w:hAnsi="Arial" w:cs="Arial"/>
        <w:b/>
        <w:sz w:val="22"/>
        <w:szCs w:val="22"/>
        <w:lang w:val="pt-PT"/>
      </w:rPr>
      <w:t>.</w:t>
    </w:r>
    <w:r w:rsidR="00AC4027" w:rsidRPr="00906FFC">
      <w:rPr>
        <w:rFonts w:ascii="Arial" w:hAnsi="Arial" w:cs="Arial"/>
        <w:b/>
        <w:sz w:val="22"/>
        <w:szCs w:val="22"/>
        <w:lang w:val="pt-PT"/>
      </w:rPr>
      <w:t>COM </w:t>
    </w:r>
    <w:r w:rsidR="00CC70DC" w:rsidRPr="00906FFC">
      <w:rPr>
        <w:rFonts w:ascii="Arial" w:hAnsi="Arial" w:cs="Arial"/>
        <w:b/>
        <w:sz w:val="22"/>
        <w:szCs w:val="22"/>
        <w:lang w:val="pt-PT"/>
      </w:rPr>
      <w:t>1</w:t>
    </w:r>
    <w:r w:rsidR="00AC4027" w:rsidRPr="00906FFC">
      <w:rPr>
        <w:rFonts w:ascii="Arial" w:hAnsi="Arial" w:cs="Arial"/>
        <w:b/>
        <w:sz w:val="22"/>
        <w:szCs w:val="22"/>
        <w:lang w:val="pt-PT"/>
      </w:rPr>
      <w:t>.BUR/</w:t>
    </w:r>
    <w:r w:rsidR="00213D3B" w:rsidRPr="00906FFC">
      <w:rPr>
        <w:rFonts w:ascii="Arial" w:hAnsi="Arial" w:cs="Arial"/>
        <w:b/>
        <w:sz w:val="22"/>
        <w:szCs w:val="22"/>
        <w:lang w:val="pt-PT"/>
      </w:rPr>
      <w:t>Décisions</w:t>
    </w:r>
  </w:p>
  <w:p w14:paraId="30B7DEB9" w14:textId="49AD5C20" w:rsidR="00E9376C" w:rsidRPr="007F34F5" w:rsidRDefault="008F09EC" w:rsidP="007E60C6">
    <w:pPr>
      <w:jc w:val="right"/>
      <w:rPr>
        <w:rFonts w:ascii="Arial" w:eastAsiaTheme="minorEastAsia" w:hAnsi="Arial" w:cs="Arial"/>
        <w:b/>
        <w:sz w:val="22"/>
        <w:szCs w:val="22"/>
        <w:lang w:eastAsia="ko-KR"/>
      </w:rPr>
    </w:pPr>
    <w:r w:rsidRPr="00906FFC">
      <w:rPr>
        <w:rFonts w:ascii="Arial" w:hAnsi="Arial" w:cs="Arial"/>
        <w:b/>
        <w:sz w:val="22"/>
        <w:szCs w:val="22"/>
      </w:rPr>
      <w:t>Paris</w:t>
    </w:r>
    <w:r w:rsidR="00E9376C" w:rsidRPr="00906FFC">
      <w:rPr>
        <w:rFonts w:ascii="Arial" w:hAnsi="Arial" w:cs="Arial"/>
        <w:b/>
        <w:sz w:val="22"/>
        <w:szCs w:val="22"/>
      </w:rPr>
      <w:t xml:space="preserve">, </w:t>
    </w:r>
    <w:r w:rsidR="00962119" w:rsidRPr="00906FFC">
      <w:rPr>
        <w:rFonts w:ascii="Arial" w:hAnsi="Arial" w:cs="Arial"/>
        <w:b/>
        <w:sz w:val="22"/>
        <w:szCs w:val="22"/>
      </w:rPr>
      <w:t xml:space="preserve">le </w:t>
    </w:r>
    <w:r w:rsidR="00906FFC" w:rsidRPr="00906FFC">
      <w:rPr>
        <w:rFonts w:ascii="Arial" w:hAnsi="Arial" w:cs="Arial"/>
        <w:b/>
        <w:sz w:val="22"/>
        <w:szCs w:val="22"/>
      </w:rPr>
      <w:t>14</w:t>
    </w:r>
    <w:r w:rsidR="007E60C6" w:rsidRPr="00906FFC">
      <w:rPr>
        <w:rFonts w:ascii="Arial" w:hAnsi="Arial" w:cs="Arial"/>
        <w:b/>
        <w:sz w:val="22"/>
        <w:szCs w:val="22"/>
      </w:rPr>
      <w:t xml:space="preserve"> </w:t>
    </w:r>
    <w:r w:rsidR="0048375B" w:rsidRPr="00906FFC">
      <w:rPr>
        <w:rFonts w:ascii="Arial" w:hAnsi="Arial" w:cs="Arial"/>
        <w:b/>
        <w:sz w:val="22"/>
        <w:szCs w:val="22"/>
      </w:rPr>
      <w:t>mars</w:t>
    </w:r>
    <w:r w:rsidR="00CC70DC" w:rsidRPr="00906FFC">
      <w:rPr>
        <w:rFonts w:ascii="Arial" w:hAnsi="Arial" w:cs="Arial"/>
        <w:b/>
        <w:sz w:val="22"/>
        <w:szCs w:val="22"/>
      </w:rPr>
      <w:t xml:space="preserve"> </w:t>
    </w:r>
    <w:r w:rsidR="00495C25" w:rsidRPr="00906FFC">
      <w:rPr>
        <w:rFonts w:ascii="Arial" w:hAnsi="Arial" w:cs="Arial"/>
        <w:b/>
        <w:sz w:val="22"/>
        <w:szCs w:val="22"/>
      </w:rPr>
      <w:t>20</w:t>
    </w:r>
    <w:r w:rsidR="00D520C1" w:rsidRPr="00906FFC">
      <w:rPr>
        <w:rFonts w:ascii="Arial" w:hAnsi="Arial" w:cs="Arial"/>
        <w:b/>
        <w:sz w:val="22"/>
        <w:szCs w:val="22"/>
      </w:rPr>
      <w:t>2</w:t>
    </w:r>
    <w:r w:rsidR="00AE3322" w:rsidRPr="00906FFC">
      <w:rPr>
        <w:rFonts w:ascii="Arial" w:hAnsi="Arial" w:cs="Arial"/>
        <w:b/>
        <w:sz w:val="22"/>
        <w:szCs w:val="22"/>
      </w:rPr>
      <w:t>2</w:t>
    </w:r>
  </w:p>
  <w:p w14:paraId="18E81B87" w14:textId="5A2010A3" w:rsidR="00E9376C" w:rsidRPr="0020150F" w:rsidRDefault="00E9376C" w:rsidP="00F84A0B">
    <w:pPr>
      <w:spacing w:after="240"/>
      <w:jc w:val="right"/>
      <w:rPr>
        <w:rFonts w:ascii="Arial" w:hAnsi="Arial" w:cs="Arial"/>
        <w:b/>
        <w:sz w:val="22"/>
        <w:szCs w:val="22"/>
      </w:rPr>
    </w:pPr>
    <w:r w:rsidRPr="00C1192B">
      <w:rPr>
        <w:rFonts w:ascii="Arial" w:hAnsi="Arial" w:cs="Arial"/>
        <w:b/>
        <w:sz w:val="22"/>
        <w:szCs w:val="22"/>
      </w:rPr>
      <w:t>Original</w:t>
    </w:r>
    <w:r w:rsidR="003E2A08" w:rsidRPr="00C1192B">
      <w:rPr>
        <w:rFonts w:ascii="Arial" w:hAnsi="Arial" w:cs="Arial"/>
        <w:b/>
        <w:sz w:val="22"/>
        <w:szCs w:val="22"/>
      </w:rPr>
      <w:t> </w:t>
    </w:r>
    <w:r w:rsidRPr="00C1192B">
      <w:rPr>
        <w:rFonts w:ascii="Arial" w:hAnsi="Arial" w:cs="Arial"/>
        <w:b/>
        <w:sz w:val="22"/>
        <w:szCs w:val="22"/>
      </w:rPr>
      <w:t xml:space="preserve">: </w:t>
    </w:r>
    <w:r w:rsidR="0048375B" w:rsidRPr="00C1192B">
      <w:rPr>
        <w:rFonts w:ascii="Arial" w:hAnsi="Arial" w:cs="Arial"/>
        <w:b/>
        <w:sz w:val="22"/>
        <w:szCs w:val="22"/>
      </w:rPr>
      <w:t>anglais</w:t>
    </w:r>
    <w:r w:rsidR="007F34F5">
      <w:rPr>
        <w:rFonts w:ascii="Arial" w:hAnsi="Arial" w:cs="Arial"/>
        <w:b/>
        <w:sz w:val="22"/>
        <w:szCs w:val="22"/>
      </w:rPr>
      <w:t xml:space="preserve"> / français</w:t>
    </w:r>
  </w:p>
  <w:p w14:paraId="1B74C5FD" w14:textId="77777777" w:rsidR="00E9376C" w:rsidRPr="008B64DF" w:rsidRDefault="00E9376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44E47B5"/>
    <w:multiLevelType w:val="hybridMultilevel"/>
    <w:tmpl w:val="68FE4832"/>
    <w:lvl w:ilvl="0" w:tplc="1BC24516">
      <w:start w:val="1"/>
      <w:numFmt w:val="upp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CC14BFE"/>
    <w:multiLevelType w:val="hybridMultilevel"/>
    <w:tmpl w:val="B3E257C4"/>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1"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1BF2710"/>
    <w:multiLevelType w:val="hybridMultilevel"/>
    <w:tmpl w:val="BAD8A6EE"/>
    <w:lvl w:ilvl="0" w:tplc="74E29F06">
      <w:start w:val="1"/>
      <w:numFmt w:val="lowerRoman"/>
      <w:lvlText w:val="%1)"/>
      <w:lvlJc w:val="left"/>
      <w:pPr>
        <w:ind w:left="360" w:hanging="360"/>
      </w:pPr>
      <w:rPr>
        <w:rFonts w:ascii="Arial" w:eastAsia="SimSun" w:hAnsi="Arial"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7"/>
  </w:num>
  <w:num w:numId="3">
    <w:abstractNumId w:val="1"/>
  </w:num>
  <w:num w:numId="4">
    <w:abstractNumId w:val="17"/>
  </w:num>
  <w:num w:numId="5">
    <w:abstractNumId w:val="15"/>
  </w:num>
  <w:num w:numId="6">
    <w:abstractNumId w:val="0"/>
  </w:num>
  <w:num w:numId="7">
    <w:abstractNumId w:val="2"/>
  </w:num>
  <w:num w:numId="8">
    <w:abstractNumId w:val="9"/>
  </w:num>
  <w:num w:numId="9">
    <w:abstractNumId w:val="6"/>
  </w:num>
  <w:num w:numId="10">
    <w:abstractNumId w:val="8"/>
  </w:num>
  <w:num w:numId="11">
    <w:abstractNumId w:val="5"/>
  </w:num>
  <w:num w:numId="12">
    <w:abstractNumId w:val="4"/>
  </w:num>
  <w:num w:numId="13">
    <w:abstractNumId w:val="12"/>
  </w:num>
  <w:num w:numId="14">
    <w:abstractNumId w:val="3"/>
  </w:num>
  <w:num w:numId="15">
    <w:abstractNumId w:val="16"/>
  </w:num>
  <w:num w:numId="16">
    <w:abstractNumId w:val="11"/>
  </w:num>
  <w:num w:numId="17">
    <w:abstractNumId w:val="8"/>
    <w:lvlOverride w:ilvl="0">
      <w:startOverride w:val="1"/>
    </w:lvlOverride>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15CD5"/>
    <w:rsid w:val="00020BFC"/>
    <w:rsid w:val="00022428"/>
    <w:rsid w:val="000263BA"/>
    <w:rsid w:val="0003530D"/>
    <w:rsid w:val="0005176E"/>
    <w:rsid w:val="00077AB7"/>
    <w:rsid w:val="00081CD8"/>
    <w:rsid w:val="0008329C"/>
    <w:rsid w:val="000968FB"/>
    <w:rsid w:val="000A7F0E"/>
    <w:rsid w:val="000E6CD7"/>
    <w:rsid w:val="000F3A3F"/>
    <w:rsid w:val="00164D56"/>
    <w:rsid w:val="00165170"/>
    <w:rsid w:val="00167B10"/>
    <w:rsid w:val="0019264E"/>
    <w:rsid w:val="00196C1B"/>
    <w:rsid w:val="001A766C"/>
    <w:rsid w:val="001B0F73"/>
    <w:rsid w:val="001C1048"/>
    <w:rsid w:val="0020150F"/>
    <w:rsid w:val="00213D3B"/>
    <w:rsid w:val="00222A2D"/>
    <w:rsid w:val="002407AF"/>
    <w:rsid w:val="00280D62"/>
    <w:rsid w:val="002A6C11"/>
    <w:rsid w:val="002A6F73"/>
    <w:rsid w:val="002C0D14"/>
    <w:rsid w:val="002E2F53"/>
    <w:rsid w:val="002E3D25"/>
    <w:rsid w:val="002E58D4"/>
    <w:rsid w:val="0032583C"/>
    <w:rsid w:val="003732E4"/>
    <w:rsid w:val="003845BE"/>
    <w:rsid w:val="003C1678"/>
    <w:rsid w:val="003D069C"/>
    <w:rsid w:val="003E07D8"/>
    <w:rsid w:val="003E2A08"/>
    <w:rsid w:val="003F113A"/>
    <w:rsid w:val="004239C7"/>
    <w:rsid w:val="00440F9B"/>
    <w:rsid w:val="004421E5"/>
    <w:rsid w:val="00443880"/>
    <w:rsid w:val="00452284"/>
    <w:rsid w:val="00461168"/>
    <w:rsid w:val="00467FBE"/>
    <w:rsid w:val="0048375B"/>
    <w:rsid w:val="00486948"/>
    <w:rsid w:val="00495C25"/>
    <w:rsid w:val="0049705E"/>
    <w:rsid w:val="005079B3"/>
    <w:rsid w:val="005158FF"/>
    <w:rsid w:val="00526B7B"/>
    <w:rsid w:val="005308CE"/>
    <w:rsid w:val="00533434"/>
    <w:rsid w:val="005539B4"/>
    <w:rsid w:val="005678AF"/>
    <w:rsid w:val="0057439C"/>
    <w:rsid w:val="0057778F"/>
    <w:rsid w:val="005B0127"/>
    <w:rsid w:val="005C094D"/>
    <w:rsid w:val="005C4B73"/>
    <w:rsid w:val="005C4E7D"/>
    <w:rsid w:val="00600D93"/>
    <w:rsid w:val="00616C7B"/>
    <w:rsid w:val="00627C5C"/>
    <w:rsid w:val="00655736"/>
    <w:rsid w:val="006608CB"/>
    <w:rsid w:val="00663B8D"/>
    <w:rsid w:val="006923BD"/>
    <w:rsid w:val="00694FEA"/>
    <w:rsid w:val="00696C8D"/>
    <w:rsid w:val="006A2AC2"/>
    <w:rsid w:val="006A3317"/>
    <w:rsid w:val="006A3617"/>
    <w:rsid w:val="006B03F8"/>
    <w:rsid w:val="006B5001"/>
    <w:rsid w:val="006D21D9"/>
    <w:rsid w:val="006D2536"/>
    <w:rsid w:val="006E46E4"/>
    <w:rsid w:val="00717AAB"/>
    <w:rsid w:val="00717DBD"/>
    <w:rsid w:val="00721B50"/>
    <w:rsid w:val="00741016"/>
    <w:rsid w:val="00764CF9"/>
    <w:rsid w:val="00784B8C"/>
    <w:rsid w:val="007A000F"/>
    <w:rsid w:val="007C354B"/>
    <w:rsid w:val="007E60C6"/>
    <w:rsid w:val="007F34F5"/>
    <w:rsid w:val="008064F0"/>
    <w:rsid w:val="00823A11"/>
    <w:rsid w:val="00824EF7"/>
    <w:rsid w:val="0085414A"/>
    <w:rsid w:val="0086269D"/>
    <w:rsid w:val="00863302"/>
    <w:rsid w:val="008712A2"/>
    <w:rsid w:val="00871C8F"/>
    <w:rsid w:val="008724E5"/>
    <w:rsid w:val="00884A9D"/>
    <w:rsid w:val="008A4E1E"/>
    <w:rsid w:val="008B64DF"/>
    <w:rsid w:val="008C0E44"/>
    <w:rsid w:val="008C296C"/>
    <w:rsid w:val="008D4305"/>
    <w:rsid w:val="008D4D0D"/>
    <w:rsid w:val="008E67D8"/>
    <w:rsid w:val="008F09EC"/>
    <w:rsid w:val="00906FFC"/>
    <w:rsid w:val="00913D86"/>
    <w:rsid w:val="009163A7"/>
    <w:rsid w:val="00922E3E"/>
    <w:rsid w:val="00933C6B"/>
    <w:rsid w:val="00950F68"/>
    <w:rsid w:val="00962119"/>
    <w:rsid w:val="00974249"/>
    <w:rsid w:val="00993211"/>
    <w:rsid w:val="009A18CD"/>
    <w:rsid w:val="009B223B"/>
    <w:rsid w:val="009B5302"/>
    <w:rsid w:val="009E1B50"/>
    <w:rsid w:val="00A12558"/>
    <w:rsid w:val="00A13903"/>
    <w:rsid w:val="00A22951"/>
    <w:rsid w:val="00A34ED5"/>
    <w:rsid w:val="00A45DBF"/>
    <w:rsid w:val="00A61C6E"/>
    <w:rsid w:val="00A755A2"/>
    <w:rsid w:val="00A90761"/>
    <w:rsid w:val="00AB2C36"/>
    <w:rsid w:val="00AC4027"/>
    <w:rsid w:val="00AD1A86"/>
    <w:rsid w:val="00AE103E"/>
    <w:rsid w:val="00AE3322"/>
    <w:rsid w:val="00AF0A07"/>
    <w:rsid w:val="00AF5AE5"/>
    <w:rsid w:val="00AF625E"/>
    <w:rsid w:val="00AF721B"/>
    <w:rsid w:val="00B11D3A"/>
    <w:rsid w:val="00B152B1"/>
    <w:rsid w:val="00B43974"/>
    <w:rsid w:val="00B45750"/>
    <w:rsid w:val="00B90701"/>
    <w:rsid w:val="00BC3420"/>
    <w:rsid w:val="00BD52C9"/>
    <w:rsid w:val="00BE6354"/>
    <w:rsid w:val="00C06C42"/>
    <w:rsid w:val="00C1192B"/>
    <w:rsid w:val="00C318BF"/>
    <w:rsid w:val="00C358C4"/>
    <w:rsid w:val="00C377F5"/>
    <w:rsid w:val="00C70EA7"/>
    <w:rsid w:val="00C7516E"/>
    <w:rsid w:val="00C82366"/>
    <w:rsid w:val="00CC70DC"/>
    <w:rsid w:val="00D02494"/>
    <w:rsid w:val="00D24877"/>
    <w:rsid w:val="00D520C1"/>
    <w:rsid w:val="00D74F02"/>
    <w:rsid w:val="00D75D42"/>
    <w:rsid w:val="00DA36ED"/>
    <w:rsid w:val="00DB4A84"/>
    <w:rsid w:val="00DC0F3C"/>
    <w:rsid w:val="00DD0DCF"/>
    <w:rsid w:val="00DE34F1"/>
    <w:rsid w:val="00DF4942"/>
    <w:rsid w:val="00E22288"/>
    <w:rsid w:val="00E60B9D"/>
    <w:rsid w:val="00E627B1"/>
    <w:rsid w:val="00E62B4C"/>
    <w:rsid w:val="00E86828"/>
    <w:rsid w:val="00E9376C"/>
    <w:rsid w:val="00EA602C"/>
    <w:rsid w:val="00ED3691"/>
    <w:rsid w:val="00EF0DCC"/>
    <w:rsid w:val="00EF74E3"/>
    <w:rsid w:val="00F134B7"/>
    <w:rsid w:val="00F33B0B"/>
    <w:rsid w:val="00F4581D"/>
    <w:rsid w:val="00F576CB"/>
    <w:rsid w:val="00F62B05"/>
    <w:rsid w:val="00F84A0B"/>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Sansinterligne">
    <w:name w:val="No Spacing"/>
    <w:uiPriority w:val="1"/>
    <w:qFormat/>
    <w:rsid w:val="00BC3420"/>
    <w:rPr>
      <w:rFonts w:ascii="Times New Roman" w:eastAsia="Times New Roman" w:hAnsi="Times New Roman"/>
      <w:sz w:val="24"/>
      <w:szCs w:val="24"/>
    </w:rPr>
  </w:style>
  <w:style w:type="table" w:customStyle="1" w:styleId="TableGrid1">
    <w:name w:val="Table Grid1"/>
    <w:basedOn w:val="TableauNormal"/>
    <w:next w:val="Grilledutableau"/>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Paragraphedeliste">
    <w:name w:val="List Paragraph"/>
    <w:basedOn w:val="Normal"/>
    <w:uiPriority w:val="34"/>
    <w:qFormat/>
    <w:rsid w:val="005158FF"/>
    <w:pPr>
      <w:ind w:left="720"/>
      <w:contextualSpacing/>
    </w:pPr>
  </w:style>
  <w:style w:type="character" w:styleId="Lienhypertexte">
    <w:name w:val="Hyperlink"/>
    <w:basedOn w:val="Policepardfaut"/>
    <w:uiPriority w:val="99"/>
    <w:unhideWhenUsed/>
    <w:rsid w:val="009B5302"/>
    <w:rPr>
      <w:color w:val="0000FF" w:themeColor="hyperlink"/>
      <w:u w:val="single"/>
    </w:rPr>
  </w:style>
  <w:style w:type="paragraph" w:customStyle="1" w:styleId="COMPara">
    <w:name w:val="COM Para"/>
    <w:qFormat/>
    <w:rsid w:val="00C1192B"/>
    <w:pPr>
      <w:spacing w:after="120"/>
      <w:ind w:left="720" w:hanging="360"/>
    </w:pPr>
    <w:rPr>
      <w:rFonts w:ascii="Arial" w:eastAsia="Times New Roman" w:hAnsi="Arial" w:cs="Arial"/>
      <w:snapToGrid w:val="0"/>
      <w:sz w:val="22"/>
      <w:szCs w:val="22"/>
      <w:lang w:eastAsia="en-GB"/>
    </w:rPr>
  </w:style>
  <w:style w:type="character" w:customStyle="1" w:styleId="MargeChar">
    <w:name w:val="Marge Char"/>
    <w:link w:val="Marge"/>
    <w:rsid w:val="00C1192B"/>
    <w:rPr>
      <w:rFonts w:ascii="Arial" w:eastAsia="Times New Roman" w:hAnsi="Arial"/>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6.COM/17?dec=decisions&amp;ref_decision=16.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165</TotalTime>
  <Pages>5</Pages>
  <Words>1814</Words>
  <Characters>9982</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Kim, Dain</cp:lastModifiedBy>
  <cp:revision>34</cp:revision>
  <cp:lastPrinted>2011-08-06T10:22:00Z</cp:lastPrinted>
  <dcterms:created xsi:type="dcterms:W3CDTF">2021-07-19T09:20:00Z</dcterms:created>
  <dcterms:modified xsi:type="dcterms:W3CDTF">2022-03-14T09:35:00Z</dcterms:modified>
</cp:coreProperties>
</file>