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5AF235F" w14:textId="77777777" w:rsidR="004E1760" w:rsidRPr="00232D65" w:rsidRDefault="004E1760" w:rsidP="004E1760">
      <w:pPr>
        <w:spacing w:before="840"/>
        <w:jc w:val="center"/>
        <w:rPr>
          <w:rFonts w:ascii="Arial" w:hAnsi="Arial" w:cs="Arial"/>
          <w:b/>
          <w:sz w:val="22"/>
          <w:szCs w:val="22"/>
          <w:lang w:val="en-US"/>
        </w:rPr>
      </w:pPr>
      <w:r w:rsidRPr="00232D65">
        <w:rPr>
          <w:rFonts w:ascii="Arial" w:hAnsi="Arial" w:cs="Arial"/>
          <w:b/>
          <w:sz w:val="22"/>
          <w:szCs w:val="22"/>
          <w:lang w:val="en-US"/>
        </w:rPr>
        <w:t>Meeting of the Bureau</w:t>
      </w:r>
    </w:p>
    <w:p w14:paraId="1FD89575" w14:textId="51B22F00" w:rsidR="00B2172B" w:rsidRPr="00E61685" w:rsidRDefault="004E1760" w:rsidP="004E1760">
      <w:pPr>
        <w:spacing w:before="840"/>
        <w:jc w:val="center"/>
        <w:rPr>
          <w:rFonts w:ascii="Arial" w:hAnsi="Arial" w:cs="Arial"/>
          <w:b/>
          <w:sz w:val="22"/>
          <w:szCs w:val="22"/>
          <w:lang w:val="en-GB"/>
        </w:rPr>
      </w:pPr>
      <w:r w:rsidRPr="00E61685">
        <w:rPr>
          <w:rFonts w:ascii="Arial" w:eastAsiaTheme="minorEastAsia" w:hAnsi="Arial" w:cs="Arial"/>
          <w:b/>
          <w:sz w:val="22"/>
          <w:szCs w:val="22"/>
          <w:lang w:val="en-GB" w:eastAsia="ko-KR"/>
        </w:rPr>
        <w:t>Online</w:t>
      </w:r>
    </w:p>
    <w:p w14:paraId="15705A60" w14:textId="33236F19" w:rsidR="004E1760" w:rsidRPr="00E61685" w:rsidRDefault="00595B1A" w:rsidP="004E1760">
      <w:pPr>
        <w:jc w:val="center"/>
        <w:rPr>
          <w:rFonts w:ascii="Arial" w:hAnsi="Arial" w:cs="Arial"/>
          <w:b/>
          <w:sz w:val="22"/>
          <w:szCs w:val="22"/>
          <w:lang w:val="en-GB"/>
        </w:rPr>
      </w:pPr>
      <w:r w:rsidRPr="00E61685">
        <w:rPr>
          <w:rFonts w:ascii="Arial" w:hAnsi="Arial" w:cs="Arial"/>
          <w:b/>
          <w:sz w:val="22"/>
          <w:szCs w:val="22"/>
          <w:lang w:val="en-GB"/>
        </w:rPr>
        <w:t>23</w:t>
      </w:r>
      <w:r w:rsidR="003314E0" w:rsidRPr="00E61685">
        <w:rPr>
          <w:rFonts w:ascii="Arial" w:hAnsi="Arial" w:cs="Arial"/>
          <w:b/>
          <w:sz w:val="22"/>
          <w:szCs w:val="22"/>
          <w:lang w:val="en-GB"/>
        </w:rPr>
        <w:t xml:space="preserve"> June</w:t>
      </w:r>
      <w:r w:rsidR="004E1760" w:rsidRPr="00E61685">
        <w:rPr>
          <w:rFonts w:ascii="Arial" w:hAnsi="Arial" w:cs="Arial"/>
          <w:b/>
          <w:sz w:val="22"/>
          <w:szCs w:val="22"/>
          <w:lang w:val="en-GB"/>
        </w:rPr>
        <w:t xml:space="preserve"> 2022</w:t>
      </w:r>
    </w:p>
    <w:p w14:paraId="1247CCBC" w14:textId="6C8EEE7E" w:rsidR="004E1760" w:rsidRPr="00A54AF9" w:rsidRDefault="008446BA" w:rsidP="004E1760">
      <w:pPr>
        <w:jc w:val="center"/>
        <w:rPr>
          <w:rFonts w:ascii="Arial" w:hAnsi="Arial" w:cs="Arial"/>
          <w:b/>
          <w:sz w:val="22"/>
          <w:szCs w:val="22"/>
          <w:lang w:val="en-GB"/>
        </w:rPr>
      </w:pPr>
      <w:r>
        <w:rPr>
          <w:rFonts w:ascii="Arial" w:hAnsi="Arial" w:cs="Arial"/>
          <w:b/>
          <w:sz w:val="22"/>
          <w:szCs w:val="22"/>
          <w:lang w:val="en-GB"/>
        </w:rPr>
        <w:t>9:30</w:t>
      </w:r>
      <w:r w:rsidR="004E1760" w:rsidRPr="00E61685">
        <w:rPr>
          <w:rFonts w:ascii="Arial" w:hAnsi="Arial" w:cs="Arial"/>
          <w:b/>
          <w:sz w:val="22"/>
          <w:szCs w:val="22"/>
          <w:lang w:val="en-GB"/>
        </w:rPr>
        <w:t xml:space="preserve"> </w:t>
      </w:r>
      <w:r w:rsidR="00595B1A" w:rsidRPr="00E61685">
        <w:rPr>
          <w:rFonts w:ascii="Arial" w:hAnsi="Arial" w:cs="Arial"/>
          <w:b/>
          <w:sz w:val="22"/>
          <w:szCs w:val="22"/>
          <w:lang w:val="en-GB"/>
        </w:rPr>
        <w:t>a</w:t>
      </w:r>
      <w:r w:rsidR="004E1760" w:rsidRPr="00E61685">
        <w:rPr>
          <w:rFonts w:ascii="Arial" w:hAnsi="Arial" w:cs="Arial"/>
          <w:b/>
          <w:sz w:val="22"/>
          <w:szCs w:val="22"/>
          <w:lang w:val="en-GB"/>
        </w:rPr>
        <w:t xml:space="preserve">.m. – </w:t>
      </w:r>
      <w:r w:rsidR="00595B1A" w:rsidRPr="00E61685">
        <w:rPr>
          <w:rFonts w:ascii="Arial" w:hAnsi="Arial" w:cs="Arial"/>
          <w:b/>
          <w:sz w:val="22"/>
          <w:szCs w:val="22"/>
          <w:lang w:val="en-GB"/>
        </w:rPr>
        <w:t>1</w:t>
      </w:r>
      <w:r>
        <w:rPr>
          <w:rFonts w:ascii="Arial" w:hAnsi="Arial" w:cs="Arial"/>
          <w:b/>
          <w:sz w:val="22"/>
          <w:szCs w:val="22"/>
          <w:lang w:val="en-GB"/>
        </w:rPr>
        <w:t>2:30</w:t>
      </w:r>
      <w:r w:rsidR="004E1760" w:rsidRPr="00E61685">
        <w:rPr>
          <w:rFonts w:ascii="Arial" w:hAnsi="Arial" w:cs="Arial"/>
          <w:b/>
          <w:sz w:val="22"/>
          <w:szCs w:val="22"/>
          <w:lang w:val="en-GB"/>
        </w:rPr>
        <w:t xml:space="preserve"> </w:t>
      </w:r>
      <w:r w:rsidR="00E16EFD" w:rsidRPr="00E61685">
        <w:rPr>
          <w:rFonts w:ascii="Arial" w:hAnsi="Arial" w:cs="Arial"/>
          <w:b/>
          <w:sz w:val="22"/>
          <w:szCs w:val="22"/>
          <w:lang w:val="en-GB"/>
        </w:rPr>
        <w:t>p</w:t>
      </w:r>
      <w:r w:rsidR="004E1760" w:rsidRPr="00E61685">
        <w:rPr>
          <w:rFonts w:ascii="Arial" w:hAnsi="Arial" w:cs="Arial"/>
          <w:b/>
          <w:sz w:val="22"/>
          <w:szCs w:val="22"/>
          <w:lang w:val="en-GB"/>
        </w:rPr>
        <w:t>.m. (Paris time)</w:t>
      </w:r>
    </w:p>
    <w:p w14:paraId="1CE0C0AA" w14:textId="77777777" w:rsidR="00E61685" w:rsidRPr="007150E7" w:rsidRDefault="00E61685" w:rsidP="00E61685">
      <w:pPr>
        <w:pStyle w:val="Sansinterligne2"/>
        <w:spacing w:before="1200" w:after="1200"/>
        <w:jc w:val="center"/>
        <w:rPr>
          <w:rFonts w:ascii="Arial" w:hAnsi="Arial" w:cs="Arial"/>
          <w:b/>
          <w:sz w:val="22"/>
          <w:szCs w:val="22"/>
          <w:lang w:val="en-GB"/>
        </w:rPr>
      </w:pPr>
      <w:r w:rsidRPr="007150E7">
        <w:rPr>
          <w:rFonts w:ascii="Arial" w:hAnsi="Arial" w:cs="Arial"/>
          <w:b/>
          <w:sz w:val="22"/>
          <w:szCs w:val="22"/>
          <w:u w:val="single"/>
          <w:lang w:val="en-GB"/>
        </w:rPr>
        <w:t>DECISIONS</w:t>
      </w:r>
    </w:p>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6CEB1E9D" w14:textId="126F2083" w:rsidR="00D95C4C" w:rsidRPr="00FD624F" w:rsidRDefault="00CB0542" w:rsidP="00E61685">
      <w:pPr>
        <w:pStyle w:val="COMTitleDecision"/>
        <w:ind w:left="0"/>
        <w:rPr>
          <w:rFonts w:eastAsia="SimSun"/>
        </w:rPr>
      </w:pPr>
      <w:r>
        <w:lastRenderedPageBreak/>
        <w:t>DECISION 1</w:t>
      </w:r>
      <w:r w:rsidR="0026221A">
        <w:t>7</w:t>
      </w:r>
      <w:r w:rsidR="00EC6F8D">
        <w:t>.</w:t>
      </w:r>
      <w:r w:rsidR="004E1760">
        <w:t>COM</w:t>
      </w:r>
      <w:r w:rsidR="004E1760">
        <w:rPr>
          <w:lang w:val="en-US"/>
        </w:rPr>
        <w:t> </w:t>
      </w:r>
      <w:r w:rsidR="00852B51">
        <w:rPr>
          <w:lang w:val="en-US"/>
        </w:rPr>
        <w:t>4</w:t>
      </w:r>
      <w:r w:rsidR="004E1760" w:rsidRPr="0080497A">
        <w:t>.</w:t>
      </w:r>
      <w:r w:rsidR="004E1760" w:rsidRPr="000363E7">
        <w:t>BUR </w:t>
      </w:r>
      <w:r w:rsidR="00D63F68">
        <w:t>2</w:t>
      </w:r>
    </w:p>
    <w:p w14:paraId="12644E68" w14:textId="77777777" w:rsidR="00D63F68" w:rsidRPr="00D63F68" w:rsidRDefault="00D63F68" w:rsidP="00D63F68">
      <w:pPr>
        <w:pStyle w:val="COMPreambulaDecisions"/>
        <w:ind w:left="0"/>
      </w:pPr>
      <w:r w:rsidRPr="00285BB4">
        <w:t xml:space="preserve">The </w:t>
      </w:r>
      <w:r>
        <w:t>Bureau</w:t>
      </w:r>
      <w:r w:rsidRPr="00285BB4">
        <w:t>,</w:t>
      </w:r>
    </w:p>
    <w:p w14:paraId="2D20B656" w14:textId="3A90EC24" w:rsidR="00D63F68" w:rsidRPr="00345CB4" w:rsidRDefault="00D63F68" w:rsidP="00D63F68">
      <w:pPr>
        <w:pStyle w:val="COMParaDecision"/>
        <w:ind w:left="567"/>
      </w:pPr>
      <w:r w:rsidRPr="00345CB4">
        <w:t>Having examined</w:t>
      </w:r>
      <w:r w:rsidRPr="00F32C23">
        <w:rPr>
          <w:u w:val="none"/>
        </w:rPr>
        <w:t xml:space="preserve"> doc</w:t>
      </w:r>
      <w:r>
        <w:rPr>
          <w:u w:val="none"/>
        </w:rPr>
        <w:t xml:space="preserve">ument </w:t>
      </w:r>
      <w:hyperlink r:id="rId8" w:history="1">
        <w:r w:rsidRPr="00972339">
          <w:rPr>
            <w:rStyle w:val="Hyperlink"/>
            <w:lang w:eastAsia="fr-FR"/>
          </w:rPr>
          <w:t>LHE/22/17.COM</w:t>
        </w:r>
        <w:r w:rsidRPr="00972339">
          <w:rPr>
            <w:rStyle w:val="Hyperlink"/>
            <w:lang w:val="en-US" w:eastAsia="fr-FR"/>
          </w:rPr>
          <w:t> 4</w:t>
        </w:r>
        <w:r w:rsidRPr="00972339">
          <w:rPr>
            <w:rStyle w:val="Hyperlink"/>
            <w:lang w:eastAsia="fr-FR"/>
          </w:rPr>
          <w:t>.BUR/2</w:t>
        </w:r>
      </w:hyperlink>
      <w:r>
        <w:rPr>
          <w:u w:val="none"/>
        </w:rPr>
        <w:t xml:space="preserve"> and its annex,</w:t>
      </w:r>
    </w:p>
    <w:p w14:paraId="5AFFD0D1" w14:textId="77777777" w:rsidR="00D63F68" w:rsidRDefault="00D63F68" w:rsidP="00D63F68">
      <w:pPr>
        <w:pStyle w:val="COMParaDecision"/>
        <w:ind w:left="567"/>
        <w:rPr>
          <w:u w:val="none"/>
        </w:rPr>
      </w:pPr>
      <w:r w:rsidRPr="00882F68">
        <w:t>Adopts</w:t>
      </w:r>
      <w:r w:rsidRPr="00882F68">
        <w:rPr>
          <w:u w:val="none"/>
        </w:rPr>
        <w:t xml:space="preserve"> the agenda of its </w:t>
      </w:r>
      <w:r>
        <w:rPr>
          <w:u w:val="none"/>
        </w:rPr>
        <w:t>fourth</w:t>
      </w:r>
      <w:r w:rsidRPr="00882F68">
        <w:rPr>
          <w:u w:val="none"/>
        </w:rPr>
        <w:t xml:space="preserve"> meeting as annexed to this Decision.</w:t>
      </w:r>
    </w:p>
    <w:p w14:paraId="22FAB805" w14:textId="77777777" w:rsidR="00D63F68" w:rsidRPr="00070DA5" w:rsidRDefault="00D63F68" w:rsidP="00D63F68">
      <w:pPr>
        <w:spacing w:before="480" w:after="120"/>
        <w:jc w:val="center"/>
        <w:rPr>
          <w:rFonts w:ascii="Arial" w:hAnsi="Arial" w:cs="Arial"/>
          <w:b/>
          <w:sz w:val="22"/>
          <w:szCs w:val="22"/>
          <w:u w:val="single"/>
          <w:lang w:val="en-US"/>
        </w:rPr>
      </w:pPr>
      <w:r w:rsidRPr="00070DA5">
        <w:rPr>
          <w:rFonts w:ascii="Arial" w:hAnsi="Arial" w:cs="Arial"/>
          <w:b/>
          <w:sz w:val="22"/>
          <w:szCs w:val="22"/>
          <w:u w:val="single"/>
          <w:lang w:val="en-US"/>
        </w:rPr>
        <w:t>ANNEX</w:t>
      </w:r>
    </w:p>
    <w:p w14:paraId="07726658" w14:textId="647D994D" w:rsidR="00D63F68" w:rsidRPr="004A1D8C" w:rsidRDefault="00A3552C" w:rsidP="00D63F68">
      <w:pPr>
        <w:spacing w:before="360" w:after="240"/>
        <w:ind w:left="1134" w:hanging="567"/>
        <w:jc w:val="both"/>
        <w:rPr>
          <w:rFonts w:ascii="Arial" w:eastAsia="SimSun" w:hAnsi="Arial" w:cs="Arial"/>
          <w:b/>
          <w:sz w:val="22"/>
          <w:szCs w:val="22"/>
          <w:lang w:val="en-US"/>
        </w:rPr>
      </w:pPr>
      <w:r>
        <w:rPr>
          <w:rFonts w:ascii="Arial" w:eastAsia="SimSun" w:hAnsi="Arial" w:cs="Arial"/>
          <w:b/>
          <w:sz w:val="22"/>
          <w:szCs w:val="22"/>
          <w:lang w:val="en-US"/>
        </w:rPr>
        <w:t>A</w:t>
      </w:r>
      <w:r w:rsidR="00D63F68" w:rsidRPr="004A1D8C">
        <w:rPr>
          <w:rFonts w:ascii="Arial" w:eastAsia="SimSun" w:hAnsi="Arial" w:cs="Arial"/>
          <w:b/>
          <w:sz w:val="22"/>
          <w:szCs w:val="22"/>
          <w:lang w:val="en-US"/>
        </w:rPr>
        <w:t xml:space="preserve">genda of the </w:t>
      </w:r>
      <w:r w:rsidR="00D63F68">
        <w:rPr>
          <w:rFonts w:ascii="Arial" w:eastAsia="SimSun" w:hAnsi="Arial" w:cs="Arial"/>
          <w:b/>
          <w:sz w:val="22"/>
          <w:szCs w:val="22"/>
          <w:lang w:val="en-US"/>
        </w:rPr>
        <w:t>fourth</w:t>
      </w:r>
      <w:r w:rsidR="00D63F68" w:rsidRPr="004A1D8C">
        <w:rPr>
          <w:rFonts w:ascii="Arial" w:eastAsia="SimSun" w:hAnsi="Arial" w:cs="Arial"/>
          <w:b/>
          <w:sz w:val="22"/>
          <w:szCs w:val="22"/>
          <w:lang w:val="en-US"/>
        </w:rPr>
        <w:t xml:space="preserve"> meeting of the 17.COM Bureau</w:t>
      </w:r>
    </w:p>
    <w:tbl>
      <w:tblPr>
        <w:tblW w:w="8217" w:type="dxa"/>
        <w:tblInd w:w="567" w:type="dxa"/>
        <w:tblLook w:val="04A0" w:firstRow="1" w:lastRow="0" w:firstColumn="1" w:lastColumn="0" w:noHBand="0" w:noVBand="1"/>
      </w:tblPr>
      <w:tblGrid>
        <w:gridCol w:w="489"/>
        <w:gridCol w:w="4072"/>
        <w:gridCol w:w="3656"/>
      </w:tblGrid>
      <w:tr w:rsidR="00D63F68" w:rsidRPr="004A1D8C" w14:paraId="7FA96543" w14:textId="77777777" w:rsidTr="001A621C">
        <w:tc>
          <w:tcPr>
            <w:tcW w:w="4561" w:type="dxa"/>
            <w:gridSpan w:val="2"/>
          </w:tcPr>
          <w:p w14:paraId="4ACCFF3B" w14:textId="77777777" w:rsidR="00D63F68" w:rsidRPr="004A1D8C" w:rsidRDefault="00D63F68" w:rsidP="001A621C">
            <w:pPr>
              <w:adjustRightInd w:val="0"/>
              <w:spacing w:before="120" w:after="160"/>
              <w:outlineLvl w:val="0"/>
              <w:rPr>
                <w:rFonts w:ascii="Arial" w:eastAsia="SimSun" w:hAnsi="Arial" w:cs="Arial"/>
                <w:sz w:val="22"/>
                <w:szCs w:val="22"/>
                <w:u w:val="single"/>
                <w:lang w:val="en-US"/>
              </w:rPr>
            </w:pPr>
            <w:r w:rsidRPr="004A1D8C">
              <w:rPr>
                <w:rFonts w:ascii="Arial" w:eastAsia="SimSun" w:hAnsi="Arial" w:cs="Arial"/>
                <w:sz w:val="22"/>
                <w:szCs w:val="22"/>
                <w:u w:val="single"/>
                <w:lang w:val="en-US"/>
              </w:rPr>
              <w:t>Agenda item</w:t>
            </w:r>
          </w:p>
        </w:tc>
        <w:tc>
          <w:tcPr>
            <w:tcW w:w="3656" w:type="dxa"/>
          </w:tcPr>
          <w:p w14:paraId="35685C4A" w14:textId="77777777" w:rsidR="00D63F68" w:rsidRPr="004A1D8C" w:rsidRDefault="00D63F68" w:rsidP="001A621C">
            <w:pPr>
              <w:adjustRightInd w:val="0"/>
              <w:spacing w:before="120" w:after="160"/>
              <w:outlineLvl w:val="0"/>
              <w:rPr>
                <w:rFonts w:ascii="Arial" w:eastAsia="SimSun" w:hAnsi="Arial" w:cs="Arial"/>
                <w:sz w:val="22"/>
                <w:szCs w:val="22"/>
                <w:u w:val="single"/>
                <w:lang w:val="en-US"/>
              </w:rPr>
            </w:pPr>
            <w:r w:rsidRPr="004A1D8C">
              <w:rPr>
                <w:rFonts w:ascii="Arial" w:eastAsia="SimSun" w:hAnsi="Arial" w:cs="Arial"/>
                <w:sz w:val="22"/>
                <w:szCs w:val="22"/>
                <w:u w:val="single"/>
                <w:lang w:val="en-US"/>
              </w:rPr>
              <w:t>Document</w:t>
            </w:r>
          </w:p>
        </w:tc>
      </w:tr>
      <w:tr w:rsidR="00D63F68" w:rsidRPr="004A1D8C" w14:paraId="3D2758CD" w14:textId="77777777" w:rsidTr="001A621C">
        <w:tc>
          <w:tcPr>
            <w:tcW w:w="489" w:type="dxa"/>
          </w:tcPr>
          <w:p w14:paraId="209EA823"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1.</w:t>
            </w:r>
          </w:p>
        </w:tc>
        <w:tc>
          <w:tcPr>
            <w:tcW w:w="4072" w:type="dxa"/>
          </w:tcPr>
          <w:p w14:paraId="01A516AB"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Opening</w:t>
            </w:r>
          </w:p>
        </w:tc>
        <w:tc>
          <w:tcPr>
            <w:tcW w:w="3656" w:type="dxa"/>
          </w:tcPr>
          <w:p w14:paraId="35634A54" w14:textId="77777777" w:rsidR="00D63F68" w:rsidRPr="004A1D8C" w:rsidRDefault="00D63F68" w:rsidP="001A621C">
            <w:pPr>
              <w:adjustRightInd w:val="0"/>
              <w:spacing w:before="120" w:after="160"/>
              <w:outlineLvl w:val="0"/>
              <w:rPr>
                <w:rFonts w:ascii="Arial" w:eastAsia="SimSun" w:hAnsi="Arial" w:cs="Arial"/>
                <w:sz w:val="22"/>
                <w:szCs w:val="22"/>
                <w:lang w:val="en-US"/>
              </w:rPr>
            </w:pPr>
          </w:p>
        </w:tc>
      </w:tr>
      <w:tr w:rsidR="00D63F68" w:rsidRPr="004A1D8C" w14:paraId="131570C0" w14:textId="77777777" w:rsidTr="001A621C">
        <w:tc>
          <w:tcPr>
            <w:tcW w:w="489" w:type="dxa"/>
          </w:tcPr>
          <w:p w14:paraId="29867F13"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2.</w:t>
            </w:r>
          </w:p>
        </w:tc>
        <w:tc>
          <w:tcPr>
            <w:tcW w:w="4072" w:type="dxa"/>
          </w:tcPr>
          <w:p w14:paraId="27C5C423"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Adoption of the agenda</w:t>
            </w:r>
          </w:p>
        </w:tc>
        <w:tc>
          <w:tcPr>
            <w:tcW w:w="3656" w:type="dxa"/>
          </w:tcPr>
          <w:p w14:paraId="69022A16"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hAnsi="Arial" w:cs="Arial"/>
                <w:sz w:val="22"/>
                <w:szCs w:val="22"/>
                <w:lang w:val="en-US"/>
              </w:rPr>
              <w:t>LHE/22/17.COM</w:t>
            </w:r>
            <w:r>
              <w:rPr>
                <w:rFonts w:ascii="Arial" w:hAnsi="Arial" w:cs="Arial"/>
                <w:sz w:val="22"/>
                <w:szCs w:val="22"/>
                <w:lang w:val="en-US"/>
              </w:rPr>
              <w:t> 4</w:t>
            </w:r>
            <w:r w:rsidRPr="004A1D8C">
              <w:rPr>
                <w:rFonts w:ascii="Arial" w:hAnsi="Arial" w:cs="Arial"/>
                <w:sz w:val="22"/>
                <w:szCs w:val="22"/>
                <w:lang w:val="en-US"/>
              </w:rPr>
              <w:t>.BUR/2</w:t>
            </w:r>
          </w:p>
        </w:tc>
      </w:tr>
      <w:tr w:rsidR="00D63F68" w:rsidRPr="004A1D8C" w14:paraId="4378E381" w14:textId="77777777" w:rsidTr="001A621C">
        <w:tc>
          <w:tcPr>
            <w:tcW w:w="489" w:type="dxa"/>
          </w:tcPr>
          <w:p w14:paraId="389338A9"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3.</w:t>
            </w:r>
          </w:p>
        </w:tc>
        <w:tc>
          <w:tcPr>
            <w:tcW w:w="4072" w:type="dxa"/>
          </w:tcPr>
          <w:p w14:paraId="02F18D1B"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Examination of requests for International Assistance up to US$100,000</w:t>
            </w:r>
          </w:p>
        </w:tc>
        <w:tc>
          <w:tcPr>
            <w:tcW w:w="3656" w:type="dxa"/>
          </w:tcPr>
          <w:p w14:paraId="07BEF2E5" w14:textId="77777777" w:rsidR="00D63F68" w:rsidRPr="004A1D8C" w:rsidRDefault="00D63F68" w:rsidP="001A621C">
            <w:pPr>
              <w:adjustRightInd w:val="0"/>
              <w:spacing w:before="120" w:after="160"/>
              <w:outlineLvl w:val="0"/>
              <w:rPr>
                <w:rFonts w:ascii="Arial" w:hAnsi="Arial" w:cs="Arial"/>
                <w:sz w:val="22"/>
                <w:szCs w:val="22"/>
                <w:lang w:val="en-US"/>
              </w:rPr>
            </w:pPr>
            <w:r w:rsidRPr="004A1D8C">
              <w:rPr>
                <w:rFonts w:ascii="Arial" w:hAnsi="Arial" w:cs="Arial"/>
                <w:sz w:val="22"/>
                <w:szCs w:val="22"/>
                <w:lang w:val="en-US"/>
              </w:rPr>
              <w:t>LHE/22/17.COM</w:t>
            </w:r>
            <w:r>
              <w:rPr>
                <w:rFonts w:ascii="Arial" w:hAnsi="Arial" w:cs="Arial"/>
                <w:sz w:val="22"/>
                <w:szCs w:val="22"/>
                <w:lang w:val="en-US"/>
              </w:rPr>
              <w:t> 4</w:t>
            </w:r>
            <w:r w:rsidRPr="004A1D8C">
              <w:rPr>
                <w:rFonts w:ascii="Arial" w:hAnsi="Arial" w:cs="Arial"/>
                <w:sz w:val="22"/>
                <w:szCs w:val="22"/>
                <w:lang w:val="en-US"/>
              </w:rPr>
              <w:t>.BUR/3</w:t>
            </w:r>
          </w:p>
        </w:tc>
      </w:tr>
      <w:tr w:rsidR="00D63F68" w:rsidRPr="00B42EDA" w14:paraId="3018D7D7" w14:textId="77777777" w:rsidTr="001A621C">
        <w:tc>
          <w:tcPr>
            <w:tcW w:w="489" w:type="dxa"/>
          </w:tcPr>
          <w:p w14:paraId="0FBCB20F" w14:textId="77777777" w:rsidR="00D63F68" w:rsidRPr="004A1D8C" w:rsidRDefault="00D63F68" w:rsidP="001A621C">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4.</w:t>
            </w:r>
          </w:p>
        </w:tc>
        <w:tc>
          <w:tcPr>
            <w:tcW w:w="4072" w:type="dxa"/>
          </w:tcPr>
          <w:p w14:paraId="5507AAB6" w14:textId="77777777" w:rsidR="00D63F68" w:rsidRPr="004A1D8C" w:rsidRDefault="00D63F68" w:rsidP="001A621C">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Change of v</w:t>
            </w:r>
            <w:r w:rsidRPr="00B42EDA">
              <w:rPr>
                <w:rFonts w:ascii="Arial" w:eastAsia="SimSun" w:hAnsi="Arial" w:cs="Arial"/>
                <w:sz w:val="22"/>
                <w:szCs w:val="22"/>
                <w:lang w:val="en-US"/>
              </w:rPr>
              <w:t>enue of the seventeenth session of the Committee</w:t>
            </w:r>
            <w:r w:rsidRPr="00121A92">
              <w:rPr>
                <w:rFonts w:ascii="Arial" w:eastAsia="SimSun" w:hAnsi="Arial" w:cs="Arial"/>
                <w:sz w:val="22"/>
                <w:szCs w:val="22"/>
                <w:lang w:val="en-US"/>
              </w:rPr>
              <w:t xml:space="preserve"> </w:t>
            </w:r>
          </w:p>
        </w:tc>
        <w:tc>
          <w:tcPr>
            <w:tcW w:w="3656" w:type="dxa"/>
          </w:tcPr>
          <w:p w14:paraId="222CE9FA" w14:textId="77777777" w:rsidR="00D63F68" w:rsidRPr="004A1D8C" w:rsidRDefault="00D63F68" w:rsidP="001A621C">
            <w:pPr>
              <w:adjustRightInd w:val="0"/>
              <w:spacing w:before="120" w:after="160"/>
              <w:outlineLvl w:val="0"/>
              <w:rPr>
                <w:rFonts w:ascii="Arial" w:hAnsi="Arial" w:cs="Arial"/>
                <w:sz w:val="22"/>
                <w:szCs w:val="22"/>
                <w:lang w:val="en-US"/>
              </w:rPr>
            </w:pPr>
            <w:r w:rsidRPr="004A1D8C">
              <w:rPr>
                <w:rFonts w:ascii="Arial" w:hAnsi="Arial" w:cs="Arial"/>
                <w:sz w:val="22"/>
                <w:szCs w:val="22"/>
                <w:lang w:val="en-US"/>
              </w:rPr>
              <w:t>LHE/22/17.COM</w:t>
            </w:r>
            <w:r>
              <w:rPr>
                <w:rFonts w:ascii="Arial" w:hAnsi="Arial" w:cs="Arial"/>
                <w:sz w:val="22"/>
                <w:szCs w:val="22"/>
                <w:lang w:val="en-US"/>
              </w:rPr>
              <w:t> 4</w:t>
            </w:r>
            <w:r w:rsidRPr="004A1D8C">
              <w:rPr>
                <w:rFonts w:ascii="Arial" w:hAnsi="Arial" w:cs="Arial"/>
                <w:sz w:val="22"/>
                <w:szCs w:val="22"/>
                <w:lang w:val="en-US"/>
              </w:rPr>
              <w:t>.BUR/</w:t>
            </w:r>
            <w:r>
              <w:rPr>
                <w:rFonts w:ascii="Arial" w:hAnsi="Arial" w:cs="Arial"/>
                <w:sz w:val="22"/>
                <w:szCs w:val="22"/>
                <w:lang w:val="en-US"/>
              </w:rPr>
              <w:t>4</w:t>
            </w:r>
          </w:p>
        </w:tc>
      </w:tr>
      <w:tr w:rsidR="00D63F68" w:rsidRPr="00B42EDA" w14:paraId="031D07D0" w14:textId="77777777" w:rsidTr="001A621C">
        <w:tc>
          <w:tcPr>
            <w:tcW w:w="489" w:type="dxa"/>
          </w:tcPr>
          <w:p w14:paraId="441D198A" w14:textId="77777777" w:rsidR="00D63F68" w:rsidRPr="004A1D8C" w:rsidRDefault="00D63F68" w:rsidP="001A621C">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5.</w:t>
            </w:r>
          </w:p>
        </w:tc>
        <w:tc>
          <w:tcPr>
            <w:tcW w:w="4072" w:type="dxa"/>
          </w:tcPr>
          <w:p w14:paraId="2B699315"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121A92">
              <w:rPr>
                <w:rFonts w:ascii="Arial" w:eastAsia="SimSun" w:hAnsi="Arial" w:cs="Arial"/>
                <w:sz w:val="22"/>
                <w:szCs w:val="22"/>
                <w:lang w:val="en-US"/>
              </w:rPr>
              <w:t>Request by Ukraine to examine the nomination ‘Culture of Ukrainian borscht cooking’ as a case of extreme urgency</w:t>
            </w:r>
            <w:r w:rsidDel="00715822">
              <w:rPr>
                <w:rFonts w:ascii="Arial" w:eastAsia="SimSun" w:hAnsi="Arial" w:cs="Arial"/>
                <w:sz w:val="22"/>
                <w:szCs w:val="22"/>
                <w:lang w:val="en-US"/>
              </w:rPr>
              <w:t xml:space="preserve"> </w:t>
            </w:r>
          </w:p>
        </w:tc>
        <w:tc>
          <w:tcPr>
            <w:tcW w:w="3656" w:type="dxa"/>
          </w:tcPr>
          <w:p w14:paraId="0C3C5F34" w14:textId="77777777" w:rsidR="00D63F68" w:rsidRPr="004A1D8C" w:rsidRDefault="00D63F68" w:rsidP="001A621C">
            <w:pPr>
              <w:adjustRightInd w:val="0"/>
              <w:spacing w:before="120" w:after="160"/>
              <w:outlineLvl w:val="0"/>
              <w:rPr>
                <w:rFonts w:ascii="Arial" w:hAnsi="Arial" w:cs="Arial"/>
                <w:sz w:val="22"/>
                <w:szCs w:val="22"/>
                <w:lang w:val="en-US"/>
              </w:rPr>
            </w:pPr>
            <w:r w:rsidRPr="004A1D8C">
              <w:rPr>
                <w:rFonts w:ascii="Arial" w:hAnsi="Arial" w:cs="Arial"/>
                <w:sz w:val="22"/>
                <w:szCs w:val="22"/>
                <w:lang w:val="en-US"/>
              </w:rPr>
              <w:t>LHE/22/17.COM</w:t>
            </w:r>
            <w:r>
              <w:rPr>
                <w:rFonts w:ascii="Arial" w:hAnsi="Arial" w:cs="Arial"/>
                <w:sz w:val="22"/>
                <w:szCs w:val="22"/>
                <w:lang w:val="en-US"/>
              </w:rPr>
              <w:t> 4</w:t>
            </w:r>
            <w:r w:rsidRPr="004A1D8C">
              <w:rPr>
                <w:rFonts w:ascii="Arial" w:hAnsi="Arial" w:cs="Arial"/>
                <w:sz w:val="22"/>
                <w:szCs w:val="22"/>
                <w:lang w:val="en-US"/>
              </w:rPr>
              <w:t>.BUR/</w:t>
            </w:r>
            <w:r>
              <w:rPr>
                <w:rFonts w:ascii="Arial" w:hAnsi="Arial" w:cs="Arial"/>
                <w:sz w:val="22"/>
                <w:szCs w:val="22"/>
                <w:lang w:val="en-US"/>
              </w:rPr>
              <w:t>5</w:t>
            </w:r>
          </w:p>
        </w:tc>
      </w:tr>
      <w:tr w:rsidR="00D63F68" w:rsidRPr="004A1D8C" w14:paraId="6577A8F4" w14:textId="77777777" w:rsidTr="001A621C">
        <w:tc>
          <w:tcPr>
            <w:tcW w:w="489" w:type="dxa"/>
          </w:tcPr>
          <w:p w14:paraId="0BC179B4" w14:textId="77777777" w:rsidR="00D63F68" w:rsidRPr="004A1D8C" w:rsidRDefault="00D63F68" w:rsidP="001A621C">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6</w:t>
            </w:r>
            <w:r w:rsidRPr="004A1D8C">
              <w:rPr>
                <w:rFonts w:ascii="Arial" w:eastAsia="SimSun" w:hAnsi="Arial" w:cs="Arial"/>
                <w:sz w:val="22"/>
                <w:szCs w:val="22"/>
                <w:lang w:val="en-US"/>
              </w:rPr>
              <w:t>.</w:t>
            </w:r>
          </w:p>
        </w:tc>
        <w:tc>
          <w:tcPr>
            <w:tcW w:w="4072" w:type="dxa"/>
          </w:tcPr>
          <w:p w14:paraId="18669848"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 xml:space="preserve">Other </w:t>
            </w:r>
            <w:r>
              <w:rPr>
                <w:rFonts w:ascii="Arial" w:eastAsia="SimSun" w:hAnsi="Arial" w:cs="Arial"/>
                <w:sz w:val="22"/>
                <w:szCs w:val="22"/>
                <w:lang w:val="en-US"/>
              </w:rPr>
              <w:t>b</w:t>
            </w:r>
            <w:r w:rsidRPr="004A1D8C">
              <w:rPr>
                <w:rFonts w:ascii="Arial" w:eastAsia="SimSun" w:hAnsi="Arial" w:cs="Arial"/>
                <w:sz w:val="22"/>
                <w:szCs w:val="22"/>
                <w:lang w:val="en-US"/>
              </w:rPr>
              <w:t>usiness</w:t>
            </w:r>
          </w:p>
          <w:p w14:paraId="32ECBADE" w14:textId="77777777" w:rsidR="00D63F68" w:rsidRPr="004A1D8C" w:rsidRDefault="00D63F68" w:rsidP="001A621C">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sidRPr="004A1D8C">
              <w:rPr>
                <w:rFonts w:ascii="Arial" w:eastAsia="SimSun" w:hAnsi="Arial" w:cs="Arial"/>
                <w:sz w:val="22"/>
                <w:szCs w:val="22"/>
                <w:lang w:val="en-US"/>
              </w:rPr>
              <w:t>Statutory meeting dates in 2022</w:t>
            </w:r>
          </w:p>
          <w:p w14:paraId="3EC9B47F" w14:textId="77777777" w:rsidR="00D63F68" w:rsidRPr="004A1D8C" w:rsidRDefault="00D63F68" w:rsidP="001A621C">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sidRPr="004A1D8C">
              <w:rPr>
                <w:rFonts w:ascii="Arial" w:eastAsia="SimSun" w:hAnsi="Arial" w:cs="Arial"/>
                <w:sz w:val="22"/>
                <w:szCs w:val="22"/>
                <w:lang w:val="en-US"/>
              </w:rPr>
              <w:t>Other issues</w:t>
            </w:r>
          </w:p>
        </w:tc>
        <w:tc>
          <w:tcPr>
            <w:tcW w:w="3656" w:type="dxa"/>
          </w:tcPr>
          <w:p w14:paraId="5B1E4629" w14:textId="77777777" w:rsidR="00D63F68" w:rsidRDefault="00D63F68" w:rsidP="001A621C">
            <w:pPr>
              <w:adjustRightInd w:val="0"/>
              <w:spacing w:before="120" w:after="160"/>
              <w:outlineLvl w:val="0"/>
              <w:rPr>
                <w:rFonts w:ascii="Arial" w:hAnsi="Arial" w:cs="Arial"/>
                <w:sz w:val="22"/>
                <w:szCs w:val="22"/>
                <w:lang w:val="en-US"/>
              </w:rPr>
            </w:pPr>
          </w:p>
          <w:p w14:paraId="33768922" w14:textId="77777777" w:rsidR="00D63F68" w:rsidRPr="004A1D8C" w:rsidRDefault="00D63F68" w:rsidP="001A621C">
            <w:pPr>
              <w:adjustRightInd w:val="0"/>
              <w:spacing w:before="120" w:after="160"/>
              <w:outlineLvl w:val="0"/>
              <w:rPr>
                <w:rFonts w:ascii="Arial" w:hAnsi="Arial" w:cs="Arial"/>
                <w:sz w:val="22"/>
                <w:szCs w:val="22"/>
                <w:lang w:val="en-US"/>
              </w:rPr>
            </w:pPr>
            <w:r w:rsidRPr="00FD7ABC">
              <w:rPr>
                <w:rFonts w:ascii="Arial" w:hAnsi="Arial" w:cs="Arial"/>
                <w:sz w:val="22"/>
                <w:szCs w:val="22"/>
                <w:lang w:val="en-US"/>
              </w:rPr>
              <w:t>LHE/22/Schedule Rev.4</w:t>
            </w:r>
          </w:p>
        </w:tc>
      </w:tr>
      <w:tr w:rsidR="00D63F68" w:rsidRPr="004A1D8C" w14:paraId="4D05BC98" w14:textId="77777777" w:rsidTr="001A621C">
        <w:tc>
          <w:tcPr>
            <w:tcW w:w="489" w:type="dxa"/>
          </w:tcPr>
          <w:p w14:paraId="3A997D0C" w14:textId="77777777" w:rsidR="00D63F68" w:rsidRPr="004A1D8C" w:rsidRDefault="00D63F68" w:rsidP="001A621C">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7</w:t>
            </w:r>
            <w:r w:rsidRPr="004A1D8C">
              <w:rPr>
                <w:rFonts w:ascii="Arial" w:eastAsia="SimSun" w:hAnsi="Arial" w:cs="Arial"/>
                <w:sz w:val="22"/>
                <w:szCs w:val="22"/>
                <w:lang w:val="en-US"/>
              </w:rPr>
              <w:t>.</w:t>
            </w:r>
          </w:p>
        </w:tc>
        <w:tc>
          <w:tcPr>
            <w:tcW w:w="4072" w:type="dxa"/>
          </w:tcPr>
          <w:p w14:paraId="2D5EF81F" w14:textId="77777777" w:rsidR="00D63F68" w:rsidRPr="004A1D8C" w:rsidRDefault="00D63F68" w:rsidP="001A621C">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Closure</w:t>
            </w:r>
          </w:p>
        </w:tc>
        <w:tc>
          <w:tcPr>
            <w:tcW w:w="3656" w:type="dxa"/>
          </w:tcPr>
          <w:p w14:paraId="2F619108" w14:textId="77777777" w:rsidR="00D63F68" w:rsidRPr="004A1D8C" w:rsidRDefault="00D63F68" w:rsidP="001A621C">
            <w:pPr>
              <w:adjustRightInd w:val="0"/>
              <w:spacing w:before="120" w:after="160"/>
              <w:outlineLvl w:val="0"/>
              <w:rPr>
                <w:rFonts w:ascii="Arial" w:hAnsi="Arial" w:cs="Arial"/>
                <w:sz w:val="22"/>
                <w:szCs w:val="22"/>
                <w:lang w:val="en-US"/>
              </w:rPr>
            </w:pPr>
          </w:p>
        </w:tc>
      </w:tr>
    </w:tbl>
    <w:p w14:paraId="12D25D99" w14:textId="765230DA" w:rsidR="00D63F68" w:rsidRPr="00866DF6" w:rsidRDefault="00D63F68" w:rsidP="00D63F68">
      <w:pPr>
        <w:pStyle w:val="COMTitleDecision"/>
        <w:ind w:left="0"/>
      </w:pPr>
      <w:bookmarkStart w:id="0" w:name="Decision1"/>
      <w:bookmarkStart w:id="1" w:name="_Hlk94272986"/>
      <w:r w:rsidRPr="00866DF6">
        <w:t xml:space="preserve">DECISION </w:t>
      </w:r>
      <w:r w:rsidRPr="00B21F38">
        <w:t>17.COM 4.BUR</w:t>
      </w:r>
      <w:bookmarkStart w:id="2" w:name="_Hlk70614833"/>
      <w:bookmarkStart w:id="3" w:name="_Hlk53501546"/>
      <w:r w:rsidRPr="00B21F38">
        <w:t xml:space="preserve"> 3.1</w:t>
      </w:r>
      <w:bookmarkEnd w:id="0"/>
      <w:bookmarkEnd w:id="2"/>
      <w:bookmarkEnd w:id="3"/>
    </w:p>
    <w:p w14:paraId="2B5D61D1" w14:textId="77777777" w:rsidR="00D63F68" w:rsidRPr="00866DF6" w:rsidRDefault="00D63F68" w:rsidP="00D63F68">
      <w:pPr>
        <w:pStyle w:val="COMPreambulaDecisions"/>
        <w:ind w:left="0"/>
      </w:pPr>
      <w:r w:rsidRPr="00866DF6">
        <w:t>The Bureau,</w:t>
      </w:r>
    </w:p>
    <w:p w14:paraId="387E6159" w14:textId="77777777"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Recalling</w:t>
      </w:r>
      <w:r w:rsidRPr="00866DF6">
        <w:rPr>
          <w:rFonts w:ascii="Arial" w:hAnsi="Arial" w:cs="Arial"/>
          <w:sz w:val="22"/>
          <w:szCs w:val="22"/>
          <w:lang w:val="en-GB"/>
        </w:rPr>
        <w:t xml:space="preserve"> </w:t>
      </w:r>
      <w:bookmarkStart w:id="4" w:name="_Hlk105752817"/>
      <w:r w:rsidRPr="00866DF6">
        <w:rPr>
          <w:rFonts w:ascii="Arial" w:hAnsi="Arial" w:cs="Arial"/>
          <w:sz w:val="22"/>
          <w:szCs w:val="22"/>
          <w:lang w:val="en-GB"/>
        </w:rPr>
        <w:t>Article 23 of the Convention as well as Chapter I.4 of the Operational Directives relating to the eligibility and criteria of International Assistance requests,</w:t>
      </w:r>
    </w:p>
    <w:bookmarkEnd w:id="4"/>
    <w:p w14:paraId="636965AD" w14:textId="16A2909E"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Having examined</w:t>
      </w:r>
      <w:r w:rsidRPr="00866DF6">
        <w:rPr>
          <w:rFonts w:ascii="Arial" w:hAnsi="Arial" w:cs="Arial"/>
          <w:sz w:val="22"/>
          <w:szCs w:val="22"/>
          <w:lang w:val="en-GB"/>
        </w:rPr>
        <w:t xml:space="preserve"> document </w:t>
      </w:r>
      <w:hyperlink r:id="rId9" w:history="1">
        <w:r w:rsidRPr="00972339">
          <w:rPr>
            <w:rStyle w:val="Hyperlink"/>
            <w:rFonts w:ascii="Arial" w:hAnsi="Arial" w:cs="Arial"/>
            <w:sz w:val="22"/>
            <w:szCs w:val="22"/>
            <w:lang w:eastAsia="fr-FR"/>
          </w:rPr>
          <w:t>LHE/22/17.COM 4.BUR/3</w:t>
        </w:r>
      </w:hyperlink>
      <w:r w:rsidRPr="00866DF6">
        <w:rPr>
          <w:rFonts w:ascii="Arial" w:hAnsi="Arial" w:cs="Arial"/>
          <w:sz w:val="22"/>
          <w:szCs w:val="22"/>
          <w:lang w:val="en-GB"/>
        </w:rPr>
        <w:t xml:space="preserve"> as well as International Assistance request no. 01623 submitted by Chad,</w:t>
      </w:r>
    </w:p>
    <w:p w14:paraId="5D6E8F96" w14:textId="77777777"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Takes note</w:t>
      </w:r>
      <w:r w:rsidRPr="00866DF6">
        <w:rPr>
          <w:rFonts w:ascii="Arial" w:hAnsi="Arial" w:cs="Arial"/>
          <w:sz w:val="22"/>
          <w:szCs w:val="22"/>
          <w:lang w:val="en-GB"/>
        </w:rPr>
        <w:t xml:space="preserve"> that Chad has requested International Assistance for the project entitled </w:t>
      </w:r>
      <w:r w:rsidRPr="00866DF6">
        <w:rPr>
          <w:rFonts w:ascii="Arial" w:hAnsi="Arial" w:cs="Arial"/>
          <w:b/>
          <w:sz w:val="22"/>
          <w:szCs w:val="22"/>
          <w:lang w:val="en-GB"/>
        </w:rPr>
        <w:t>Pilot inventory of intangible cultural heritage in six provinces of Chad</w:t>
      </w:r>
      <w:r w:rsidRPr="00866DF6">
        <w:rPr>
          <w:rFonts w:ascii="Arial" w:hAnsi="Arial" w:cs="Arial"/>
          <w:bCs/>
          <w:sz w:val="22"/>
          <w:szCs w:val="22"/>
          <w:lang w:val="en-GB"/>
        </w:rPr>
        <w:t>:</w:t>
      </w:r>
    </w:p>
    <w:p w14:paraId="7587635A"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sz w:val="22"/>
          <w:szCs w:val="22"/>
          <w:lang w:val="en-GB"/>
        </w:rPr>
        <w:t xml:space="preserve">To be implemented by the Ministry of Culture and the Promotion of Diversity, in close collaboration with the Chad National Commission for UNESCO, the proposed eighteen-month project is aimed at inventorying elements of intangible cultural heritage in six regions of Chad. Although the State Party ratified the Convention for the Safeguarding of the Intangible Cultural Heritage (ICH) in 2008, the country has carried out very few activities within the framework of its implementation so far. As a result, Chad’s rich and multicultural ICH remains little known and undervalued. No inventory has been developed, and the country lacks competent human </w:t>
      </w:r>
      <w:r w:rsidRPr="00866DF6">
        <w:rPr>
          <w:rFonts w:ascii="Arial" w:hAnsi="Arial" w:cs="Arial"/>
          <w:sz w:val="22"/>
          <w:szCs w:val="22"/>
          <w:lang w:val="en-GB"/>
        </w:rPr>
        <w:lastRenderedPageBreak/>
        <w:t xml:space="preserve">resources for the realization of participatory inventories and of other safeguarding activities. The project was developed in collaboration with the communities concerned to close these gaps and lay the foundations for an effective and sustainable safeguarding of ICH. Specifically, it aims to provide Chad with its first ICH inventory and with human resources capable of conducting trainings in the elaboration of community-based inventories and inventorying operations, in collaboration with the communities concerned, </w:t>
      </w:r>
      <w:bookmarkStart w:id="5" w:name="_Hlk101972498"/>
      <w:r w:rsidRPr="00866DF6">
        <w:rPr>
          <w:rFonts w:ascii="Arial" w:hAnsi="Arial" w:cs="Arial"/>
          <w:sz w:val="22"/>
          <w:szCs w:val="22"/>
          <w:lang w:val="en-GB"/>
        </w:rPr>
        <w:t>academics, associations working in the area of ICH safeguarding, and the media,</w:t>
      </w:r>
      <w:bookmarkEnd w:id="5"/>
      <w:r w:rsidRPr="00866DF6">
        <w:rPr>
          <w:rFonts w:ascii="Arial" w:hAnsi="Arial" w:cs="Arial"/>
          <w:sz w:val="22"/>
          <w:szCs w:val="22"/>
          <w:lang w:val="en-GB"/>
        </w:rPr>
        <w:t xml:space="preserve"> among others.</w:t>
      </w:r>
    </w:p>
    <w:p w14:paraId="65FB692E" w14:textId="77777777"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Further takes note</w:t>
      </w:r>
      <w:r w:rsidRPr="00866DF6">
        <w:rPr>
          <w:rFonts w:ascii="Arial" w:hAnsi="Arial" w:cs="Arial"/>
          <w:sz w:val="22"/>
          <w:szCs w:val="22"/>
          <w:lang w:val="en-GB"/>
        </w:rPr>
        <w:t xml:space="preserve"> that this assistance</w:t>
      </w:r>
      <w:r w:rsidRPr="00866DF6">
        <w:rPr>
          <w:lang w:val="en-GB"/>
        </w:rPr>
        <w:t xml:space="preserve"> </w:t>
      </w:r>
      <w:r w:rsidRPr="00866DF6">
        <w:rPr>
          <w:rFonts w:ascii="Arial" w:hAnsi="Arial" w:cs="Arial"/>
          <w:sz w:val="22"/>
          <w:szCs w:val="22"/>
          <w:lang w:val="en-GB"/>
        </w:rPr>
        <w:t>aims to support a project implemented at the national level, in accordance with</w:t>
      </w:r>
      <w:r w:rsidRPr="00866DF6">
        <w:rPr>
          <w:rFonts w:ascii="Arial" w:eastAsia="Malgun Gothic" w:hAnsi="Arial" w:cs="Arial"/>
          <w:sz w:val="22"/>
          <w:szCs w:val="22"/>
          <w:lang w:val="en-GB" w:eastAsia="ko-KR"/>
        </w:rPr>
        <w:t xml:space="preserve"> </w:t>
      </w:r>
      <w:r w:rsidRPr="00866DF6">
        <w:rPr>
          <w:rFonts w:ascii="Arial" w:hAnsi="Arial" w:cs="Arial"/>
          <w:sz w:val="22"/>
          <w:szCs w:val="22"/>
          <w:lang w:val="en-GB"/>
        </w:rPr>
        <w:t>Article 20 (c)</w:t>
      </w:r>
      <w:r w:rsidRPr="00866DF6">
        <w:rPr>
          <w:lang w:val="en-GB"/>
        </w:rPr>
        <w:t xml:space="preserve"> </w:t>
      </w:r>
      <w:r w:rsidRPr="00866DF6">
        <w:rPr>
          <w:rFonts w:ascii="Arial" w:hAnsi="Arial" w:cs="Arial"/>
          <w:sz w:val="22"/>
          <w:szCs w:val="22"/>
          <w:lang w:val="en-GB"/>
        </w:rPr>
        <w:t xml:space="preserve">of the Convention, and that it takes the form of the </w:t>
      </w:r>
      <w:r w:rsidRPr="00866DF6">
        <w:rPr>
          <w:rFonts w:ascii="Arial" w:hAnsi="Arial" w:cs="Arial"/>
          <w:b/>
          <w:sz w:val="22"/>
          <w:szCs w:val="22"/>
          <w:lang w:val="en-GB"/>
        </w:rPr>
        <w:t>provision of a grant</w:t>
      </w:r>
      <w:r w:rsidRPr="00866DF6">
        <w:rPr>
          <w:rFonts w:ascii="Arial" w:hAnsi="Arial" w:cs="Arial"/>
          <w:sz w:val="22"/>
          <w:szCs w:val="22"/>
          <w:lang w:val="en-GB"/>
        </w:rPr>
        <w:t>, pursuant to Article 21 (g) of the Convention;</w:t>
      </w:r>
    </w:p>
    <w:p w14:paraId="78FF02B8" w14:textId="77777777"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Also takes note</w:t>
      </w:r>
      <w:r w:rsidRPr="00866DF6">
        <w:rPr>
          <w:rFonts w:ascii="Arial" w:hAnsi="Arial" w:cs="Arial"/>
          <w:sz w:val="22"/>
          <w:szCs w:val="22"/>
          <w:lang w:val="en-GB"/>
        </w:rPr>
        <w:t xml:space="preserve"> that Chad has requested assistance in the amount of US$99,610 from the Intangible Cultural Heritage Fund for the implementation of this project;</w:t>
      </w:r>
    </w:p>
    <w:p w14:paraId="6A183418" w14:textId="77777777"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Decides</w:t>
      </w:r>
      <w:r w:rsidRPr="00866DF6">
        <w:rPr>
          <w:rFonts w:ascii="Arial" w:hAnsi="Arial" w:cs="Arial"/>
          <w:sz w:val="22"/>
          <w:szCs w:val="22"/>
          <w:lang w:val="en-GB"/>
        </w:rPr>
        <w:t xml:space="preserve"> that, from the information provided in file no. 01623, the request responds as follows to the criteria for granting International Assistance given in paragraphs 10 and 12 of the Operational Directives:</w:t>
      </w:r>
    </w:p>
    <w:p w14:paraId="3D93623F" w14:textId="282D580E" w:rsidR="00D63F68" w:rsidRPr="00866DF6" w:rsidRDefault="00D63F68" w:rsidP="00D63F68">
      <w:pPr>
        <w:pStyle w:val="ListParagraph"/>
        <w:spacing w:before="120" w:after="120"/>
        <w:ind w:left="630"/>
        <w:contextualSpacing w:val="0"/>
        <w:jc w:val="both"/>
        <w:rPr>
          <w:rFonts w:ascii="Arial" w:hAnsi="Arial" w:cs="Arial"/>
          <w:bCs/>
          <w:sz w:val="22"/>
          <w:szCs w:val="22"/>
          <w:lang w:val="en-GB"/>
        </w:rPr>
      </w:pPr>
      <w:r w:rsidRPr="00866DF6">
        <w:rPr>
          <w:rFonts w:ascii="Arial" w:hAnsi="Arial" w:cs="Arial"/>
          <w:b/>
          <w:sz w:val="22"/>
          <w:szCs w:val="22"/>
          <w:lang w:val="en-GB"/>
        </w:rPr>
        <w:t>Criterion A.1</w:t>
      </w:r>
      <w:r w:rsidRPr="00866DF6">
        <w:rPr>
          <w:rFonts w:ascii="Arial" w:hAnsi="Arial" w:cs="Arial"/>
          <w:bCs/>
          <w:sz w:val="22"/>
          <w:szCs w:val="22"/>
          <w:lang w:val="en-GB"/>
        </w:rPr>
        <w:t>:</w:t>
      </w:r>
      <w:r w:rsidRPr="00866DF6">
        <w:rPr>
          <w:rFonts w:ascii="Arial" w:hAnsi="Arial" w:cs="Arial"/>
          <w:b/>
          <w:sz w:val="22"/>
          <w:szCs w:val="22"/>
          <w:lang w:val="en-GB"/>
        </w:rPr>
        <w:t xml:space="preserve"> </w:t>
      </w:r>
      <w:r w:rsidRPr="00866DF6">
        <w:rPr>
          <w:rFonts w:ascii="Arial" w:hAnsi="Arial" w:cs="Arial"/>
          <w:bCs/>
          <w:sz w:val="22"/>
          <w:szCs w:val="22"/>
          <w:lang w:val="en-GB"/>
        </w:rPr>
        <w:t>The request was submitted following consultations held in December 2021 among nine communities from six regions, which will be the beneficiaries of the project. The project outlines the central role of communities in its implementation. It foresees that local community representatives will help identify the members who will participate in the training workshops and community-based inventorying workshops and fieldwork exercises. They will also participate in the planning, monitoring and follow-up of the project.</w:t>
      </w:r>
    </w:p>
    <w:p w14:paraId="5A2CE972" w14:textId="77777777" w:rsidR="00D63F68" w:rsidRPr="00866DF6" w:rsidRDefault="00D63F68" w:rsidP="00D63F68">
      <w:pPr>
        <w:pStyle w:val="ListParagraph"/>
        <w:spacing w:before="120" w:after="120"/>
        <w:ind w:left="630"/>
        <w:contextualSpacing w:val="0"/>
        <w:jc w:val="both"/>
        <w:rPr>
          <w:rFonts w:ascii="Arial" w:hAnsi="Arial" w:cs="Arial"/>
          <w:bCs/>
          <w:sz w:val="22"/>
          <w:szCs w:val="22"/>
          <w:lang w:val="en-GB"/>
        </w:rPr>
      </w:pPr>
      <w:r w:rsidRPr="00866DF6">
        <w:rPr>
          <w:rFonts w:ascii="Arial" w:hAnsi="Arial" w:cs="Arial"/>
          <w:b/>
          <w:sz w:val="22"/>
          <w:szCs w:val="22"/>
          <w:lang w:val="en-GB"/>
        </w:rPr>
        <w:t>Criterion A.2</w:t>
      </w:r>
      <w:r w:rsidRPr="00866DF6">
        <w:rPr>
          <w:rFonts w:ascii="Arial" w:hAnsi="Arial" w:cs="Arial"/>
          <w:bCs/>
          <w:sz w:val="22"/>
          <w:szCs w:val="22"/>
          <w:lang w:val="en-GB"/>
        </w:rPr>
        <w:t>:</w:t>
      </w:r>
      <w:r w:rsidRPr="00866DF6">
        <w:rPr>
          <w:rFonts w:ascii="Arial" w:hAnsi="Arial" w:cs="Arial"/>
          <w:b/>
          <w:sz w:val="22"/>
          <w:szCs w:val="22"/>
          <w:lang w:val="en-GB"/>
        </w:rPr>
        <w:t xml:space="preserve"> </w:t>
      </w:r>
      <w:r w:rsidRPr="00866DF6">
        <w:rPr>
          <w:rFonts w:ascii="Arial" w:hAnsi="Arial" w:cs="Arial"/>
          <w:bCs/>
          <w:sz w:val="22"/>
          <w:szCs w:val="22"/>
          <w:lang w:val="en-GB"/>
        </w:rPr>
        <w:t>The budget is presented in a structured manner, corresponds to the planned activities and is consistent with the timeframe. However, further clarification could have been provided for certain items of expenditure related to the costs of the workshops (Activity 7).</w:t>
      </w:r>
    </w:p>
    <w:p w14:paraId="08049D19" w14:textId="6E97DAAA" w:rsidR="00D63F68" w:rsidRPr="00866DF6" w:rsidRDefault="00D63F68" w:rsidP="00D63F68">
      <w:pPr>
        <w:pStyle w:val="ListParagraph"/>
        <w:spacing w:before="120" w:after="120"/>
        <w:ind w:left="630"/>
        <w:contextualSpacing w:val="0"/>
        <w:jc w:val="both"/>
        <w:rPr>
          <w:rFonts w:ascii="Arial" w:hAnsi="Arial" w:cs="Arial"/>
          <w:b/>
          <w:sz w:val="22"/>
          <w:szCs w:val="22"/>
          <w:lang w:val="en-GB"/>
        </w:rPr>
      </w:pPr>
      <w:r w:rsidRPr="00866DF6">
        <w:rPr>
          <w:rFonts w:ascii="Arial" w:hAnsi="Arial" w:cs="Arial"/>
          <w:b/>
          <w:lang w:val="en-GB"/>
        </w:rPr>
        <w:t>Criterion A.3</w:t>
      </w:r>
      <w:r w:rsidRPr="00866DF6">
        <w:rPr>
          <w:rFonts w:ascii="Arial" w:hAnsi="Arial" w:cs="Arial"/>
          <w:lang w:val="en-GB"/>
        </w:rPr>
        <w:t xml:space="preserve">: </w:t>
      </w:r>
      <w:r w:rsidRPr="00866DF6">
        <w:rPr>
          <w:rFonts w:ascii="Arial" w:hAnsi="Arial" w:cs="Arial"/>
          <w:snapToGrid w:val="0"/>
          <w:sz w:val="22"/>
          <w:szCs w:val="22"/>
          <w:lang w:val="en-GB"/>
        </w:rPr>
        <w:t xml:space="preserve">The request presents six main activities: establishment of project coordination bodies, awareness-raising, safeguarding, capacity building, community-based inventory and documentation. </w:t>
      </w:r>
      <w:r w:rsidRPr="00866DF6">
        <w:rPr>
          <w:rFonts w:ascii="Arial" w:hAnsi="Arial" w:cs="Arial"/>
          <w:sz w:val="22"/>
          <w:szCs w:val="22"/>
          <w:lang w:val="en-GB"/>
        </w:rPr>
        <w:t>The activities are presented in a logical sequence and correspond to the objectives and expected results outlined in the request.</w:t>
      </w:r>
    </w:p>
    <w:p w14:paraId="340B8407" w14:textId="52AC93D5"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Criterion A.4</w:t>
      </w:r>
      <w:r w:rsidRPr="00866DF6">
        <w:rPr>
          <w:rFonts w:ascii="Arial" w:hAnsi="Arial" w:cs="Arial"/>
          <w:sz w:val="22"/>
          <w:szCs w:val="22"/>
          <w:lang w:val="en-GB"/>
        </w:rPr>
        <w:t>: The capacity-building workshops aim to establish a team of national facilitators and of local stakeholders to support the implementation of the Convention at national and local levels. This large network of trained people, equipped with knowledge on the 2003 Convention and skills to safeguard intangible cultural heritage, will be responsible for training communities that will inventory their living heritage in six regions of the country. Furthermore, the production of various communication materials throughout the project would raise awareness among civil society and different stakeholders of the importance of safeguarding intangible cultural heritage and thus increasing its visibility.</w:t>
      </w:r>
    </w:p>
    <w:p w14:paraId="38D4C002"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Criterion A.5</w:t>
      </w:r>
      <w:r w:rsidRPr="00866DF6">
        <w:rPr>
          <w:rFonts w:ascii="Arial" w:hAnsi="Arial" w:cs="Arial"/>
          <w:sz w:val="22"/>
          <w:szCs w:val="22"/>
          <w:lang w:val="en-GB"/>
        </w:rPr>
        <w:t>: The submitting State Party will contribute 43 per cent of the total amount of the project for which International Assistance is requested from the Intangible Cultural Heritage Fund.</w:t>
      </w:r>
    </w:p>
    <w:p w14:paraId="54D6E0CC" w14:textId="41B037C2"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Criterion A.6</w:t>
      </w:r>
      <w:r w:rsidRPr="00866DF6">
        <w:rPr>
          <w:rFonts w:ascii="Arial" w:hAnsi="Arial" w:cs="Arial"/>
          <w:sz w:val="22"/>
          <w:szCs w:val="22"/>
          <w:lang w:val="en-GB"/>
        </w:rPr>
        <w:t>: The objective of the request is to strengthen local and national capacities to safeguard intangible cultural heritage. The project seeks to reinforce the capacities of governmental institutions, academics and community representatives through specific training on the 2003 Convention,</w:t>
      </w:r>
      <w:r w:rsidRPr="00866DF6">
        <w:rPr>
          <w:lang w:val="en-GB"/>
        </w:rPr>
        <w:t xml:space="preserve"> </w:t>
      </w:r>
      <w:r w:rsidRPr="00866DF6">
        <w:rPr>
          <w:rFonts w:ascii="Arial" w:hAnsi="Arial" w:cs="Arial"/>
          <w:sz w:val="22"/>
          <w:szCs w:val="22"/>
          <w:lang w:val="en-GB"/>
        </w:rPr>
        <w:t>safeguarding measures and community-based inventorying. Furthermore, communities are expected to contribute to the collection of information, the validation of the inventory results and the implementation of safeguarding measures. Some one hundred people are expected to benefit from the trainings, including staff from the Ministry of Culture and the Promotion of Diversity. As a result, the skills acquired during the project will allow the inventory work and other safeguarding efforts in the country to continue beyond the end of the project.</w:t>
      </w:r>
    </w:p>
    <w:p w14:paraId="527AC44E" w14:textId="77777777" w:rsidR="00D63F68" w:rsidRPr="00866DF6" w:rsidRDefault="00D63F68" w:rsidP="00D63F68">
      <w:pPr>
        <w:pStyle w:val="ListParagraph"/>
        <w:spacing w:before="120" w:after="120"/>
        <w:ind w:left="630"/>
        <w:contextualSpacing w:val="0"/>
        <w:jc w:val="both"/>
        <w:rPr>
          <w:rFonts w:ascii="Arial" w:hAnsi="Arial" w:cs="Arial"/>
          <w:sz w:val="22"/>
          <w:szCs w:val="22"/>
          <w:shd w:val="clear" w:color="auto" w:fill="FFFFFF"/>
          <w:lang w:val="en-GB"/>
        </w:rPr>
      </w:pPr>
      <w:r w:rsidRPr="00866DF6">
        <w:rPr>
          <w:rFonts w:ascii="Arial" w:hAnsi="Arial" w:cs="Arial"/>
          <w:b/>
          <w:sz w:val="22"/>
          <w:szCs w:val="22"/>
          <w:lang w:val="en-GB"/>
        </w:rPr>
        <w:t>Criterion A.7</w:t>
      </w:r>
      <w:r w:rsidRPr="00866DF6">
        <w:rPr>
          <w:rFonts w:ascii="Arial" w:hAnsi="Arial" w:cs="Arial"/>
          <w:sz w:val="22"/>
          <w:szCs w:val="22"/>
          <w:lang w:val="en-GB"/>
        </w:rPr>
        <w:t>:</w:t>
      </w:r>
      <w:r w:rsidRPr="00866DF6">
        <w:rPr>
          <w:lang w:val="en-GB"/>
        </w:rPr>
        <w:t xml:space="preserve"> </w:t>
      </w:r>
      <w:r w:rsidRPr="00866DF6">
        <w:rPr>
          <w:rFonts w:ascii="Arial" w:hAnsi="Arial" w:cs="Arial"/>
          <w:sz w:val="22"/>
          <w:szCs w:val="22"/>
          <w:lang w:val="en-GB"/>
        </w:rPr>
        <w:t>The State Party has not previously received any financial assistance from UNESCO under the Intangible Cultural Heritage Fund of the 2003 Convention to implement similar or related activities in the field of intangible cultural heritage</w:t>
      </w:r>
      <w:r>
        <w:rPr>
          <w:rFonts w:ascii="Arial" w:hAnsi="Arial" w:cs="Arial"/>
          <w:sz w:val="22"/>
          <w:szCs w:val="22"/>
          <w:lang w:val="en-GB"/>
        </w:rPr>
        <w:t>.</w:t>
      </w:r>
    </w:p>
    <w:p w14:paraId="4AC9C824"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Paragraph 10(a)</w:t>
      </w:r>
      <w:r w:rsidRPr="00866DF6">
        <w:rPr>
          <w:rFonts w:ascii="Arial" w:hAnsi="Arial" w:cs="Arial"/>
          <w:sz w:val="22"/>
          <w:szCs w:val="22"/>
          <w:lang w:val="en-GB"/>
        </w:rPr>
        <w:t>: The proposed activities are local in scope and imply cooperation with local and national implementing partners including the Chadian National Commission for UNESCO, academics, cultural associations in the field of safeguarding of ICH and the media.</w:t>
      </w:r>
    </w:p>
    <w:p w14:paraId="3A0FE4D2"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bCs/>
          <w:sz w:val="22"/>
          <w:szCs w:val="22"/>
          <w:lang w:val="en-GB"/>
        </w:rPr>
        <w:t>Paragraph 10(b)</w:t>
      </w:r>
      <w:r w:rsidRPr="00866DF6">
        <w:rPr>
          <w:rFonts w:ascii="Arial" w:hAnsi="Arial" w:cs="Arial"/>
          <w:sz w:val="22"/>
          <w:szCs w:val="22"/>
          <w:lang w:val="en-GB"/>
        </w:rPr>
        <w:t>:</w:t>
      </w:r>
      <w:r w:rsidRPr="00866DF6">
        <w:rPr>
          <w:rFonts w:ascii="Arial" w:hAnsi="Arial" w:cs="Arial"/>
          <w:b/>
          <w:bCs/>
          <w:sz w:val="22"/>
          <w:szCs w:val="22"/>
          <w:lang w:val="en-GB"/>
        </w:rPr>
        <w:t xml:space="preserve"> </w:t>
      </w:r>
      <w:r w:rsidRPr="00866DF6">
        <w:rPr>
          <w:rFonts w:ascii="Arial" w:hAnsi="Arial" w:cs="Arial"/>
          <w:sz w:val="22"/>
          <w:szCs w:val="22"/>
          <w:lang w:val="en-GB"/>
        </w:rPr>
        <w:t>The pilot inventory and the communication materials developed during the project will contribute to raising awareness among communities about the importance of safeguarding their living heritage. It may have lasting results as it could also encourage similar initiatives for the inventorying of intangible cultural heritage in other regions of Chad.</w:t>
      </w:r>
    </w:p>
    <w:p w14:paraId="0ECA1AAB" w14:textId="7AFE7ED6"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Approves</w:t>
      </w:r>
      <w:r w:rsidRPr="00866DF6">
        <w:rPr>
          <w:rFonts w:ascii="Arial" w:hAnsi="Arial" w:cs="Arial"/>
          <w:sz w:val="22"/>
          <w:szCs w:val="22"/>
          <w:lang w:val="en-GB"/>
        </w:rPr>
        <w:t xml:space="preserve"> the International Assistance request from Chad for the project entitled </w:t>
      </w:r>
      <w:r w:rsidRPr="00866DF6">
        <w:rPr>
          <w:rFonts w:ascii="Arial" w:hAnsi="Arial" w:cs="Arial"/>
          <w:b/>
          <w:sz w:val="22"/>
          <w:szCs w:val="22"/>
          <w:lang w:val="en-GB"/>
        </w:rPr>
        <w:t xml:space="preserve">Pilot inventory of intangible cultural heritage in six provinces of Chad </w:t>
      </w:r>
      <w:r w:rsidRPr="00866DF6">
        <w:rPr>
          <w:rFonts w:ascii="Arial" w:hAnsi="Arial" w:cs="Arial"/>
          <w:sz w:val="22"/>
          <w:szCs w:val="22"/>
          <w:lang w:val="en-GB"/>
        </w:rPr>
        <w:t xml:space="preserve">and </w:t>
      </w:r>
      <w:r w:rsidRPr="00866DF6">
        <w:rPr>
          <w:rFonts w:ascii="Arial" w:hAnsi="Arial" w:cs="Arial"/>
          <w:sz w:val="22"/>
          <w:szCs w:val="22"/>
          <w:u w:val="single"/>
          <w:lang w:val="en-GB"/>
        </w:rPr>
        <w:t>grants</w:t>
      </w:r>
      <w:r w:rsidRPr="00866DF6">
        <w:rPr>
          <w:rFonts w:ascii="Arial" w:hAnsi="Arial" w:cs="Arial"/>
          <w:sz w:val="22"/>
          <w:szCs w:val="22"/>
          <w:lang w:val="en-GB"/>
        </w:rPr>
        <w:t xml:space="preserve"> the amount of US$99,610 to the State Party for this purpose</w:t>
      </w:r>
      <w:r w:rsidR="001740FB">
        <w:rPr>
          <w:rFonts w:ascii="Arial" w:hAnsi="Arial" w:cs="Arial"/>
          <w:sz w:val="22"/>
          <w:szCs w:val="22"/>
          <w:lang w:val="en-GB"/>
        </w:rPr>
        <w:t>;</w:t>
      </w:r>
    </w:p>
    <w:p w14:paraId="7A6DC572" w14:textId="153F5888"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sz w:val="22"/>
          <w:szCs w:val="22"/>
          <w:u w:val="single"/>
          <w:lang w:val="en-GB"/>
        </w:rPr>
      </w:pPr>
      <w:r w:rsidRPr="00866DF6">
        <w:rPr>
          <w:rFonts w:ascii="Arial" w:hAnsi="Arial" w:cs="Arial"/>
          <w:sz w:val="22"/>
          <w:szCs w:val="22"/>
          <w:u w:val="single"/>
          <w:lang w:val="en-GB"/>
        </w:rPr>
        <w:t>Requests</w:t>
      </w:r>
      <w:r w:rsidRPr="00866DF6">
        <w:rPr>
          <w:rFonts w:ascii="Arial" w:hAnsi="Arial" w:cs="Arial"/>
          <w:sz w:val="22"/>
          <w:szCs w:val="22"/>
          <w:lang w:val="en-GB"/>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r w:rsidR="001740FB">
        <w:rPr>
          <w:rFonts w:ascii="Arial" w:hAnsi="Arial" w:cs="Arial"/>
          <w:sz w:val="22"/>
          <w:szCs w:val="22"/>
          <w:lang w:val="en-GB"/>
        </w:rPr>
        <w:t>;</w:t>
      </w:r>
    </w:p>
    <w:p w14:paraId="603C9083" w14:textId="77777777" w:rsidR="00D63F68" w:rsidRPr="00866DF6" w:rsidRDefault="00D63F68" w:rsidP="00D63F68">
      <w:pPr>
        <w:pStyle w:val="ListParagraph"/>
        <w:numPr>
          <w:ilvl w:val="0"/>
          <w:numId w:val="15"/>
        </w:numPr>
        <w:spacing w:before="120" w:after="120"/>
        <w:ind w:left="630" w:hanging="567"/>
        <w:contextualSpacing w:val="0"/>
        <w:jc w:val="both"/>
        <w:rPr>
          <w:rFonts w:ascii="Arial" w:hAnsi="Arial" w:cs="Arial"/>
          <w:lang w:val="en-GB"/>
        </w:rPr>
      </w:pPr>
      <w:r w:rsidRPr="00866DF6">
        <w:rPr>
          <w:rFonts w:ascii="Arial" w:hAnsi="Arial" w:cs="Arial"/>
          <w:sz w:val="22"/>
          <w:szCs w:val="22"/>
          <w:u w:val="single"/>
          <w:lang w:val="en-GB"/>
        </w:rPr>
        <w:t>Invites</w:t>
      </w:r>
      <w:r w:rsidRPr="00866DF6">
        <w:rPr>
          <w:rFonts w:ascii="Arial" w:hAnsi="Arial" w:cs="Arial"/>
          <w:sz w:val="22"/>
          <w:szCs w:val="22"/>
          <w:lang w:val="en-GB"/>
        </w:rPr>
        <w:t xml:space="preserve"> the State Party to use Form ICH-04-Report to report on the use of the assistance granted.</w:t>
      </w:r>
    </w:p>
    <w:p w14:paraId="0E80D33A" w14:textId="271144E0" w:rsidR="00D63F68" w:rsidRPr="00866DF6" w:rsidRDefault="00D63F68" w:rsidP="00D63F68">
      <w:pPr>
        <w:pStyle w:val="COMTitleDecision"/>
        <w:ind w:left="0"/>
      </w:pPr>
      <w:bookmarkStart w:id="6" w:name="Dec2"/>
      <w:bookmarkEnd w:id="1"/>
      <w:r w:rsidRPr="00866DF6">
        <w:t xml:space="preserve">DECISION </w:t>
      </w:r>
      <w:r w:rsidRPr="00B21F38">
        <w:t>17.COM 4.BUR 3.2</w:t>
      </w:r>
      <w:bookmarkEnd w:id="6"/>
    </w:p>
    <w:p w14:paraId="7F33FF2E" w14:textId="77777777" w:rsidR="00D63F68" w:rsidRPr="00866DF6" w:rsidRDefault="00D63F68" w:rsidP="00D63F68">
      <w:pPr>
        <w:pStyle w:val="COMPreambulaDecisions"/>
        <w:ind w:left="0"/>
      </w:pPr>
      <w:r w:rsidRPr="00866DF6">
        <w:t>The Bureau,</w:t>
      </w:r>
    </w:p>
    <w:p w14:paraId="08D180E0" w14:textId="77777777"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Recalling</w:t>
      </w:r>
      <w:r w:rsidRPr="00866DF6">
        <w:rPr>
          <w:rFonts w:ascii="Arial" w:hAnsi="Arial" w:cs="Arial"/>
          <w:sz w:val="22"/>
          <w:szCs w:val="22"/>
          <w:lang w:val="en-GB"/>
        </w:rPr>
        <w:t xml:space="preserve"> </w:t>
      </w:r>
      <w:bookmarkStart w:id="7" w:name="_Hlk105752802"/>
      <w:r w:rsidRPr="00866DF6">
        <w:rPr>
          <w:rFonts w:ascii="Arial" w:hAnsi="Arial" w:cs="Arial"/>
          <w:sz w:val="22"/>
          <w:szCs w:val="22"/>
          <w:lang w:val="en-GB"/>
        </w:rPr>
        <w:t>Article 23 of the Convention as well as Chapter I.4 of the Operational Directives relating to the eligibility and criteria of International Assistance requests,</w:t>
      </w:r>
    </w:p>
    <w:bookmarkEnd w:id="7"/>
    <w:p w14:paraId="6849B9E9" w14:textId="0F4C5372"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Having examined</w:t>
      </w:r>
      <w:r w:rsidRPr="00866DF6">
        <w:rPr>
          <w:rFonts w:ascii="Arial" w:hAnsi="Arial" w:cs="Arial"/>
          <w:sz w:val="22"/>
          <w:szCs w:val="22"/>
          <w:lang w:val="en-GB"/>
        </w:rPr>
        <w:t xml:space="preserve"> document </w:t>
      </w:r>
      <w:hyperlink r:id="rId10" w:history="1">
        <w:r w:rsidRPr="00972339">
          <w:rPr>
            <w:rStyle w:val="Hyperlink"/>
            <w:rFonts w:ascii="Arial" w:hAnsi="Arial" w:cs="Arial"/>
            <w:sz w:val="22"/>
            <w:szCs w:val="22"/>
            <w:lang w:eastAsia="fr-FR"/>
          </w:rPr>
          <w:t>LHE/22/17.COM 4.BUR/3</w:t>
        </w:r>
      </w:hyperlink>
      <w:r w:rsidRPr="00866DF6">
        <w:rPr>
          <w:rFonts w:ascii="Arial" w:hAnsi="Arial" w:cs="Arial"/>
          <w:sz w:val="22"/>
          <w:szCs w:val="22"/>
          <w:lang w:val="en-GB"/>
        </w:rPr>
        <w:t xml:space="preserve"> as well as International Assistance request no. 02003 submitted by the Dominican Republic,</w:t>
      </w:r>
    </w:p>
    <w:p w14:paraId="6F6E03BF" w14:textId="77777777"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Takes note</w:t>
      </w:r>
      <w:r w:rsidRPr="00866DF6">
        <w:rPr>
          <w:rFonts w:ascii="Arial" w:hAnsi="Arial" w:cs="Arial"/>
          <w:sz w:val="22"/>
          <w:szCs w:val="22"/>
          <w:lang w:val="en-GB"/>
        </w:rPr>
        <w:t xml:space="preserve"> that the Dominican Republic has requested International Assistance for the project entitled </w:t>
      </w:r>
      <w:r w:rsidRPr="00866DF6">
        <w:rPr>
          <w:rFonts w:ascii="Arial" w:hAnsi="Arial" w:cs="Arial"/>
          <w:b/>
          <w:sz w:val="22"/>
          <w:szCs w:val="22"/>
          <w:lang w:val="en-GB"/>
        </w:rPr>
        <w:t>Strengthening the capacities of La Cofradía del Espíritu Santo de Los Congos de Villa Mella and El Teatro Cocolo Danzante de Los Guloyas de San Pedro to safeguard their heritage</w:t>
      </w:r>
      <w:r w:rsidRPr="00866DF6">
        <w:rPr>
          <w:rFonts w:ascii="Arial" w:hAnsi="Arial" w:cs="Arial"/>
          <w:bCs/>
          <w:sz w:val="22"/>
          <w:szCs w:val="22"/>
          <w:lang w:val="en-GB"/>
        </w:rPr>
        <w:t>:</w:t>
      </w:r>
    </w:p>
    <w:p w14:paraId="6A92AA00"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sz w:val="22"/>
          <w:szCs w:val="22"/>
          <w:lang w:val="en-GB"/>
        </w:rPr>
        <w:t xml:space="preserve">This two-year project to be implemented by Dominican National Commission for UNESCO, aims to strengthen the practice and transmission of these traditions through two pillars: training to build capacities of future generations of bearers and awareness-raising on the importance of these two elements for Dominican society. </w:t>
      </w:r>
      <w:r w:rsidRPr="00605415">
        <w:rPr>
          <w:rFonts w:ascii="Arial" w:hAnsi="Arial" w:cs="Arial"/>
          <w:sz w:val="22"/>
          <w:szCs w:val="22"/>
          <w:lang w:val="es-ES"/>
        </w:rPr>
        <w:t xml:space="preserve">La Cofradía del Espíritu Santo de Los Congos in Villa Mella and El Teatro Cocolo Danzante Los Guloyas in San Pedro de Macorís are two of the Dominican Republic’s most representative Afro-descendant cultural manifestations. </w:t>
      </w:r>
      <w:r w:rsidRPr="00866DF6">
        <w:rPr>
          <w:rFonts w:ascii="Arial" w:hAnsi="Arial" w:cs="Arial"/>
          <w:sz w:val="22"/>
          <w:szCs w:val="22"/>
          <w:lang w:val="en-GB"/>
        </w:rPr>
        <w:t>Today, the communities concerned are in a situation of economic and social exclusion that is directly affecting the continuity of their traditions, with bearers lacking the financial resources to acquire the instruments, costumes and decorations necessary for the performances and their transmission. This situation has been aggravated by COVID-19 and a lack of awareness among society and the authorities. To safeguard these two living heritage expressions, the project includes workshops on safeguarding of ICH, clothing, decoration, song and dance, and the creation of musical instruments. It also includes the development of a book and documentary, the purchase of clothing and musical instruments, and partnership with the media, educational and cultural institutions, tourist centres and embassies.</w:t>
      </w:r>
    </w:p>
    <w:p w14:paraId="1790A655" w14:textId="77777777"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Further takes note</w:t>
      </w:r>
      <w:r w:rsidRPr="00866DF6">
        <w:rPr>
          <w:rFonts w:ascii="Arial" w:hAnsi="Arial" w:cs="Arial"/>
          <w:sz w:val="22"/>
          <w:szCs w:val="22"/>
          <w:lang w:val="en-GB"/>
        </w:rPr>
        <w:t xml:space="preserve"> that this assistance</w:t>
      </w:r>
      <w:r w:rsidRPr="00866DF6">
        <w:rPr>
          <w:sz w:val="22"/>
          <w:szCs w:val="22"/>
          <w:lang w:val="en-GB"/>
        </w:rPr>
        <w:t xml:space="preserve"> </w:t>
      </w:r>
      <w:r w:rsidRPr="00866DF6">
        <w:rPr>
          <w:rFonts w:ascii="Arial" w:hAnsi="Arial" w:cs="Arial"/>
          <w:sz w:val="22"/>
          <w:szCs w:val="22"/>
          <w:lang w:val="en-GB"/>
        </w:rPr>
        <w:t>aims to support a project implemented at the national level, in accordance with</w:t>
      </w:r>
      <w:r w:rsidRPr="00866DF6">
        <w:rPr>
          <w:rFonts w:ascii="Arial" w:eastAsia="Malgun Gothic" w:hAnsi="Arial" w:cs="Arial"/>
          <w:sz w:val="22"/>
          <w:szCs w:val="22"/>
          <w:lang w:val="en-GB" w:eastAsia="ko-KR"/>
        </w:rPr>
        <w:t xml:space="preserve"> </w:t>
      </w:r>
      <w:r w:rsidRPr="00866DF6">
        <w:rPr>
          <w:rFonts w:ascii="Arial" w:hAnsi="Arial" w:cs="Arial"/>
          <w:sz w:val="22"/>
          <w:szCs w:val="22"/>
          <w:lang w:val="en-GB"/>
        </w:rPr>
        <w:t>Article 20 (c)</w:t>
      </w:r>
      <w:r w:rsidRPr="00866DF6">
        <w:rPr>
          <w:sz w:val="22"/>
          <w:szCs w:val="22"/>
          <w:lang w:val="en-GB"/>
        </w:rPr>
        <w:t xml:space="preserve"> </w:t>
      </w:r>
      <w:r w:rsidRPr="00866DF6">
        <w:rPr>
          <w:rFonts w:ascii="Arial" w:hAnsi="Arial" w:cs="Arial"/>
          <w:sz w:val="22"/>
          <w:szCs w:val="22"/>
          <w:lang w:val="en-GB"/>
        </w:rPr>
        <w:t xml:space="preserve">of the Convention, and that it takes the form of the </w:t>
      </w:r>
      <w:r w:rsidRPr="00866DF6">
        <w:rPr>
          <w:rFonts w:ascii="Arial" w:hAnsi="Arial" w:cs="Arial"/>
          <w:b/>
          <w:sz w:val="22"/>
          <w:szCs w:val="22"/>
          <w:lang w:val="en-GB"/>
        </w:rPr>
        <w:t>provision of a grant</w:t>
      </w:r>
      <w:r w:rsidRPr="00866DF6">
        <w:rPr>
          <w:rFonts w:ascii="Arial" w:hAnsi="Arial" w:cs="Arial"/>
          <w:sz w:val="22"/>
          <w:szCs w:val="22"/>
          <w:lang w:val="en-GB"/>
        </w:rPr>
        <w:t>, pursuant to Article 21 (g) of the Convention;</w:t>
      </w:r>
    </w:p>
    <w:p w14:paraId="2349C6AC" w14:textId="77777777"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Also takes note</w:t>
      </w:r>
      <w:r w:rsidRPr="00866DF6">
        <w:rPr>
          <w:rFonts w:ascii="Arial" w:hAnsi="Arial" w:cs="Arial"/>
          <w:sz w:val="22"/>
          <w:szCs w:val="22"/>
          <w:lang w:val="en-GB"/>
        </w:rPr>
        <w:t xml:space="preserve"> that the Dominican Republic has requested assistance in the amount of US$98,752 from the Intangible Cultural Heritage Fund for the implementation of this project;</w:t>
      </w:r>
    </w:p>
    <w:p w14:paraId="60578C60" w14:textId="77777777"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Decides</w:t>
      </w:r>
      <w:r w:rsidRPr="00866DF6">
        <w:rPr>
          <w:rFonts w:ascii="Arial" w:hAnsi="Arial" w:cs="Arial"/>
          <w:sz w:val="22"/>
          <w:szCs w:val="22"/>
          <w:lang w:val="en-GB"/>
        </w:rPr>
        <w:t xml:space="preserve"> that, from the information provided in file no. 02003, the request responds as follows to the criteria for granting International Assistance given in paragraphs 10 and 12 of the Operational Directives:</w:t>
      </w:r>
    </w:p>
    <w:p w14:paraId="19B11B30" w14:textId="77777777" w:rsidR="00D63F68" w:rsidRPr="00866DF6" w:rsidRDefault="00D63F68" w:rsidP="00D63F68">
      <w:pPr>
        <w:pStyle w:val="Marge"/>
        <w:spacing w:before="120" w:after="120"/>
        <w:ind w:left="630"/>
        <w:rPr>
          <w:szCs w:val="22"/>
          <w:lang w:val="en-GB"/>
        </w:rPr>
      </w:pPr>
      <w:r w:rsidRPr="00866DF6">
        <w:rPr>
          <w:b/>
          <w:szCs w:val="22"/>
          <w:lang w:val="en-GB"/>
        </w:rPr>
        <w:t>Criterion A.1</w:t>
      </w:r>
      <w:r w:rsidRPr="00866DF6">
        <w:rPr>
          <w:szCs w:val="22"/>
          <w:lang w:val="en-GB"/>
        </w:rPr>
        <w:t xml:space="preserve">: The project concerns the communities associated with Los Congos in Villa Mella and </w:t>
      </w:r>
      <w:r w:rsidRPr="00866DF6">
        <w:rPr>
          <w:rFonts w:cs="Arial"/>
          <w:szCs w:val="22"/>
          <w:lang w:val="en-GB"/>
        </w:rPr>
        <w:t xml:space="preserve">Los Guloyas in San Pedro de Macorís, which are the </w:t>
      </w:r>
      <w:r w:rsidRPr="00866DF6">
        <w:rPr>
          <w:szCs w:val="22"/>
          <w:lang w:val="en-GB"/>
        </w:rPr>
        <w:t>main beneficiaries of the project. This project is the result of a meeting organized with the members of these two communities in 2020, when an assessment of the viability of their living heritage took place, to subsequently decide the aim of this project. The implementation process will be led by bearers and communities, who will deliver and lead the workshops that are included in the proposal. The participants will be the members of the communities of these elements that show an interest in keeping the tradition and legacy alive. The project emphasizes the central and active role of the communities throughout its implementation, from planning to evaluation, monitoring and follow-up.</w:t>
      </w:r>
    </w:p>
    <w:p w14:paraId="3A6CD1E3"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Criterion A.2</w:t>
      </w:r>
      <w:r w:rsidRPr="00866DF6">
        <w:rPr>
          <w:rFonts w:ascii="Arial" w:hAnsi="Arial" w:cs="Arial"/>
          <w:sz w:val="22"/>
          <w:szCs w:val="22"/>
          <w:lang w:val="en-GB"/>
        </w:rPr>
        <w:t>: The budget is presented in a structured manner, corresponds to the planned activities and is consistent with the timeframe. The overall amount of assistance requested seems appropriate with regard to the objectives and scope of the project. However, several items included in the budget (especially in Activities 2, 3, 9, 10, 11 and 12) are not described in terms of units and unit costs but only with lump sums;</w:t>
      </w:r>
    </w:p>
    <w:p w14:paraId="7BBCB5F2" w14:textId="77777777" w:rsidR="00D63F68" w:rsidRPr="00866DF6" w:rsidRDefault="00D63F68" w:rsidP="00D63F68">
      <w:pPr>
        <w:spacing w:before="120" w:after="120"/>
        <w:ind w:left="630"/>
        <w:jc w:val="both"/>
        <w:rPr>
          <w:rFonts w:ascii="Arial" w:hAnsi="Arial" w:cs="Arial"/>
          <w:sz w:val="22"/>
          <w:szCs w:val="22"/>
          <w:lang w:val="en-GB"/>
        </w:rPr>
      </w:pPr>
      <w:r w:rsidRPr="00866DF6">
        <w:rPr>
          <w:rFonts w:ascii="Arial" w:hAnsi="Arial" w:cs="Arial"/>
          <w:b/>
          <w:sz w:val="22"/>
          <w:szCs w:val="22"/>
          <w:lang w:val="en-GB"/>
        </w:rPr>
        <w:t>Criterion A.3</w:t>
      </w:r>
      <w:r w:rsidRPr="00866DF6">
        <w:rPr>
          <w:rFonts w:ascii="Arial" w:hAnsi="Arial" w:cs="Arial"/>
          <w:sz w:val="22"/>
          <w:szCs w:val="22"/>
          <w:lang w:val="en-GB"/>
        </w:rPr>
        <w:t>: The proposed activities are coherent and well-planned in terms of the objectives and expected results of the project. The activities plan is structured around two main components: 1) strengthening the capacities of bearers and the new generations focused on the training and workshops dedicated to enhancing the knowledge about the intangible cultural heritage expressions of the Cofradía del Espíritu Santo de Los Congos and El Teatro Cocolo Danzante Los Guloyas, such as through instruments, dances, songs, clothing and decoration and musical instrument making; 2) an awareness-raising campaign including presenting the safeguarding process of this project in schools of the country. Moreover, the sequence of the proposed activities is logical, and the proposed timeframe is coherent for achieving the expected results of the project.</w:t>
      </w:r>
    </w:p>
    <w:p w14:paraId="119D05DE"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Criterion A.4</w:t>
      </w:r>
      <w:r w:rsidRPr="00866DF6">
        <w:rPr>
          <w:rFonts w:ascii="Arial" w:hAnsi="Arial" w:cs="Arial"/>
          <w:sz w:val="22"/>
          <w:szCs w:val="22"/>
          <w:lang w:val="en-GB"/>
        </w:rPr>
        <w:t>: The project is expected to strengthen the capacities of practitioners, who could then share and disseminate their knowledge and skills to members of the community and to new generations willing to practice and transmit their living heritage. The production of a publication and of audiovisual materials would promote the results of the project and thus raise awareness among civil society, youth and different stakeholders. Moreover, the Ministry of Culture will be responsible for the post-implementation follow-up of the project through its internal bodies in charge of intangible cultural heritage.</w:t>
      </w:r>
    </w:p>
    <w:p w14:paraId="4FF6E05A"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Criterion A.5</w:t>
      </w:r>
      <w:r w:rsidRPr="00866DF6">
        <w:rPr>
          <w:rFonts w:ascii="Arial" w:hAnsi="Arial" w:cs="Arial"/>
          <w:sz w:val="22"/>
          <w:szCs w:val="22"/>
          <w:lang w:val="en-GB"/>
        </w:rPr>
        <w:t>: The submitting State Party will contribute 27 per cent of the total amount of the project for which International Assistance is requested from the Intangible Cultural Heritage Fund.</w:t>
      </w:r>
    </w:p>
    <w:p w14:paraId="4D09BA35"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Criterion A.6</w:t>
      </w:r>
      <w:r w:rsidRPr="00866DF6">
        <w:rPr>
          <w:rFonts w:ascii="Arial" w:hAnsi="Arial" w:cs="Arial"/>
          <w:sz w:val="22"/>
          <w:szCs w:val="22"/>
          <w:lang w:val="en-GB"/>
        </w:rPr>
        <w:t>: The project emphasizes building the capacity of the communities to strengthen the practice of the two intangible cultural heritage elements mentioned in the project summary. In addition, within the training activities, it is expected that the participants will receive training on the core principles of the 2003 Convention, for which a module containing the support materials available in the repositories of UNESCO will be integrated.</w:t>
      </w:r>
    </w:p>
    <w:p w14:paraId="0939511C" w14:textId="2057DE1A" w:rsidR="00D63F68" w:rsidRPr="00866DF6" w:rsidRDefault="00D63F68" w:rsidP="00D63F68">
      <w:pPr>
        <w:pStyle w:val="ListParagraph"/>
        <w:spacing w:before="120" w:after="120"/>
        <w:ind w:left="630"/>
        <w:contextualSpacing w:val="0"/>
        <w:jc w:val="both"/>
        <w:rPr>
          <w:rFonts w:ascii="Arial" w:hAnsi="Arial" w:cs="Arial"/>
          <w:sz w:val="22"/>
          <w:szCs w:val="22"/>
          <w:shd w:val="clear" w:color="auto" w:fill="FFFFFF"/>
          <w:lang w:val="en-GB"/>
        </w:rPr>
      </w:pPr>
      <w:r w:rsidRPr="00866DF6">
        <w:rPr>
          <w:rFonts w:ascii="Arial" w:hAnsi="Arial" w:cs="Arial"/>
          <w:b/>
          <w:sz w:val="22"/>
          <w:szCs w:val="22"/>
          <w:lang w:val="en-GB"/>
        </w:rPr>
        <w:t>Criterion A.7</w:t>
      </w:r>
      <w:r w:rsidRPr="00866DF6">
        <w:rPr>
          <w:rFonts w:ascii="Arial" w:hAnsi="Arial" w:cs="Arial"/>
          <w:sz w:val="22"/>
          <w:szCs w:val="22"/>
          <w:lang w:val="en-GB"/>
        </w:rPr>
        <w:t>: The State Party has not previously received any financial assistance from UNESCO under the Intangible Cultural Heritage Fund of the 2003 Convention to implement similar or related activities in the field of intangible cultural heritage.</w:t>
      </w:r>
    </w:p>
    <w:p w14:paraId="76E94814" w14:textId="77777777" w:rsidR="00D63F68" w:rsidRPr="00866DF6" w:rsidRDefault="00D63F68" w:rsidP="00D63F68">
      <w:pPr>
        <w:pStyle w:val="ListParagraph"/>
        <w:spacing w:before="120" w:after="120"/>
        <w:ind w:left="630"/>
        <w:contextualSpacing w:val="0"/>
        <w:jc w:val="both"/>
        <w:rPr>
          <w:rFonts w:ascii="Arial" w:hAnsi="Arial" w:cs="Arial"/>
          <w:sz w:val="22"/>
          <w:szCs w:val="22"/>
          <w:lang w:val="en-GB"/>
        </w:rPr>
      </w:pPr>
      <w:r w:rsidRPr="00866DF6">
        <w:rPr>
          <w:rFonts w:ascii="Arial" w:hAnsi="Arial" w:cs="Arial"/>
          <w:b/>
          <w:sz w:val="22"/>
          <w:szCs w:val="22"/>
          <w:lang w:val="en-GB"/>
        </w:rPr>
        <w:t>Paragraph 10(a)</w:t>
      </w:r>
      <w:r w:rsidRPr="00866DF6">
        <w:rPr>
          <w:rFonts w:ascii="Arial" w:hAnsi="Arial" w:cs="Arial"/>
          <w:sz w:val="22"/>
          <w:szCs w:val="22"/>
          <w:lang w:val="en-GB"/>
        </w:rPr>
        <w:t>: The project is local in scope and aims to enhance cooperation among local cultural organizations and museums, among others. Additionally, the book and documentary will be distributed in national and international organizations.</w:t>
      </w:r>
    </w:p>
    <w:p w14:paraId="6E7F2E35" w14:textId="77777777" w:rsidR="00D63F68" w:rsidRPr="00866DF6" w:rsidRDefault="00D63F68" w:rsidP="00D63F68">
      <w:pPr>
        <w:pStyle w:val="ListParagraph"/>
        <w:spacing w:before="120"/>
        <w:ind w:left="630"/>
        <w:jc w:val="both"/>
        <w:rPr>
          <w:rFonts w:ascii="Arial" w:hAnsi="Arial" w:cs="Arial"/>
          <w:sz w:val="22"/>
          <w:szCs w:val="22"/>
          <w:lang w:val="en-GB"/>
        </w:rPr>
      </w:pPr>
      <w:r w:rsidRPr="00866DF6">
        <w:rPr>
          <w:rFonts w:ascii="Arial" w:hAnsi="Arial" w:cs="Arial"/>
          <w:b/>
          <w:bCs/>
          <w:sz w:val="22"/>
          <w:szCs w:val="22"/>
          <w:lang w:val="en-GB"/>
        </w:rPr>
        <w:t xml:space="preserve">Paragraph 10(b): </w:t>
      </w:r>
      <w:r w:rsidRPr="00866DF6">
        <w:rPr>
          <w:rFonts w:ascii="Arial" w:hAnsi="Arial" w:cs="Arial"/>
          <w:sz w:val="22"/>
          <w:szCs w:val="22"/>
          <w:lang w:val="en-GB"/>
        </w:rPr>
        <w:t>The project is expected to contribute to other processes for safeguarding Afro-descendant living heritage.</w:t>
      </w:r>
    </w:p>
    <w:p w14:paraId="201CACB4" w14:textId="6341C0CF"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Approves</w:t>
      </w:r>
      <w:r w:rsidRPr="00866DF6">
        <w:rPr>
          <w:rFonts w:ascii="Arial" w:hAnsi="Arial" w:cs="Arial"/>
          <w:sz w:val="22"/>
          <w:szCs w:val="22"/>
          <w:lang w:val="en-GB"/>
        </w:rPr>
        <w:t xml:space="preserve"> the International Assistance request from the Dominican Republic for the project entitled </w:t>
      </w:r>
      <w:r w:rsidRPr="00866DF6">
        <w:rPr>
          <w:rFonts w:ascii="Arial" w:hAnsi="Arial" w:cs="Arial"/>
          <w:b/>
          <w:sz w:val="22"/>
          <w:szCs w:val="22"/>
          <w:lang w:val="en-GB"/>
        </w:rPr>
        <w:t xml:space="preserve">Strengthening the capacities of La Cofradía del Espíritu Santo de Los Congos de Villa Mella and El Teatro Cocolo Danzante de Los Guloyas de San Pedro to safeguard their heritage </w:t>
      </w:r>
      <w:r w:rsidRPr="00866DF6">
        <w:rPr>
          <w:rFonts w:ascii="Arial" w:hAnsi="Arial" w:cs="Arial"/>
          <w:sz w:val="22"/>
          <w:szCs w:val="22"/>
          <w:lang w:val="en-GB"/>
        </w:rPr>
        <w:t xml:space="preserve">and </w:t>
      </w:r>
      <w:r w:rsidRPr="00866DF6">
        <w:rPr>
          <w:rFonts w:ascii="Arial" w:hAnsi="Arial" w:cs="Arial"/>
          <w:sz w:val="22"/>
          <w:szCs w:val="22"/>
          <w:u w:val="single"/>
          <w:lang w:val="en-GB"/>
        </w:rPr>
        <w:t>grants</w:t>
      </w:r>
      <w:r w:rsidRPr="00866DF6">
        <w:rPr>
          <w:rFonts w:ascii="Arial" w:hAnsi="Arial" w:cs="Arial"/>
          <w:sz w:val="22"/>
          <w:szCs w:val="22"/>
          <w:lang w:val="en-GB"/>
        </w:rPr>
        <w:t xml:space="preserve"> the amount of US$98,752 to the State Party for this purpose</w:t>
      </w:r>
      <w:r w:rsidR="001740FB">
        <w:rPr>
          <w:rFonts w:ascii="Arial" w:hAnsi="Arial" w:cs="Arial"/>
          <w:sz w:val="22"/>
          <w:szCs w:val="22"/>
          <w:lang w:val="en-GB"/>
        </w:rPr>
        <w:t>;</w:t>
      </w:r>
    </w:p>
    <w:p w14:paraId="071A3C34" w14:textId="38581EB5"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u w:val="single"/>
          <w:lang w:val="en-GB"/>
        </w:rPr>
      </w:pPr>
      <w:r w:rsidRPr="00866DF6">
        <w:rPr>
          <w:rFonts w:ascii="Arial" w:hAnsi="Arial" w:cs="Arial"/>
          <w:sz w:val="22"/>
          <w:szCs w:val="22"/>
          <w:u w:val="single"/>
          <w:lang w:val="en-GB"/>
        </w:rPr>
        <w:t>Requests</w:t>
      </w:r>
      <w:r w:rsidRPr="00866DF6">
        <w:rPr>
          <w:rFonts w:ascii="Arial" w:hAnsi="Arial" w:cs="Arial"/>
          <w:sz w:val="22"/>
          <w:szCs w:val="22"/>
          <w:lang w:val="en-GB"/>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provided in a detailed manner to justify the expenditures</w:t>
      </w:r>
      <w:r w:rsidR="001740FB">
        <w:rPr>
          <w:rFonts w:ascii="Arial" w:hAnsi="Arial" w:cs="Arial"/>
          <w:sz w:val="22"/>
          <w:szCs w:val="22"/>
          <w:lang w:val="en-GB"/>
        </w:rPr>
        <w:t>;</w:t>
      </w:r>
    </w:p>
    <w:p w14:paraId="14843CF5" w14:textId="77777777" w:rsidR="00D63F68" w:rsidRPr="00866DF6" w:rsidRDefault="00D63F68" w:rsidP="00D63F68">
      <w:pPr>
        <w:pStyle w:val="ListParagraph"/>
        <w:numPr>
          <w:ilvl w:val="0"/>
          <w:numId w:val="20"/>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Invites</w:t>
      </w:r>
      <w:r w:rsidRPr="00866DF6">
        <w:rPr>
          <w:rFonts w:ascii="Arial" w:hAnsi="Arial" w:cs="Arial"/>
          <w:sz w:val="22"/>
          <w:szCs w:val="22"/>
          <w:lang w:val="en-GB"/>
        </w:rPr>
        <w:t xml:space="preserve"> the State Party to use Form ICH-04-Report to report on the use of the assistance granted.</w:t>
      </w:r>
    </w:p>
    <w:p w14:paraId="302340F9" w14:textId="5C8C13D3" w:rsidR="00D63F68" w:rsidRPr="00866DF6" w:rsidRDefault="00D63F68" w:rsidP="00D63F68">
      <w:pPr>
        <w:pStyle w:val="COMTitleDecision"/>
        <w:ind w:left="0"/>
        <w:rPr>
          <w:b w:val="0"/>
        </w:rPr>
      </w:pPr>
      <w:bookmarkStart w:id="8" w:name="Decision3"/>
      <w:bookmarkStart w:id="9" w:name="Dec3"/>
      <w:r w:rsidRPr="00866DF6">
        <w:t xml:space="preserve">DECISION </w:t>
      </w:r>
      <w:r w:rsidRPr="00B21F38">
        <w:t>17.COM 4.BUR 3.3</w:t>
      </w:r>
      <w:bookmarkEnd w:id="8"/>
      <w:bookmarkEnd w:id="9"/>
    </w:p>
    <w:p w14:paraId="53804C40" w14:textId="77777777" w:rsidR="00D63F68" w:rsidRPr="00866DF6" w:rsidRDefault="00D63F68" w:rsidP="00D63F68">
      <w:pPr>
        <w:pStyle w:val="COMPreambulaDecisions"/>
        <w:ind w:left="0"/>
      </w:pPr>
      <w:r w:rsidRPr="00866DF6">
        <w:t>The Bureau,</w:t>
      </w:r>
    </w:p>
    <w:p w14:paraId="7BFA0B23" w14:textId="77777777" w:rsidR="00D63F68" w:rsidRPr="00866DF6" w:rsidRDefault="00D63F68" w:rsidP="00D63F68">
      <w:pPr>
        <w:pStyle w:val="ListParagraph"/>
        <w:numPr>
          <w:ilvl w:val="0"/>
          <w:numId w:val="17"/>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Recalling</w:t>
      </w:r>
      <w:r w:rsidRPr="00866DF6">
        <w:rPr>
          <w:rFonts w:ascii="Arial" w:hAnsi="Arial" w:cs="Arial"/>
          <w:sz w:val="22"/>
          <w:szCs w:val="22"/>
          <w:lang w:val="en-GB"/>
        </w:rPr>
        <w:t xml:space="preserve"> </w:t>
      </w:r>
      <w:bookmarkStart w:id="10" w:name="_Hlk105752797"/>
      <w:r w:rsidRPr="00866DF6">
        <w:rPr>
          <w:rFonts w:ascii="Arial" w:hAnsi="Arial" w:cs="Arial"/>
          <w:sz w:val="22"/>
          <w:szCs w:val="22"/>
          <w:lang w:val="en-GB"/>
        </w:rPr>
        <w:t>Article 23 of the Convention as well as Chapter I.4 of the Operational Directives relating to the eligibility and criteria of International Assistance requests</w:t>
      </w:r>
      <w:bookmarkEnd w:id="10"/>
      <w:r w:rsidRPr="00866DF6">
        <w:rPr>
          <w:rFonts w:ascii="Arial" w:hAnsi="Arial" w:cs="Arial"/>
          <w:sz w:val="22"/>
          <w:szCs w:val="22"/>
          <w:lang w:val="en-GB"/>
        </w:rPr>
        <w:t>,</w:t>
      </w:r>
    </w:p>
    <w:p w14:paraId="428A4064" w14:textId="34BEF2E5" w:rsidR="00D63F68" w:rsidRPr="00866DF6" w:rsidRDefault="00D63F68" w:rsidP="00D63F68">
      <w:pPr>
        <w:pStyle w:val="ListParagraph"/>
        <w:numPr>
          <w:ilvl w:val="0"/>
          <w:numId w:val="17"/>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Having examined</w:t>
      </w:r>
      <w:r w:rsidRPr="00866DF6">
        <w:rPr>
          <w:rFonts w:ascii="Arial" w:hAnsi="Arial" w:cs="Arial"/>
          <w:sz w:val="22"/>
          <w:szCs w:val="22"/>
          <w:lang w:val="en-GB"/>
        </w:rPr>
        <w:t xml:space="preserve"> </w:t>
      </w:r>
      <w:r w:rsidR="00972339">
        <w:rPr>
          <w:rFonts w:ascii="Arial" w:hAnsi="Arial" w:cs="Arial"/>
          <w:sz w:val="22"/>
          <w:szCs w:val="22"/>
          <w:lang w:val="en-GB"/>
        </w:rPr>
        <w:t>d</w:t>
      </w:r>
      <w:r w:rsidRPr="00866DF6">
        <w:rPr>
          <w:rFonts w:ascii="Arial" w:hAnsi="Arial" w:cs="Arial"/>
          <w:sz w:val="22"/>
          <w:szCs w:val="22"/>
          <w:lang w:val="en-GB"/>
        </w:rPr>
        <w:t xml:space="preserve">ocument </w:t>
      </w:r>
      <w:hyperlink r:id="rId11" w:history="1">
        <w:r w:rsidRPr="00972339">
          <w:rPr>
            <w:rStyle w:val="Hyperlink"/>
            <w:rFonts w:ascii="Arial" w:hAnsi="Arial" w:cs="Arial"/>
            <w:sz w:val="22"/>
            <w:szCs w:val="22"/>
            <w:lang w:eastAsia="fr-FR"/>
          </w:rPr>
          <w:t>LHE/22/17.COM 4.BUR/3</w:t>
        </w:r>
      </w:hyperlink>
      <w:r w:rsidRPr="00866DF6">
        <w:rPr>
          <w:rFonts w:ascii="Arial" w:hAnsi="Arial" w:cs="Arial"/>
          <w:sz w:val="22"/>
          <w:szCs w:val="22"/>
          <w:lang w:val="en-GB"/>
        </w:rPr>
        <w:t xml:space="preserve"> as well as International Assistance request no. 01930 submitted by Saint Kitts and Nevis,</w:t>
      </w:r>
    </w:p>
    <w:p w14:paraId="4CD50DC6" w14:textId="77777777" w:rsidR="00D63F68" w:rsidRPr="00866DF6" w:rsidRDefault="00D63F68" w:rsidP="00D63F68">
      <w:pPr>
        <w:pStyle w:val="COMParaDecision"/>
        <w:numPr>
          <w:ilvl w:val="0"/>
          <w:numId w:val="17"/>
        </w:numPr>
        <w:spacing w:before="120"/>
        <w:ind w:left="630" w:hanging="567"/>
      </w:pPr>
      <w:r w:rsidRPr="00866DF6">
        <w:t>Takes note</w:t>
      </w:r>
      <w:r w:rsidRPr="00866DF6">
        <w:rPr>
          <w:u w:val="none"/>
        </w:rPr>
        <w:t xml:space="preserve"> that Saint Kitts and Nevis has requested International Assistance for the project entitled </w:t>
      </w:r>
      <w:r w:rsidRPr="00866DF6">
        <w:rPr>
          <w:b/>
          <w:u w:val="none"/>
        </w:rPr>
        <w:t>Safeguarding Saint Kitts and Nevis Intangible Cultural Heritage: developing a National Intangible Cultural Heritage Policy</w:t>
      </w:r>
      <w:r w:rsidRPr="00866DF6">
        <w:rPr>
          <w:u w:val="none"/>
        </w:rPr>
        <w:t>:</w:t>
      </w:r>
    </w:p>
    <w:p w14:paraId="247E4FC8" w14:textId="77777777" w:rsidR="00D63F68" w:rsidRPr="00866DF6" w:rsidRDefault="00D63F68" w:rsidP="00D63F68">
      <w:pPr>
        <w:pStyle w:val="Marge"/>
        <w:spacing w:before="120" w:after="120"/>
        <w:ind w:left="630"/>
        <w:rPr>
          <w:rFonts w:cs="Arial"/>
          <w:lang w:val="en-GB"/>
        </w:rPr>
      </w:pPr>
      <w:r w:rsidRPr="00866DF6">
        <w:rPr>
          <w:rFonts w:cs="Arial"/>
          <w:lang w:val="en-GB"/>
        </w:rPr>
        <w:t xml:space="preserve">This is a two-year project based on a series of consultations with traditional and knowledge bearers and communities, groups and individuals about opportunities and challenges in the practice of their living heritage. The primary objective is the development of a National Intangible Cultural Heritage (ICH) Policy, which was recognized in the consultations as fundamental to safeguarding living heritage and fostering cultural identity and social cohesion. The policy will outline principles, goals and strategies to support the safeguarding of living heritage, including those expressions related to livelihoods and sustainable development. The project entails: mobilizing the communities concerned to help develop the policy; actively engaging government officials, ministries and departments directly and indirectly concerned with culture; promoting a more deliberate implementation of the 2003 Convention for the Safeguarding of Intangible Cultural Heritage; examining and potentially amending and creating legislation; and spreading awareness of the challenges and barriers faced by those who rely on ICH for their livelihoods. The project will be implemented by the Department of Culture – Ministry of Youth, Sports and Culture, with support from the Nevis Cultural Development Foundation and Living Heritage Secretariats, with the service from the </w:t>
      </w:r>
      <w:r w:rsidRPr="00866DF6">
        <w:rPr>
          <w:lang w:val="en-GB"/>
        </w:rPr>
        <w:t>UNESCO Cluster Office for the Caribbean in Kingston.</w:t>
      </w:r>
    </w:p>
    <w:p w14:paraId="1CC75FE2" w14:textId="77777777" w:rsidR="00D63F68" w:rsidRPr="00866DF6" w:rsidRDefault="00D63F68" w:rsidP="00D63F68">
      <w:pPr>
        <w:pStyle w:val="COMParaDecision"/>
        <w:numPr>
          <w:ilvl w:val="0"/>
          <w:numId w:val="17"/>
        </w:numPr>
        <w:spacing w:before="120"/>
        <w:ind w:left="630" w:hanging="567"/>
      </w:pPr>
      <w:r w:rsidRPr="00866DF6">
        <w:t>Further takes note</w:t>
      </w:r>
      <w:r w:rsidRPr="00866DF6">
        <w:rPr>
          <w:u w:val="none"/>
        </w:rPr>
        <w:t xml:space="preserve"> that:</w:t>
      </w:r>
    </w:p>
    <w:p w14:paraId="27B62BBB" w14:textId="77777777" w:rsidR="00D63F68" w:rsidRPr="00866DF6" w:rsidRDefault="00D63F68" w:rsidP="009205F5">
      <w:pPr>
        <w:pStyle w:val="COMParaDecision"/>
        <w:numPr>
          <w:ilvl w:val="2"/>
          <w:numId w:val="16"/>
        </w:numPr>
        <w:spacing w:before="120"/>
        <w:ind w:left="990" w:hanging="181"/>
        <w:rPr>
          <w:u w:val="none"/>
        </w:rPr>
      </w:pPr>
      <w:r w:rsidRPr="00866DF6">
        <w:rPr>
          <w:u w:val="none"/>
        </w:rPr>
        <w:t>This assistance is to support a project implemented at the national level, in accordance with Article 20 (c) of the Convention;</w:t>
      </w:r>
    </w:p>
    <w:p w14:paraId="12B87B7B" w14:textId="77777777" w:rsidR="00D63F68" w:rsidRPr="00866DF6" w:rsidRDefault="00D63F68" w:rsidP="009205F5">
      <w:pPr>
        <w:pStyle w:val="COMParaDecision"/>
        <w:numPr>
          <w:ilvl w:val="2"/>
          <w:numId w:val="16"/>
        </w:numPr>
        <w:spacing w:before="120"/>
        <w:ind w:left="990" w:hanging="181"/>
        <w:rPr>
          <w:u w:val="none"/>
        </w:rPr>
      </w:pPr>
      <w:r w:rsidRPr="00866DF6">
        <w:rPr>
          <w:u w:val="none"/>
        </w:rPr>
        <w:t>The State Party has requested International Assistance that will partly take the form of services from the Secretariat to the State; and</w:t>
      </w:r>
    </w:p>
    <w:p w14:paraId="4A65C94B" w14:textId="77777777" w:rsidR="00D63F68" w:rsidRPr="00866DF6" w:rsidRDefault="00D63F68" w:rsidP="009205F5">
      <w:pPr>
        <w:pStyle w:val="COMParaDecision"/>
        <w:numPr>
          <w:ilvl w:val="2"/>
          <w:numId w:val="16"/>
        </w:numPr>
        <w:spacing w:before="120"/>
        <w:ind w:left="990" w:hanging="181"/>
        <w:rPr>
          <w:u w:val="none"/>
        </w:rPr>
      </w:pPr>
      <w:r w:rsidRPr="00866DF6">
        <w:rPr>
          <w:u w:val="none"/>
        </w:rPr>
        <w:t xml:space="preserve">The assistance therefore takes the form of the </w:t>
      </w:r>
      <w:r w:rsidRPr="00866DF6">
        <w:rPr>
          <w:b/>
          <w:bCs/>
          <w:u w:val="none"/>
        </w:rPr>
        <w:t>provision of a grant</w:t>
      </w:r>
      <w:r w:rsidRPr="00866DF6">
        <w:rPr>
          <w:u w:val="none"/>
        </w:rPr>
        <w:t xml:space="preserve"> and of </w:t>
      </w:r>
      <w:r w:rsidRPr="00866DF6">
        <w:rPr>
          <w:b/>
          <w:bCs/>
          <w:u w:val="none"/>
        </w:rPr>
        <w:t>services from UNESCO</w:t>
      </w:r>
      <w:r w:rsidRPr="00866DF6">
        <w:rPr>
          <w:u w:val="none"/>
        </w:rPr>
        <w:t xml:space="preserve"> (the provision of experts), pursuant to Article 21 (b) and (g) of the Convention;</w:t>
      </w:r>
    </w:p>
    <w:p w14:paraId="3DE81125" w14:textId="77777777" w:rsidR="00D63F68" w:rsidRPr="00866DF6" w:rsidRDefault="00D63F68" w:rsidP="00D63F68">
      <w:pPr>
        <w:pStyle w:val="COMParaDecision"/>
        <w:numPr>
          <w:ilvl w:val="0"/>
          <w:numId w:val="17"/>
        </w:numPr>
        <w:spacing w:before="120"/>
        <w:ind w:left="630" w:hanging="567"/>
        <w:rPr>
          <w:u w:val="none"/>
        </w:rPr>
      </w:pPr>
      <w:r w:rsidRPr="00866DF6">
        <w:t>Also takes note</w:t>
      </w:r>
      <w:r w:rsidRPr="00866DF6">
        <w:rPr>
          <w:u w:val="none"/>
        </w:rPr>
        <w:t xml:space="preserve"> that Saint Kitts and Nevis has requested assistance in the amount of US$91,252 from the Intangible Cultural Heritage Fund for the implementation of this project, which will be jointly implemented by the Department of Culture of the Ministry of Youth, Sports and Culture of Saint Kitts and Nevis and the UNESCO Cluster Office for the Caribbean in Kingston;</w:t>
      </w:r>
    </w:p>
    <w:p w14:paraId="0AE69C8D" w14:textId="77777777" w:rsidR="00D63F68" w:rsidRPr="00866DF6" w:rsidRDefault="00D63F68" w:rsidP="00D63F68">
      <w:pPr>
        <w:pStyle w:val="COMParaDecision"/>
        <w:numPr>
          <w:ilvl w:val="0"/>
          <w:numId w:val="17"/>
        </w:numPr>
        <w:spacing w:before="120"/>
        <w:ind w:left="630" w:hanging="567"/>
        <w:rPr>
          <w:u w:val="none"/>
        </w:rPr>
      </w:pPr>
      <w:r w:rsidRPr="00866DF6">
        <w:t>Understands</w:t>
      </w:r>
      <w:r w:rsidRPr="00866DF6">
        <w:rPr>
          <w:u w:val="none"/>
        </w:rPr>
        <w:t xml:space="preserve"> that the UNESCO Cluster Office for the Caribbean in Kingston will be responsible for the provision of international expertise for the seminar, the drafting of the national ICH policy and the establishment of the related contracts (17 per cent of the requested amount), while the requesting State will be responsible for the capacity-building activities, assessment of the existing legislation, logistical organization of the ICH policy launch event and seminar, consultations with traditional bearers, government officials, NGOs and other stakeholders and drafting of the national ICH policy (83 per cent of the requested amount), as described in the request;</w:t>
      </w:r>
    </w:p>
    <w:p w14:paraId="4C10741C" w14:textId="77777777" w:rsidR="00D63F68" w:rsidRPr="00866DF6" w:rsidRDefault="00D63F68" w:rsidP="00D63F68">
      <w:pPr>
        <w:pStyle w:val="COMParaDecision"/>
        <w:numPr>
          <w:ilvl w:val="0"/>
          <w:numId w:val="17"/>
        </w:numPr>
        <w:spacing w:before="120"/>
        <w:ind w:left="630" w:hanging="567"/>
      </w:pPr>
      <w:r w:rsidRPr="00866DF6">
        <w:t>Decides</w:t>
      </w:r>
      <w:r w:rsidRPr="00866DF6">
        <w:rPr>
          <w:u w:val="none"/>
        </w:rPr>
        <w:t xml:space="preserve"> that,</w:t>
      </w:r>
      <w:r w:rsidRPr="00866DF6">
        <w:rPr>
          <w:b/>
          <w:u w:val="none"/>
        </w:rPr>
        <w:t xml:space="preserve"> </w:t>
      </w:r>
      <w:r w:rsidRPr="00866DF6">
        <w:rPr>
          <w:u w:val="none"/>
        </w:rPr>
        <w:t>from the information provided in file no. 01930, the request responds as follows to the criteria for granting International Assistance given in paragraphs 10 and 12 of the Operational Directives:</w:t>
      </w:r>
    </w:p>
    <w:p w14:paraId="2E433A6D" w14:textId="77777777" w:rsidR="00D63F68" w:rsidRPr="00866DF6" w:rsidRDefault="00D63F68" w:rsidP="00D63F68">
      <w:pPr>
        <w:pStyle w:val="Marge"/>
        <w:spacing w:before="120" w:after="120"/>
        <w:ind w:left="630"/>
        <w:rPr>
          <w:rFonts w:cs="Arial"/>
          <w:szCs w:val="22"/>
          <w:lang w:val="en-GB"/>
        </w:rPr>
      </w:pPr>
      <w:r w:rsidRPr="00866DF6">
        <w:rPr>
          <w:rFonts w:cs="Arial"/>
          <w:b/>
          <w:lang w:val="en-GB"/>
        </w:rPr>
        <w:t>Criterion</w:t>
      </w:r>
      <w:r w:rsidRPr="00866DF6">
        <w:rPr>
          <w:b/>
          <w:lang w:val="en-GB"/>
        </w:rPr>
        <w:t xml:space="preserve"> A.1</w:t>
      </w:r>
      <w:r w:rsidRPr="00866DF6">
        <w:rPr>
          <w:szCs w:val="22"/>
          <w:lang w:val="en-GB"/>
        </w:rPr>
        <w:t xml:space="preserve">: </w:t>
      </w:r>
      <w:r w:rsidRPr="00866DF6">
        <w:rPr>
          <w:rFonts w:cs="Arial"/>
          <w:szCs w:val="22"/>
          <w:lang w:val="en-GB"/>
        </w:rPr>
        <w:t xml:space="preserve">The request demonstrates the active role of the communities when planning, </w:t>
      </w:r>
      <w:r w:rsidRPr="00866DF6">
        <w:rPr>
          <w:rFonts w:cs="Arial"/>
          <w:bCs/>
          <w:szCs w:val="22"/>
          <w:lang w:val="en-GB"/>
        </w:rPr>
        <w:t>implementing</w:t>
      </w:r>
      <w:r w:rsidRPr="00866DF6">
        <w:rPr>
          <w:rFonts w:cs="Arial"/>
          <w:szCs w:val="22"/>
          <w:lang w:val="en-GB"/>
        </w:rPr>
        <w:t xml:space="preserve"> and evaluating the project. During the preparation of this International Assistance request the national government hosted a three-week consultation with communities, interviewed bearers from the five intangible cultural heritage domains, and developed a survey for government officials to identify which national offices interact with living heritage and cultural industries.</w:t>
      </w:r>
    </w:p>
    <w:p w14:paraId="642542C9" w14:textId="77777777" w:rsidR="00D63F68" w:rsidRPr="00866DF6" w:rsidRDefault="00D63F68" w:rsidP="00D63F68">
      <w:pPr>
        <w:pStyle w:val="Marge"/>
        <w:spacing w:before="120" w:after="120"/>
        <w:ind w:left="630"/>
        <w:rPr>
          <w:rFonts w:cs="Arial"/>
          <w:bCs/>
          <w:szCs w:val="22"/>
          <w:lang w:val="en-GB"/>
        </w:rPr>
      </w:pPr>
      <w:r w:rsidRPr="00866DF6">
        <w:rPr>
          <w:rFonts w:cs="Arial"/>
          <w:b/>
          <w:lang w:val="en-GB"/>
        </w:rPr>
        <w:t>Criterion A.2</w:t>
      </w:r>
      <w:r w:rsidRPr="00866DF6">
        <w:rPr>
          <w:rFonts w:cs="Arial"/>
          <w:lang w:val="en-GB"/>
        </w:rPr>
        <w:t xml:space="preserve">: </w:t>
      </w:r>
      <w:r w:rsidRPr="00866DF6">
        <w:rPr>
          <w:rFonts w:cs="Arial"/>
          <w:color w:val="000000"/>
          <w:szCs w:val="22"/>
          <w:shd w:val="clear" w:color="auto" w:fill="FFFFFF"/>
          <w:lang w:val="en-GB"/>
        </w:rPr>
        <w:t>The budget is presented in a structured manner, reflecting the planned activities and related expenses. The amount of assistance requested may therefore be considered to be appropriate for the implementation of the proposed activities</w:t>
      </w:r>
      <w:r w:rsidRPr="00866DF6">
        <w:rPr>
          <w:rFonts w:cs="Arial"/>
          <w:lang w:val="en-GB"/>
        </w:rPr>
        <w:t>.</w:t>
      </w:r>
    </w:p>
    <w:p w14:paraId="047FF509" w14:textId="77777777" w:rsidR="00D63F68" w:rsidRPr="00866DF6" w:rsidRDefault="00D63F68" w:rsidP="00D63F68">
      <w:pPr>
        <w:pStyle w:val="Marge"/>
        <w:spacing w:before="120" w:after="120"/>
        <w:ind w:left="630"/>
        <w:rPr>
          <w:rFonts w:cs="Arial"/>
          <w:bCs/>
          <w:szCs w:val="22"/>
          <w:lang w:val="en-GB"/>
        </w:rPr>
      </w:pPr>
      <w:r w:rsidRPr="00866DF6">
        <w:rPr>
          <w:rFonts w:cs="Arial"/>
          <w:b/>
          <w:lang w:val="en-GB"/>
        </w:rPr>
        <w:t>Criterion A.3</w:t>
      </w:r>
      <w:r w:rsidRPr="00866DF6">
        <w:rPr>
          <w:rFonts w:cs="Arial"/>
          <w:lang w:val="en-GB"/>
        </w:rPr>
        <w:t>:</w:t>
      </w:r>
      <w:r w:rsidRPr="00866DF6">
        <w:rPr>
          <w:rFonts w:cs="Arial"/>
          <w:bCs/>
          <w:szCs w:val="22"/>
          <w:lang w:val="en-GB"/>
        </w:rPr>
        <w:t xml:space="preserve"> The project proposes a series of phases aimed at the development of a National Intangible Cultural Heritage Policy for Saint Kitts and Nevis. They are presented in a logical sequence and include capacity building for all stakeholders, assessment of the State Party’s existing legislation, a policy expert visit to the country, consultation with bearers, government officials, NGOs and other communities, and drafting and launch of the policy. The proposed activities correspond to the objectives and expected results outlined in the request. They seem feasible within the proposed duration of the project.</w:t>
      </w:r>
    </w:p>
    <w:p w14:paraId="3BE80FD8" w14:textId="77777777" w:rsidR="00D63F68" w:rsidRPr="00866DF6" w:rsidRDefault="00D63F68" w:rsidP="00495516">
      <w:pPr>
        <w:pStyle w:val="Marge"/>
        <w:spacing w:before="120" w:after="120"/>
        <w:ind w:left="630"/>
        <w:rPr>
          <w:rFonts w:cs="Arial"/>
          <w:bCs/>
          <w:szCs w:val="22"/>
          <w:lang w:val="en-GB"/>
        </w:rPr>
      </w:pPr>
      <w:r w:rsidRPr="00866DF6">
        <w:rPr>
          <w:rFonts w:cs="Arial"/>
          <w:b/>
          <w:lang w:val="en-GB"/>
        </w:rPr>
        <w:t>Criterion A.4</w:t>
      </w:r>
      <w:r w:rsidRPr="00866DF6">
        <w:rPr>
          <w:rFonts w:cs="Arial"/>
          <w:lang w:val="en-GB"/>
        </w:rPr>
        <w:t>: The involvement of bearers,</w:t>
      </w:r>
      <w:r w:rsidRPr="00866DF6">
        <w:rPr>
          <w:rFonts w:cs="Arial"/>
          <w:bCs/>
          <w:szCs w:val="22"/>
          <w:lang w:val="en-GB"/>
        </w:rPr>
        <w:t xml:space="preserve"> heritage policy experts and other stakeholders represents an important factor in ensuring the sustainability of the results of the project. Their participation is expected to ensure the integrity of the intangible cultural heritage policy to be created and the impact that this policy can have in future safeguarding practices in Saint Kitts and Nevis.</w:t>
      </w:r>
      <w:r w:rsidRPr="00866DF6">
        <w:rPr>
          <w:rFonts w:cs="Arial"/>
          <w:lang w:val="en-GB"/>
        </w:rPr>
        <w:t xml:space="preserve"> Furthermore, as a result of the previous international assistance project ‘</w:t>
      </w:r>
      <w:r w:rsidRPr="00866DF6">
        <w:rPr>
          <w:rFonts w:cs="Arial"/>
          <w:i/>
          <w:iCs/>
          <w:lang w:val="en-GB"/>
        </w:rPr>
        <w:t>Strengthening inventory preparation capacity for implementing the 2003 Convention for the Safeguarding of Intangible Cultural Heritage in Saint Kitts and Nevis</w:t>
      </w:r>
      <w:r w:rsidRPr="00866DF6">
        <w:rPr>
          <w:rFonts w:cs="Arial"/>
          <w:lang w:val="en-GB"/>
        </w:rPr>
        <w:t>’ implemented from May 2019 to April 2021, the State Party created the Intangible Cultural Heritage Secretariat of Saint Kitts Heritage Office, which will ensure the administrative infrastructure and budget for the implementation of the policy to be created through this international assistance</w:t>
      </w:r>
      <w:r w:rsidRPr="00866DF6">
        <w:rPr>
          <w:rFonts w:cs="Arial"/>
          <w:bCs/>
          <w:szCs w:val="22"/>
          <w:lang w:val="en-GB"/>
        </w:rPr>
        <w:t>.</w:t>
      </w:r>
    </w:p>
    <w:p w14:paraId="50B4A670" w14:textId="77777777" w:rsidR="00D63F68" w:rsidRPr="00866DF6" w:rsidRDefault="00D63F68" w:rsidP="00D63F68">
      <w:pPr>
        <w:pStyle w:val="Marge"/>
        <w:spacing w:before="120" w:after="120"/>
        <w:ind w:left="630"/>
        <w:rPr>
          <w:rFonts w:cs="Arial"/>
          <w:szCs w:val="22"/>
          <w:lang w:val="en-GB"/>
        </w:rPr>
      </w:pPr>
      <w:r w:rsidRPr="00866DF6">
        <w:rPr>
          <w:rFonts w:cs="Arial"/>
          <w:b/>
          <w:lang w:val="en-GB"/>
        </w:rPr>
        <w:t>Criterion A.5</w:t>
      </w:r>
      <w:r w:rsidRPr="00866DF6">
        <w:rPr>
          <w:rFonts w:cs="Arial"/>
          <w:lang w:val="en-GB"/>
        </w:rPr>
        <w:t xml:space="preserve">: </w:t>
      </w:r>
      <w:r w:rsidRPr="00866DF6">
        <w:rPr>
          <w:rFonts w:cs="Arial"/>
          <w:bCs/>
          <w:szCs w:val="22"/>
          <w:lang w:val="en-GB"/>
        </w:rPr>
        <w:t>The submitting State Party will contribute 54 per cent of the total amount of the project for which International Assistance is requested from the Intangible Cultural Heritage Fund.</w:t>
      </w:r>
    </w:p>
    <w:p w14:paraId="3D61EFC7" w14:textId="77777777" w:rsidR="00D63F68" w:rsidRPr="00866DF6" w:rsidRDefault="00D63F68" w:rsidP="00D63F68">
      <w:pPr>
        <w:pStyle w:val="Marge"/>
        <w:spacing w:before="120" w:after="120"/>
        <w:ind w:left="630"/>
        <w:rPr>
          <w:rFonts w:cs="Arial"/>
          <w:lang w:val="en-GB"/>
        </w:rPr>
      </w:pPr>
      <w:r w:rsidRPr="00866DF6">
        <w:rPr>
          <w:rFonts w:cs="Arial"/>
          <w:b/>
          <w:lang w:val="en-GB"/>
        </w:rPr>
        <w:t>Criterion A.6</w:t>
      </w:r>
      <w:r w:rsidRPr="00866DF6">
        <w:rPr>
          <w:rFonts w:cs="Arial"/>
          <w:lang w:val="en-GB"/>
        </w:rPr>
        <w:t>: The project</w:t>
      </w:r>
      <w:r w:rsidRPr="00866DF6">
        <w:rPr>
          <w:lang w:val="en-GB"/>
        </w:rPr>
        <w:t xml:space="preserve"> </w:t>
      </w:r>
      <w:r w:rsidRPr="00866DF6">
        <w:rPr>
          <w:rFonts w:cs="Arial"/>
          <w:lang w:val="en-GB"/>
        </w:rPr>
        <w:t>is clearly aimed at developing the capacities of communities and other stakeholders concerned, with a focus on bearers and government officials. During a first phase of the project, capacity-building activities aim at engaging the members of an existing intangible cultural heritage network to support the identification of more communities, groups and individuals involved in living heritage. Once the intangible cultural heritage policy is completed, sixty government officials and 150 community members will be trained on the policy and its impacts. Consequently, the skills acquired by the participants over the course of the project will help implement the policy and other safeguarding efforts in the country.</w:t>
      </w:r>
    </w:p>
    <w:p w14:paraId="71387E01" w14:textId="77777777" w:rsidR="00D63F68" w:rsidRPr="00866DF6" w:rsidRDefault="00D63F68" w:rsidP="00D63F68">
      <w:pPr>
        <w:pStyle w:val="Marge"/>
        <w:spacing w:before="120" w:after="120"/>
        <w:ind w:left="630"/>
        <w:rPr>
          <w:rFonts w:cs="Arial"/>
          <w:lang w:val="en-GB"/>
        </w:rPr>
      </w:pPr>
      <w:r w:rsidRPr="00866DF6">
        <w:rPr>
          <w:rFonts w:cs="Arial"/>
          <w:b/>
          <w:lang w:val="en-GB"/>
        </w:rPr>
        <w:t>Criterion A.7</w:t>
      </w:r>
      <w:r w:rsidRPr="00866DF6">
        <w:rPr>
          <w:rFonts w:cs="Arial"/>
          <w:bCs/>
          <w:lang w:val="en-GB"/>
        </w:rPr>
        <w:t>:</w:t>
      </w:r>
      <w:r w:rsidRPr="00866DF6">
        <w:rPr>
          <w:lang w:val="en-GB"/>
        </w:rPr>
        <w:t xml:space="preserve"> </w:t>
      </w:r>
      <w:r w:rsidRPr="00866DF6">
        <w:rPr>
          <w:rFonts w:cs="Arial"/>
          <w:color w:val="201F1E"/>
          <w:szCs w:val="22"/>
          <w:shd w:val="clear" w:color="auto" w:fill="FFFFFF"/>
          <w:lang w:val="en-GB"/>
        </w:rPr>
        <w:t>Saint Kitts and Nevis has benefited from International Assistance from the</w:t>
      </w:r>
      <w:r w:rsidRPr="00866DF6">
        <w:rPr>
          <w:rFonts w:cs="Arial"/>
          <w:szCs w:val="22"/>
          <w:bdr w:val="none" w:sz="0" w:space="0" w:color="auto" w:frame="1"/>
          <w:lang w:val="en-GB"/>
        </w:rPr>
        <w:t> Intangible Cultural Heritage Fund for one completed project entitled ‘Strengthening inventory preparation capacity for implementing the 2003 Convention for the Safeguarding of Intangible Cultural Heritage in Saint Kitts and Nevis’ (file no. 01426, 2019-2021, US$99,443)</w:t>
      </w:r>
      <w:r w:rsidRPr="00866DF6">
        <w:rPr>
          <w:rFonts w:cs="Arial"/>
          <w:lang w:val="en-GB"/>
        </w:rPr>
        <w:t>.</w:t>
      </w:r>
    </w:p>
    <w:p w14:paraId="1F46EEF7" w14:textId="77777777" w:rsidR="00D63F68" w:rsidRPr="00866DF6" w:rsidRDefault="00D63F68" w:rsidP="00D63F68">
      <w:pPr>
        <w:pStyle w:val="Marge"/>
        <w:spacing w:before="120" w:after="120"/>
        <w:ind w:left="630"/>
        <w:rPr>
          <w:rFonts w:cs="Arial"/>
          <w:lang w:val="en-GB"/>
        </w:rPr>
      </w:pPr>
      <w:r w:rsidRPr="00866DF6">
        <w:rPr>
          <w:rFonts w:cs="Arial"/>
          <w:b/>
          <w:lang w:val="en-GB"/>
        </w:rPr>
        <w:t>Paragraph 10(a)</w:t>
      </w:r>
      <w:r w:rsidRPr="00866DF6">
        <w:rPr>
          <w:rFonts w:cs="Arial"/>
          <w:lang w:val="en-GB"/>
        </w:rPr>
        <w:t>: The project is national in scope and its implementation involves national and local partners.</w:t>
      </w:r>
    </w:p>
    <w:p w14:paraId="7F4A4448" w14:textId="77777777" w:rsidR="00D63F68" w:rsidRPr="00866DF6" w:rsidRDefault="00D63F68" w:rsidP="00D63F68">
      <w:pPr>
        <w:pStyle w:val="ListParagraph1"/>
        <w:tabs>
          <w:tab w:val="left" w:pos="1701"/>
        </w:tabs>
        <w:spacing w:before="120" w:after="120"/>
        <w:ind w:left="630"/>
        <w:jc w:val="both"/>
        <w:rPr>
          <w:rFonts w:ascii="Arial" w:hAnsi="Arial" w:cs="Arial"/>
          <w:sz w:val="22"/>
        </w:rPr>
      </w:pPr>
      <w:r w:rsidRPr="00866DF6">
        <w:rPr>
          <w:rFonts w:ascii="Arial" w:hAnsi="Arial" w:cs="Arial"/>
          <w:b/>
          <w:sz w:val="22"/>
        </w:rPr>
        <w:t>Paragraph 10(b)</w:t>
      </w:r>
      <w:r w:rsidRPr="00866DF6">
        <w:rPr>
          <w:rFonts w:ascii="Arial" w:hAnsi="Arial" w:cs="Arial"/>
        </w:rPr>
        <w:t>:</w:t>
      </w:r>
      <w:r w:rsidRPr="00866DF6">
        <w:rPr>
          <w:rFonts w:ascii="Arial" w:hAnsi="Arial" w:cs="Arial"/>
          <w:sz w:val="22"/>
        </w:rPr>
        <w:t xml:space="preserve"> The project is expected to raise awareness at the national level about the importance of safeguarding the intangible cultural heritage of Saint Kitts and Nevis.</w:t>
      </w:r>
    </w:p>
    <w:p w14:paraId="5F2A7418" w14:textId="77777777" w:rsidR="00D63F68" w:rsidRPr="00866DF6" w:rsidRDefault="00D63F68" w:rsidP="00D63F68">
      <w:pPr>
        <w:pStyle w:val="ListParagraph"/>
        <w:numPr>
          <w:ilvl w:val="0"/>
          <w:numId w:val="17"/>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Approves</w:t>
      </w:r>
      <w:r w:rsidRPr="00866DF6">
        <w:rPr>
          <w:rFonts w:ascii="Arial" w:hAnsi="Arial" w:cs="Arial"/>
          <w:sz w:val="22"/>
          <w:szCs w:val="22"/>
          <w:lang w:val="en-GB"/>
        </w:rPr>
        <w:t xml:space="preserve"> the International Assistance request from </w:t>
      </w:r>
      <w:r w:rsidRPr="00866DF6">
        <w:rPr>
          <w:rFonts w:ascii="Arial" w:hAnsi="Arial" w:cs="Arial"/>
          <w:sz w:val="22"/>
          <w:lang w:val="en-GB"/>
        </w:rPr>
        <w:t>Saint Kitts and Nevis</w:t>
      </w:r>
      <w:r w:rsidRPr="00866DF6">
        <w:rPr>
          <w:rFonts w:ascii="Arial" w:hAnsi="Arial" w:cs="Arial"/>
          <w:sz w:val="22"/>
          <w:szCs w:val="22"/>
          <w:lang w:val="en-GB"/>
        </w:rPr>
        <w:t xml:space="preserve"> for the project entitled </w:t>
      </w:r>
      <w:r w:rsidRPr="00866DF6">
        <w:rPr>
          <w:rFonts w:ascii="Arial" w:hAnsi="Arial" w:cs="Arial"/>
          <w:b/>
          <w:bCs/>
          <w:sz w:val="22"/>
          <w:szCs w:val="22"/>
          <w:lang w:val="en-GB"/>
        </w:rPr>
        <w:t>Safeguarding Saint Kitts and Nevis Intangible Cultural Heritage: developing a National Intangible Cultural Heritage Policy</w:t>
      </w:r>
      <w:r w:rsidRPr="00866DF6">
        <w:rPr>
          <w:rFonts w:ascii="Arial" w:hAnsi="Arial" w:cs="Arial"/>
          <w:sz w:val="22"/>
          <w:szCs w:val="22"/>
          <w:lang w:val="en-GB"/>
        </w:rPr>
        <w:t xml:space="preserve"> and </w:t>
      </w:r>
      <w:r w:rsidRPr="00866DF6">
        <w:rPr>
          <w:rFonts w:ascii="Arial" w:hAnsi="Arial" w:cs="Arial"/>
          <w:sz w:val="22"/>
          <w:szCs w:val="22"/>
          <w:u w:val="single"/>
          <w:lang w:val="en-GB"/>
        </w:rPr>
        <w:t>grants</w:t>
      </w:r>
      <w:r w:rsidRPr="00866DF6">
        <w:rPr>
          <w:rFonts w:ascii="Arial" w:hAnsi="Arial" w:cs="Arial"/>
          <w:sz w:val="22"/>
          <w:szCs w:val="22"/>
          <w:lang w:val="en-GB"/>
        </w:rPr>
        <w:t xml:space="preserve"> the amount of US$91,252 to the State Party for this purpose;</w:t>
      </w:r>
    </w:p>
    <w:p w14:paraId="7AB492F5" w14:textId="77777777" w:rsidR="00D63F68" w:rsidRPr="00866DF6" w:rsidRDefault="00D63F68" w:rsidP="00D63F68">
      <w:pPr>
        <w:pStyle w:val="ListParagraph"/>
        <w:numPr>
          <w:ilvl w:val="0"/>
          <w:numId w:val="17"/>
        </w:numPr>
        <w:spacing w:before="120" w:after="120"/>
        <w:ind w:left="630" w:hanging="567"/>
        <w:contextualSpacing w:val="0"/>
        <w:jc w:val="both"/>
        <w:rPr>
          <w:rFonts w:ascii="Arial" w:hAnsi="Arial" w:cs="Arial"/>
          <w:sz w:val="22"/>
          <w:szCs w:val="22"/>
          <w:lang w:val="en-GB"/>
        </w:rPr>
      </w:pPr>
      <w:r w:rsidRPr="00866DF6">
        <w:rPr>
          <w:rFonts w:ascii="Arial" w:hAnsi="Arial" w:cs="Arial"/>
          <w:sz w:val="22"/>
          <w:szCs w:val="22"/>
          <w:u w:val="single"/>
          <w:lang w:val="en-GB"/>
        </w:rPr>
        <w:t>Requests</w:t>
      </w:r>
      <w:r w:rsidRPr="00866DF6">
        <w:rPr>
          <w:rFonts w:ascii="Arial" w:hAnsi="Arial" w:cs="Arial"/>
          <w:sz w:val="22"/>
          <w:szCs w:val="22"/>
          <w:lang w:val="en-GB"/>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7C76C3D3" w14:textId="77777777" w:rsidR="00D63F68" w:rsidRPr="00866DF6" w:rsidRDefault="00D63F68" w:rsidP="00D63F68">
      <w:pPr>
        <w:numPr>
          <w:ilvl w:val="0"/>
          <w:numId w:val="17"/>
        </w:numPr>
        <w:shd w:val="clear" w:color="auto" w:fill="FFFFFF"/>
        <w:spacing w:before="120" w:after="120"/>
        <w:ind w:left="630" w:hanging="567"/>
        <w:jc w:val="both"/>
        <w:rPr>
          <w:rFonts w:ascii="Arial" w:hAnsi="Arial" w:cs="Arial"/>
          <w:sz w:val="22"/>
          <w:szCs w:val="22"/>
          <w:lang w:val="en-GB"/>
        </w:rPr>
      </w:pPr>
      <w:r w:rsidRPr="00866DF6">
        <w:rPr>
          <w:rFonts w:ascii="Arial" w:hAnsi="Arial" w:cs="Arial"/>
          <w:sz w:val="22"/>
          <w:szCs w:val="22"/>
          <w:u w:val="single"/>
          <w:lang w:val="en-GB"/>
        </w:rPr>
        <w:t>Invites</w:t>
      </w:r>
      <w:r w:rsidRPr="00866DF6">
        <w:rPr>
          <w:rFonts w:ascii="Arial" w:hAnsi="Arial" w:cs="Arial"/>
          <w:sz w:val="22"/>
          <w:szCs w:val="22"/>
          <w:lang w:val="en-GB"/>
        </w:rPr>
        <w:t xml:space="preserve"> the State Party to use Form ICH-04-Report to report on the use of the assistance granted.</w:t>
      </w:r>
    </w:p>
    <w:p w14:paraId="73437B8C" w14:textId="448594E2" w:rsidR="00D63F68" w:rsidRPr="00866DF6" w:rsidRDefault="00D63F68" w:rsidP="00D63F68">
      <w:pPr>
        <w:pStyle w:val="COMTitleDecision"/>
        <w:ind w:left="0"/>
        <w:rPr>
          <w:b w:val="0"/>
        </w:rPr>
      </w:pPr>
      <w:bookmarkStart w:id="11" w:name="Dec4"/>
      <w:bookmarkStart w:id="12" w:name="Decisionarmenia"/>
      <w:r w:rsidRPr="00866DF6">
        <w:t xml:space="preserve">DECISION </w:t>
      </w:r>
      <w:r w:rsidRPr="00B21F38">
        <w:t>17.COM 4.BUR 3.4</w:t>
      </w:r>
      <w:bookmarkEnd w:id="11"/>
    </w:p>
    <w:bookmarkEnd w:id="12"/>
    <w:p w14:paraId="161E1476" w14:textId="77777777" w:rsidR="00D63F68" w:rsidRPr="00866DF6" w:rsidRDefault="00D63F68" w:rsidP="00D63F68">
      <w:pPr>
        <w:numPr>
          <w:ilvl w:val="0"/>
          <w:numId w:val="18"/>
        </w:numPr>
        <w:spacing w:before="120" w:after="120" w:line="259" w:lineRule="auto"/>
        <w:ind w:left="630" w:hanging="567"/>
        <w:jc w:val="both"/>
        <w:rPr>
          <w:rFonts w:ascii="Arial" w:hAnsi="Arial" w:cs="Arial"/>
          <w:sz w:val="22"/>
          <w:szCs w:val="22"/>
          <w:lang w:val="en-GB" w:eastAsia="en-GB"/>
        </w:rPr>
      </w:pPr>
      <w:r w:rsidRPr="00866DF6">
        <w:rPr>
          <w:rFonts w:asciiTheme="minorBidi" w:hAnsiTheme="minorBidi" w:cstheme="minorBidi"/>
          <w:bCs/>
          <w:sz w:val="22"/>
          <w:szCs w:val="22"/>
          <w:u w:val="single"/>
          <w:lang w:val="en-GB"/>
        </w:rPr>
        <w:t>Recalling</w:t>
      </w:r>
      <w:r w:rsidRPr="00866DF6">
        <w:rPr>
          <w:rFonts w:ascii="Arial" w:hAnsi="Arial" w:cs="Arial"/>
          <w:bCs/>
          <w:sz w:val="22"/>
          <w:szCs w:val="22"/>
          <w:lang w:val="en-GB"/>
        </w:rPr>
        <w:t xml:space="preserve"> Article 23 of the Convention as well as Cha</w:t>
      </w:r>
      <w:r w:rsidRPr="00866DF6">
        <w:rPr>
          <w:rFonts w:ascii="Arial" w:hAnsi="Arial" w:cs="Arial"/>
          <w:sz w:val="22"/>
          <w:szCs w:val="22"/>
          <w:lang w:val="en-GB" w:eastAsia="en-GB"/>
        </w:rPr>
        <w:t>pter I.4 of the Operational Directives relating to the eligibility and criteria of International Assistance requests,</w:t>
      </w:r>
    </w:p>
    <w:p w14:paraId="1B03BA20" w14:textId="19613463" w:rsidR="00D63F68" w:rsidRPr="00D12504" w:rsidRDefault="00D63F68" w:rsidP="00D63F68">
      <w:pPr>
        <w:numPr>
          <w:ilvl w:val="0"/>
          <w:numId w:val="18"/>
        </w:numPr>
        <w:spacing w:before="120" w:after="120" w:line="259" w:lineRule="auto"/>
        <w:ind w:left="630" w:hanging="567"/>
        <w:jc w:val="both"/>
        <w:rPr>
          <w:rFonts w:asciiTheme="minorBidi" w:hAnsiTheme="minorBidi" w:cstheme="minorBidi"/>
          <w:bCs/>
          <w:sz w:val="22"/>
          <w:szCs w:val="22"/>
          <w:lang w:val="en-GB"/>
        </w:rPr>
      </w:pPr>
      <w:r w:rsidRPr="00D12504">
        <w:rPr>
          <w:rFonts w:asciiTheme="minorBidi" w:hAnsiTheme="minorBidi" w:cstheme="minorBidi"/>
          <w:bCs/>
          <w:sz w:val="22"/>
          <w:szCs w:val="22"/>
          <w:u w:val="single"/>
          <w:lang w:val="en-GB"/>
        </w:rPr>
        <w:t>Further recalling</w:t>
      </w:r>
      <w:r w:rsidRPr="00D12504">
        <w:rPr>
          <w:rFonts w:asciiTheme="minorBidi" w:hAnsiTheme="minorBidi" w:cstheme="minorBidi"/>
          <w:bCs/>
          <w:sz w:val="22"/>
          <w:szCs w:val="22"/>
          <w:lang w:val="en-GB"/>
        </w:rPr>
        <w:t xml:space="preserve"> Decision 14.COM 4.BUR 4.1 and document </w:t>
      </w:r>
      <w:hyperlink r:id="rId12" w:history="1">
        <w:r w:rsidR="0079273F" w:rsidRPr="0079273F">
          <w:rPr>
            <w:rStyle w:val="Hyperlink"/>
            <w:rFonts w:asciiTheme="minorBidi" w:hAnsiTheme="minorBidi" w:cstheme="minorBidi"/>
            <w:bCs/>
            <w:sz w:val="22"/>
            <w:szCs w:val="22"/>
            <w:lang w:eastAsia="fr-FR"/>
          </w:rPr>
          <w:t>LHE/19/14.COM 4/BUR/4</w:t>
        </w:r>
      </w:hyperlink>
      <w:r w:rsidR="0079273F">
        <w:rPr>
          <w:rFonts w:asciiTheme="minorBidi" w:hAnsiTheme="minorBidi" w:cstheme="minorBidi"/>
          <w:bCs/>
          <w:sz w:val="22"/>
          <w:szCs w:val="22"/>
          <w:lang w:val="en-GB"/>
        </w:rPr>
        <w:t xml:space="preserve"> </w:t>
      </w:r>
      <w:r w:rsidRPr="00D12504">
        <w:rPr>
          <w:rFonts w:asciiTheme="minorBidi" w:hAnsiTheme="minorBidi" w:cstheme="minorBidi"/>
          <w:bCs/>
          <w:sz w:val="22"/>
          <w:szCs w:val="22"/>
          <w:lang w:val="en-GB"/>
        </w:rPr>
        <w:t>concerning the original request submitted by the Democratic People’s Republic of Korea and examined by the Bureau in October 2019,</w:t>
      </w:r>
    </w:p>
    <w:p w14:paraId="79082D7F" w14:textId="39C471C3" w:rsidR="00D63F68" w:rsidRPr="00D12504" w:rsidRDefault="00D63F68" w:rsidP="00D63F68">
      <w:pPr>
        <w:numPr>
          <w:ilvl w:val="0"/>
          <w:numId w:val="18"/>
        </w:numPr>
        <w:spacing w:before="120" w:after="120" w:line="259" w:lineRule="auto"/>
        <w:ind w:left="630" w:hanging="567"/>
        <w:jc w:val="both"/>
        <w:rPr>
          <w:rFonts w:asciiTheme="minorBidi" w:hAnsiTheme="minorBidi" w:cstheme="minorBidi"/>
          <w:bCs/>
          <w:sz w:val="22"/>
          <w:szCs w:val="22"/>
          <w:lang w:val="en-GB"/>
        </w:rPr>
      </w:pPr>
      <w:r w:rsidRPr="00D12504">
        <w:rPr>
          <w:rFonts w:asciiTheme="minorBidi" w:hAnsiTheme="minorBidi" w:cstheme="minorBidi"/>
          <w:bCs/>
          <w:sz w:val="22"/>
          <w:szCs w:val="22"/>
          <w:u w:val="single"/>
          <w:lang w:val="en-GB"/>
        </w:rPr>
        <w:t>Also recalling</w:t>
      </w:r>
      <w:r w:rsidRPr="00D12504">
        <w:rPr>
          <w:rFonts w:asciiTheme="minorBidi" w:hAnsiTheme="minorBidi" w:cstheme="minorBidi"/>
          <w:bCs/>
          <w:sz w:val="22"/>
          <w:szCs w:val="22"/>
          <w:lang w:val="en-GB"/>
        </w:rPr>
        <w:t xml:space="preserve"> document </w:t>
      </w:r>
      <w:hyperlink r:id="rId13" w:history="1">
        <w:r w:rsidR="008A1CBA" w:rsidRPr="008A1CBA">
          <w:rPr>
            <w:rStyle w:val="Hyperlink"/>
            <w:rFonts w:ascii="Arial" w:hAnsi="Arial" w:cs="Arial"/>
          </w:rPr>
          <w:t>LHE/21/16.COM/7.d</w:t>
        </w:r>
      </w:hyperlink>
      <w:r w:rsidRPr="00D12504">
        <w:rPr>
          <w:rFonts w:asciiTheme="minorBidi" w:hAnsiTheme="minorBidi" w:cstheme="minorBidi"/>
          <w:bCs/>
          <w:sz w:val="22"/>
          <w:szCs w:val="22"/>
          <w:lang w:val="en-GB"/>
        </w:rPr>
        <w:t>,</w:t>
      </w:r>
    </w:p>
    <w:p w14:paraId="49C6531A" w14:textId="62300C9F" w:rsidR="00D63F68" w:rsidRPr="00866DF6" w:rsidRDefault="00D63F68" w:rsidP="00D63F68">
      <w:pPr>
        <w:numPr>
          <w:ilvl w:val="0"/>
          <w:numId w:val="18"/>
        </w:numPr>
        <w:spacing w:before="120" w:after="120" w:line="259" w:lineRule="auto"/>
        <w:ind w:left="630" w:hanging="567"/>
        <w:jc w:val="both"/>
        <w:rPr>
          <w:rFonts w:ascii="Arial" w:hAnsi="Arial" w:cs="Arial"/>
          <w:sz w:val="22"/>
          <w:szCs w:val="22"/>
          <w:lang w:val="en-GB" w:eastAsia="en-GB"/>
        </w:rPr>
      </w:pPr>
      <w:r w:rsidRPr="00866DF6">
        <w:rPr>
          <w:rFonts w:ascii="Arial" w:hAnsi="Arial" w:cs="Arial"/>
          <w:sz w:val="22"/>
          <w:szCs w:val="22"/>
          <w:u w:val="single"/>
          <w:lang w:val="en-GB" w:eastAsia="en-GB"/>
        </w:rPr>
        <w:t>Having examined</w:t>
      </w:r>
      <w:r w:rsidRPr="00866DF6">
        <w:rPr>
          <w:rFonts w:ascii="Arial" w:hAnsi="Arial" w:cs="Arial"/>
          <w:sz w:val="22"/>
          <w:szCs w:val="22"/>
          <w:lang w:val="en-GB" w:eastAsia="en-GB"/>
        </w:rPr>
        <w:t xml:space="preserve"> </w:t>
      </w:r>
      <w:r w:rsidR="003938DD">
        <w:rPr>
          <w:rFonts w:ascii="Arial" w:hAnsi="Arial" w:cs="Arial"/>
          <w:sz w:val="22"/>
          <w:szCs w:val="22"/>
          <w:lang w:val="en-GB" w:eastAsia="en-GB"/>
        </w:rPr>
        <w:t>d</w:t>
      </w:r>
      <w:r w:rsidRPr="00866DF6">
        <w:rPr>
          <w:rFonts w:ascii="Arial" w:hAnsi="Arial" w:cs="Arial"/>
          <w:sz w:val="22"/>
          <w:szCs w:val="22"/>
          <w:lang w:val="en-GB" w:eastAsia="en-GB"/>
        </w:rPr>
        <w:t xml:space="preserve">ocument </w:t>
      </w:r>
      <w:hyperlink r:id="rId14" w:history="1">
        <w:r w:rsidRPr="00972339">
          <w:rPr>
            <w:rStyle w:val="Hyperlink"/>
            <w:rFonts w:ascii="Arial" w:hAnsi="Arial" w:cs="Arial"/>
            <w:sz w:val="22"/>
            <w:szCs w:val="22"/>
          </w:rPr>
          <w:t>LHE/22/17.COM 4.BUR/3</w:t>
        </w:r>
      </w:hyperlink>
      <w:r w:rsidRPr="00866DF6">
        <w:rPr>
          <w:rFonts w:ascii="Arial" w:hAnsi="Arial" w:cs="Arial"/>
          <w:sz w:val="22"/>
          <w:szCs w:val="22"/>
          <w:lang w:val="en-GB" w:eastAsia="en-GB"/>
        </w:rPr>
        <w:t xml:space="preserve"> as well as International Assistance request no.</w:t>
      </w:r>
      <w:r w:rsidRPr="00866DF6">
        <w:rPr>
          <w:lang w:val="en-GB" w:eastAsia="en-GB"/>
        </w:rPr>
        <w:t> </w:t>
      </w:r>
      <w:r w:rsidRPr="00866DF6">
        <w:rPr>
          <w:rFonts w:ascii="Arial" w:hAnsi="Arial" w:cs="Arial"/>
          <w:sz w:val="22"/>
          <w:szCs w:val="22"/>
          <w:lang w:val="en-GB" w:eastAsia="en-GB"/>
        </w:rPr>
        <w:t xml:space="preserve">01619 </w:t>
      </w:r>
      <w:r w:rsidRPr="00D12504">
        <w:rPr>
          <w:rFonts w:ascii="Arial" w:hAnsi="Arial" w:cs="Arial"/>
          <w:sz w:val="22"/>
          <w:szCs w:val="22"/>
          <w:lang w:val="en-GB" w:eastAsia="en-GB"/>
        </w:rPr>
        <w:t>re-</w:t>
      </w:r>
      <w:r w:rsidRPr="00866DF6">
        <w:rPr>
          <w:rFonts w:ascii="Arial" w:hAnsi="Arial" w:cs="Arial"/>
          <w:sz w:val="22"/>
          <w:szCs w:val="22"/>
          <w:lang w:val="en-GB" w:eastAsia="en-GB"/>
        </w:rPr>
        <w:t xml:space="preserve">submitted </w:t>
      </w:r>
      <w:r w:rsidRPr="00D12504">
        <w:rPr>
          <w:rFonts w:ascii="Arial" w:hAnsi="Arial" w:cs="Arial"/>
          <w:sz w:val="22"/>
          <w:szCs w:val="22"/>
          <w:lang w:val="en-GB" w:eastAsia="en-GB"/>
        </w:rPr>
        <w:t>in May 2022</w:t>
      </w:r>
      <w:r w:rsidRPr="00866DF6">
        <w:rPr>
          <w:rFonts w:ascii="Arial" w:hAnsi="Arial" w:cs="Arial"/>
          <w:sz w:val="22"/>
          <w:szCs w:val="22"/>
          <w:lang w:val="en-GB" w:eastAsia="en-GB"/>
        </w:rPr>
        <w:t xml:space="preserve"> by the Democratic People’s Republic of Korea,</w:t>
      </w:r>
    </w:p>
    <w:p w14:paraId="586EF0EC" w14:textId="77777777" w:rsidR="00D63F68" w:rsidRPr="00866DF6" w:rsidRDefault="00D63F68" w:rsidP="00D63F68">
      <w:pPr>
        <w:numPr>
          <w:ilvl w:val="0"/>
          <w:numId w:val="18"/>
        </w:numPr>
        <w:spacing w:before="120" w:after="120" w:line="259" w:lineRule="auto"/>
        <w:ind w:left="630" w:hanging="567"/>
        <w:jc w:val="both"/>
        <w:rPr>
          <w:rFonts w:ascii="Arial" w:hAnsi="Arial" w:cs="Arial"/>
          <w:sz w:val="22"/>
          <w:szCs w:val="22"/>
          <w:lang w:val="en-GB" w:eastAsia="en-GB"/>
        </w:rPr>
      </w:pPr>
      <w:r w:rsidRPr="00866DF6">
        <w:rPr>
          <w:rFonts w:ascii="Arial" w:hAnsi="Arial" w:cs="Arial"/>
          <w:sz w:val="22"/>
          <w:szCs w:val="22"/>
          <w:u w:val="single"/>
          <w:lang w:val="en-GB" w:eastAsia="en-GB"/>
        </w:rPr>
        <w:t>Takes note</w:t>
      </w:r>
      <w:r w:rsidRPr="00866DF6">
        <w:rPr>
          <w:rFonts w:ascii="Arial" w:hAnsi="Arial" w:cs="Arial"/>
          <w:sz w:val="22"/>
          <w:szCs w:val="22"/>
          <w:lang w:val="en-GB" w:eastAsia="en-GB"/>
        </w:rPr>
        <w:t xml:space="preserve"> that the Democratic People’s Republic of Korea requested modifications to the International Assistance project entitled </w:t>
      </w:r>
      <w:r w:rsidRPr="00866DF6">
        <w:rPr>
          <w:rFonts w:ascii="Arial" w:hAnsi="Arial" w:cs="Arial"/>
          <w:b/>
          <w:sz w:val="22"/>
          <w:szCs w:val="22"/>
          <w:lang w:val="en-GB" w:eastAsia="en-GB"/>
        </w:rPr>
        <w:t>Capacity Building on Traditional Koryo Celadon Making practice</w:t>
      </w:r>
      <w:r w:rsidRPr="00866DF6">
        <w:rPr>
          <w:rFonts w:ascii="Arial" w:hAnsi="Arial" w:cs="Arial"/>
          <w:color w:val="323232"/>
          <w:sz w:val="22"/>
          <w:szCs w:val="22"/>
          <w:lang w:val="en-GB" w:eastAsia="en-GB"/>
        </w:rPr>
        <w:t>:</w:t>
      </w:r>
    </w:p>
    <w:p w14:paraId="331D7DD4" w14:textId="14967939"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sz w:val="22"/>
          <w:szCs w:val="22"/>
          <w:lang w:val="en-GB" w:eastAsia="en-GB"/>
        </w:rPr>
        <w:t>The proposed six-month project is aimed at building capacities relating to the traditional Koryo celadon-making practice. The project is to be implemented by the National Commission of the Democratic People's Republic of Korea for UNESCO. Recently, decreased interest in the tradition has resulted in dwindling ceramic production, and even in some long-standing celadon families losing pride in the practice. To overcome these obstacles, the proposed project aims to understand the viability of the practice in the country through on-site investigations and to raise awareness about the Koryo celadon-making practice through the organization of workshop</w:t>
      </w:r>
      <w:r w:rsidRPr="00D12504">
        <w:rPr>
          <w:rFonts w:ascii="Arial" w:hAnsi="Arial" w:cs="Arial"/>
          <w:sz w:val="22"/>
          <w:szCs w:val="22"/>
          <w:lang w:val="en-GB" w:eastAsia="en-GB"/>
        </w:rPr>
        <w:t>s</w:t>
      </w:r>
      <w:r w:rsidRPr="00866DF6">
        <w:rPr>
          <w:rFonts w:ascii="Arial" w:hAnsi="Arial" w:cs="Arial"/>
          <w:sz w:val="22"/>
          <w:szCs w:val="22"/>
          <w:lang w:val="en-GB" w:eastAsia="en-GB"/>
        </w:rPr>
        <w:t xml:space="preserve"> and the publication of a book. Through its implementation, the project is expected to lead to the identification of more than seven major traditional Koryo celadon-making units. Furthermore, </w:t>
      </w:r>
      <w:r w:rsidRPr="00D12504">
        <w:rPr>
          <w:rFonts w:ascii="Arial" w:hAnsi="Arial" w:cs="Arial"/>
          <w:sz w:val="22"/>
          <w:szCs w:val="22"/>
          <w:lang w:val="en-GB" w:eastAsia="en-GB"/>
        </w:rPr>
        <w:t>150</w:t>
      </w:r>
      <w:r w:rsidRPr="00866DF6">
        <w:rPr>
          <w:rFonts w:ascii="Arial" w:hAnsi="Arial" w:cs="Arial"/>
          <w:sz w:val="22"/>
          <w:szCs w:val="22"/>
          <w:lang w:val="en-GB" w:eastAsia="en-GB"/>
        </w:rPr>
        <w:t xml:space="preserve"> local pottery makers are to be trained and a book on Koryo celadon-making is to be published and distributed among the communities. The project would thus improve the skills of local makers concerned and increase public interest in the practice. If successfully implemented, it is expected to serve as a model for studying and safeguarding traditional handcraftsmanship and other elements of intangible cultural heritage in the Democratic People’s Republic of Korea.</w:t>
      </w:r>
    </w:p>
    <w:p w14:paraId="0D70FDAB" w14:textId="77777777" w:rsidR="00D63F68" w:rsidRPr="00866DF6" w:rsidRDefault="00D63F68" w:rsidP="00D63F68">
      <w:pPr>
        <w:numPr>
          <w:ilvl w:val="0"/>
          <w:numId w:val="18"/>
        </w:numPr>
        <w:autoSpaceDE w:val="0"/>
        <w:autoSpaceDN w:val="0"/>
        <w:adjustRightInd w:val="0"/>
        <w:spacing w:before="120" w:after="120"/>
        <w:ind w:left="630" w:hanging="567"/>
        <w:jc w:val="both"/>
        <w:rPr>
          <w:rFonts w:ascii="Arial" w:eastAsia="SimSun" w:hAnsi="Arial" w:cs="Arial"/>
          <w:sz w:val="22"/>
          <w:szCs w:val="22"/>
          <w:lang w:val="en-GB" w:eastAsia="en-GB"/>
        </w:rPr>
      </w:pPr>
      <w:r w:rsidRPr="00866DF6">
        <w:rPr>
          <w:rFonts w:ascii="Arial" w:eastAsia="SimSun" w:hAnsi="Arial" w:cs="Arial"/>
          <w:sz w:val="22"/>
          <w:szCs w:val="22"/>
          <w:u w:val="single"/>
          <w:lang w:val="en-GB" w:eastAsia="en-GB"/>
        </w:rPr>
        <w:t>Further takes note</w:t>
      </w:r>
      <w:r w:rsidRPr="00866DF6">
        <w:rPr>
          <w:rFonts w:ascii="Arial" w:eastAsia="SimSun" w:hAnsi="Arial" w:cs="Arial"/>
          <w:sz w:val="22"/>
          <w:szCs w:val="22"/>
          <w:lang w:val="en-GB" w:eastAsia="en-GB"/>
        </w:rPr>
        <w:t xml:space="preserve"> that this assistance is to support a project implemented at the national level, in accordance with Article 20 (c) of the Convention, and that it takes the form of the </w:t>
      </w:r>
      <w:r w:rsidRPr="00866DF6">
        <w:rPr>
          <w:rFonts w:ascii="Arial" w:eastAsia="SimSun" w:hAnsi="Arial" w:cs="Arial"/>
          <w:b/>
          <w:bCs/>
          <w:sz w:val="22"/>
          <w:szCs w:val="22"/>
          <w:lang w:val="en-GB" w:eastAsia="en-GB"/>
        </w:rPr>
        <w:t>provision of a grant</w:t>
      </w:r>
      <w:r w:rsidRPr="00866DF6">
        <w:rPr>
          <w:rFonts w:ascii="Arial" w:eastAsia="SimSun" w:hAnsi="Arial" w:cs="Arial"/>
          <w:sz w:val="22"/>
          <w:szCs w:val="22"/>
          <w:lang w:val="en-GB" w:eastAsia="en-GB"/>
        </w:rPr>
        <w:t>, pursuant to Article 21 (g) of the Convention;</w:t>
      </w:r>
    </w:p>
    <w:p w14:paraId="42C03FD2" w14:textId="2D5B0E2E" w:rsidR="00D63F68" w:rsidRPr="00866DF6" w:rsidRDefault="00D63F68" w:rsidP="00D63F68">
      <w:pPr>
        <w:numPr>
          <w:ilvl w:val="0"/>
          <w:numId w:val="18"/>
        </w:numPr>
        <w:spacing w:before="120" w:after="120" w:line="259" w:lineRule="auto"/>
        <w:ind w:left="630" w:hanging="567"/>
        <w:jc w:val="both"/>
        <w:rPr>
          <w:rFonts w:ascii="Arial" w:hAnsi="Arial" w:cs="Arial"/>
          <w:color w:val="000000"/>
          <w:sz w:val="22"/>
          <w:szCs w:val="22"/>
          <w:lang w:val="en-GB" w:eastAsia="en-GB"/>
        </w:rPr>
      </w:pPr>
      <w:r w:rsidRPr="00866DF6">
        <w:rPr>
          <w:rFonts w:ascii="Arial" w:hAnsi="Arial" w:cs="Arial"/>
          <w:sz w:val="22"/>
          <w:szCs w:val="22"/>
          <w:u w:val="single"/>
          <w:lang w:val="en-GB" w:eastAsia="en-GB"/>
        </w:rPr>
        <w:t>Also takes note</w:t>
      </w:r>
      <w:r w:rsidRPr="00866DF6">
        <w:rPr>
          <w:rFonts w:ascii="Arial" w:hAnsi="Arial" w:cs="Arial"/>
          <w:sz w:val="22"/>
          <w:szCs w:val="22"/>
          <w:lang w:val="en-GB" w:eastAsia="en-GB"/>
        </w:rPr>
        <w:t xml:space="preserve"> that the Democratic People’s Republic of Korea has requested assistance in the amount </w:t>
      </w:r>
      <w:r w:rsidRPr="008D079E">
        <w:rPr>
          <w:rFonts w:ascii="Arial" w:hAnsi="Arial" w:cs="Arial"/>
          <w:color w:val="000000"/>
          <w:sz w:val="22"/>
          <w:szCs w:val="22"/>
          <w:lang w:val="en-GB" w:eastAsia="en-GB"/>
        </w:rPr>
        <w:t xml:space="preserve">of US$41,767 </w:t>
      </w:r>
      <w:r w:rsidRPr="00866DF6">
        <w:rPr>
          <w:rFonts w:ascii="Arial" w:hAnsi="Arial" w:cs="Arial"/>
          <w:color w:val="000000"/>
          <w:sz w:val="22"/>
          <w:szCs w:val="22"/>
          <w:lang w:val="en-GB" w:eastAsia="en-GB"/>
        </w:rPr>
        <w:t>from the Intangible Cultural Heritage Fund for the implementation of this project;</w:t>
      </w:r>
    </w:p>
    <w:p w14:paraId="645D25B1" w14:textId="77777777" w:rsidR="00D63F68" w:rsidRPr="00866DF6" w:rsidRDefault="00D63F68" w:rsidP="00D63F68">
      <w:pPr>
        <w:numPr>
          <w:ilvl w:val="0"/>
          <w:numId w:val="18"/>
        </w:numPr>
        <w:spacing w:before="120" w:after="120" w:line="259" w:lineRule="auto"/>
        <w:ind w:left="630" w:hanging="567"/>
        <w:jc w:val="both"/>
        <w:rPr>
          <w:rFonts w:ascii="Arial" w:hAnsi="Arial" w:cs="Arial"/>
          <w:sz w:val="22"/>
          <w:szCs w:val="22"/>
          <w:lang w:val="en-GB" w:eastAsia="en-GB"/>
        </w:rPr>
      </w:pPr>
      <w:r w:rsidRPr="00866DF6">
        <w:rPr>
          <w:rFonts w:ascii="Arial" w:hAnsi="Arial" w:cs="Arial"/>
          <w:sz w:val="22"/>
          <w:szCs w:val="22"/>
          <w:u w:val="single"/>
          <w:lang w:val="en-GB" w:eastAsia="en-GB"/>
        </w:rPr>
        <w:t>Decides</w:t>
      </w:r>
      <w:r w:rsidRPr="00866DF6">
        <w:rPr>
          <w:rFonts w:ascii="Arial" w:hAnsi="Arial" w:cs="Arial"/>
          <w:sz w:val="22"/>
          <w:szCs w:val="22"/>
          <w:lang w:val="en-GB" w:eastAsia="en-GB"/>
        </w:rPr>
        <w:t xml:space="preserve"> that, from the information provided in file no. 01619, the request responds as follows to the criteria for granting International Assistance given in paragraphs 10 and 12 of the Operational Directives:</w:t>
      </w:r>
    </w:p>
    <w:p w14:paraId="647BDF4D" w14:textId="124DCF6A"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Criterion A.1</w:t>
      </w:r>
      <w:r w:rsidRPr="00866DF6">
        <w:rPr>
          <w:rFonts w:ascii="Arial" w:hAnsi="Arial" w:cs="Arial"/>
          <w:sz w:val="22"/>
          <w:szCs w:val="22"/>
          <w:lang w:val="en-GB" w:eastAsia="en-GB"/>
        </w:rPr>
        <w:t>: The request indicates the involvement of several Koryo celadon makers as well as of representatives of different institutions, such as the National Folklore Institute and the Korea National Heritage Preservation Agency, and various enterprises. They have participated in the design of the project and their regular participation is foreseen throughout its implementation, as well as in the monitoring and final evaluation of the project. The request also indicates that the active participation of community members is envisaged through a consultation process and their consent to the content of the book to be published as part of the project.</w:t>
      </w:r>
    </w:p>
    <w:p w14:paraId="7F326B4E" w14:textId="193BB682" w:rsidR="00D63F68" w:rsidRPr="00866DF6" w:rsidRDefault="00D63F68" w:rsidP="00D63F68">
      <w:pPr>
        <w:pStyle w:val="ListParagraph"/>
        <w:spacing w:before="120" w:after="120"/>
        <w:ind w:left="630"/>
        <w:contextualSpacing w:val="0"/>
        <w:jc w:val="both"/>
        <w:rPr>
          <w:rFonts w:ascii="Arial" w:hAnsi="Arial" w:cs="Arial"/>
          <w:sz w:val="22"/>
          <w:szCs w:val="22"/>
          <w:u w:val="single"/>
          <w:lang w:val="en-GB" w:eastAsia="en-GB"/>
        </w:rPr>
      </w:pPr>
      <w:r w:rsidRPr="00866DF6">
        <w:rPr>
          <w:rFonts w:ascii="Arial" w:hAnsi="Arial" w:cs="Arial"/>
          <w:b/>
          <w:sz w:val="22"/>
          <w:szCs w:val="22"/>
          <w:lang w:val="en-GB" w:eastAsia="en-GB"/>
        </w:rPr>
        <w:t>Criterion A.2</w:t>
      </w:r>
      <w:r w:rsidRPr="00866DF6">
        <w:rPr>
          <w:rFonts w:ascii="Arial" w:hAnsi="Arial" w:cs="Arial"/>
          <w:sz w:val="22"/>
          <w:szCs w:val="22"/>
          <w:lang w:val="en-GB" w:eastAsia="en-GB"/>
        </w:rPr>
        <w:t xml:space="preserve">: </w:t>
      </w:r>
      <w:r w:rsidRPr="00D12504">
        <w:rPr>
          <w:rFonts w:ascii="Arial" w:hAnsi="Arial" w:cs="Arial"/>
          <w:sz w:val="22"/>
          <w:szCs w:val="22"/>
          <w:lang w:val="en-GB" w:eastAsia="en-GB"/>
        </w:rPr>
        <w:t>In general, the budget is presented in a clear way. However, more detailed information could have been provided for certain items of expenditure, such as those related to field missions (activity 1) and the three-day workshop (activity 2).</w:t>
      </w:r>
    </w:p>
    <w:p w14:paraId="4C4B8379" w14:textId="7715A0C4"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Criterion A.3</w:t>
      </w:r>
      <w:r w:rsidRPr="00866DF6">
        <w:rPr>
          <w:rFonts w:ascii="Arial" w:hAnsi="Arial" w:cs="Arial"/>
          <w:sz w:val="22"/>
          <w:szCs w:val="22"/>
          <w:lang w:val="en-GB" w:eastAsia="en-GB"/>
        </w:rPr>
        <w:t>: The proposed activities are well-conceived in relation to the objectives and expected results of the project. They are formulated based on the initial measures undertaken by the government to safeguard the traditional Koryo celadon-making practice and are structured around an on-site investigation, a three-day capacity</w:t>
      </w:r>
      <w:r w:rsidR="008D079E">
        <w:rPr>
          <w:rFonts w:ascii="Arial" w:hAnsi="Arial" w:cs="Arial"/>
          <w:sz w:val="22"/>
          <w:szCs w:val="22"/>
          <w:lang w:val="en-GB" w:eastAsia="en-GB"/>
        </w:rPr>
        <w:t>-</w:t>
      </w:r>
      <w:r w:rsidRPr="00866DF6">
        <w:rPr>
          <w:rFonts w:ascii="Arial" w:hAnsi="Arial" w:cs="Arial"/>
          <w:sz w:val="22"/>
          <w:szCs w:val="22"/>
          <w:lang w:val="en-GB" w:eastAsia="en-GB"/>
        </w:rPr>
        <w:t>building training workshop for celadon makers and the analysis of the data collected with relevant partner organizations to seek appropriate solutions for enhanced safeguarding. Awareness-raising and outreach for the practice are envisaged through the production and dissemination of a book entitled ‘Time-honoured Koryo Celadon Traditions’. Furthermore, the project seems sufficiently long for the proposed activities to be implemented effectively.</w:t>
      </w:r>
    </w:p>
    <w:p w14:paraId="07FFA7C8" w14:textId="068159EE"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Criterion A.4</w:t>
      </w:r>
      <w:r w:rsidRPr="00866DF6">
        <w:rPr>
          <w:rFonts w:ascii="Arial" w:hAnsi="Arial" w:cs="Arial"/>
          <w:sz w:val="22"/>
          <w:szCs w:val="22"/>
          <w:lang w:val="en-GB" w:eastAsia="en-GB"/>
        </w:rPr>
        <w:t xml:space="preserve">: The activities to be undertaken within the framework of the project are expected to yield lasting results to allow for the continued practice of Koryo celadon making. Thanks to the increased knowledge and improved skill-sets of the </w:t>
      </w:r>
      <w:r w:rsidRPr="00D12504">
        <w:rPr>
          <w:rFonts w:ascii="Arial" w:hAnsi="Arial" w:cs="Arial"/>
          <w:sz w:val="22"/>
          <w:szCs w:val="22"/>
          <w:lang w:val="en-GB" w:eastAsia="en-GB"/>
        </w:rPr>
        <w:t>150</w:t>
      </w:r>
      <w:r w:rsidRPr="00866DF6">
        <w:rPr>
          <w:rFonts w:ascii="Arial" w:hAnsi="Arial" w:cs="Arial"/>
          <w:sz w:val="22"/>
          <w:szCs w:val="22"/>
          <w:lang w:val="en-GB" w:eastAsia="en-GB"/>
        </w:rPr>
        <w:t> participants in</w:t>
      </w:r>
      <w:r>
        <w:rPr>
          <w:rFonts w:ascii="Arial" w:hAnsi="Arial" w:cs="Arial"/>
          <w:sz w:val="22"/>
          <w:szCs w:val="22"/>
          <w:lang w:val="en-GB" w:eastAsia="en-GB"/>
        </w:rPr>
        <w:t xml:space="preserve"> </w:t>
      </w:r>
      <w:r w:rsidRPr="00D12504">
        <w:rPr>
          <w:rFonts w:ascii="Arial" w:hAnsi="Arial" w:cs="Arial"/>
          <w:sz w:val="22"/>
          <w:szCs w:val="22"/>
          <w:lang w:val="en-GB" w:eastAsia="en-GB"/>
        </w:rPr>
        <w:t>three</w:t>
      </w:r>
      <w:r w:rsidRPr="00866DF6">
        <w:rPr>
          <w:rFonts w:ascii="Arial" w:hAnsi="Arial" w:cs="Arial"/>
          <w:sz w:val="22"/>
          <w:szCs w:val="22"/>
          <w:lang w:val="en-GB" w:eastAsia="en-GB"/>
        </w:rPr>
        <w:t xml:space="preserve"> </w:t>
      </w:r>
      <w:r w:rsidRPr="003A607D">
        <w:rPr>
          <w:rFonts w:ascii="Arial" w:hAnsi="Arial" w:cs="Arial"/>
          <w:sz w:val="22"/>
          <w:szCs w:val="22"/>
          <w:lang w:val="en-GB" w:eastAsia="en-GB"/>
        </w:rPr>
        <w:t>three</w:t>
      </w:r>
      <w:r w:rsidRPr="00D12504">
        <w:rPr>
          <w:rFonts w:ascii="Arial" w:hAnsi="Arial" w:cs="Arial"/>
          <w:sz w:val="22"/>
          <w:szCs w:val="22"/>
          <w:lang w:val="en-GB" w:eastAsia="en-GB"/>
        </w:rPr>
        <w:t>-</w:t>
      </w:r>
      <w:r w:rsidRPr="00701DAE">
        <w:rPr>
          <w:rFonts w:ascii="Arial" w:hAnsi="Arial" w:cs="Arial"/>
          <w:sz w:val="22"/>
          <w:szCs w:val="22"/>
          <w:lang w:val="en-GB" w:eastAsia="en-GB"/>
        </w:rPr>
        <w:t>day</w:t>
      </w:r>
      <w:r w:rsidRPr="00866DF6">
        <w:rPr>
          <w:rFonts w:ascii="Arial" w:hAnsi="Arial" w:cs="Arial"/>
          <w:sz w:val="22"/>
          <w:szCs w:val="22"/>
          <w:lang w:val="en-GB" w:eastAsia="en-GB"/>
        </w:rPr>
        <w:t xml:space="preserve"> workshop</w:t>
      </w:r>
      <w:r w:rsidRPr="00D12504">
        <w:rPr>
          <w:rFonts w:ascii="Arial" w:hAnsi="Arial" w:cs="Arial"/>
          <w:sz w:val="22"/>
          <w:szCs w:val="22"/>
          <w:lang w:val="en-GB" w:eastAsia="en-GB"/>
        </w:rPr>
        <w:t>s</w:t>
      </w:r>
      <w:r w:rsidRPr="00866DF6">
        <w:rPr>
          <w:rFonts w:ascii="Arial" w:hAnsi="Arial" w:cs="Arial"/>
          <w:sz w:val="22"/>
          <w:szCs w:val="22"/>
          <w:lang w:val="en-GB" w:eastAsia="en-GB"/>
        </w:rPr>
        <w:t>, it will also be possible to raise awareness among community members about the importance of safeguarding traditions of living heritage in general and of Koryo celadon making in particular. Furthermore, the results of the on-site investigation will allow the implementing agency and its partner organization to devise effective measures for the safeguarding of living heritage.</w:t>
      </w:r>
    </w:p>
    <w:p w14:paraId="75D44991" w14:textId="1B0B6E33"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Criterion A.5</w:t>
      </w:r>
      <w:r w:rsidRPr="00866DF6">
        <w:rPr>
          <w:rFonts w:ascii="Arial" w:hAnsi="Arial" w:cs="Arial"/>
          <w:sz w:val="22"/>
          <w:szCs w:val="22"/>
          <w:lang w:val="en-GB" w:eastAsia="en-GB"/>
        </w:rPr>
        <w:t xml:space="preserve">: The requesting State will share </w:t>
      </w:r>
      <w:r w:rsidRPr="00D12504">
        <w:rPr>
          <w:rFonts w:ascii="Arial" w:hAnsi="Arial" w:cs="Arial"/>
          <w:sz w:val="22"/>
          <w:szCs w:val="22"/>
          <w:lang w:val="en-GB" w:eastAsia="en-GB"/>
        </w:rPr>
        <w:t>22</w:t>
      </w:r>
      <w:r w:rsidRPr="00866DF6">
        <w:rPr>
          <w:rFonts w:ascii="Arial" w:hAnsi="Arial" w:cs="Arial"/>
          <w:sz w:val="22"/>
          <w:szCs w:val="22"/>
          <w:lang w:val="en-GB" w:eastAsia="en-GB"/>
        </w:rPr>
        <w:t xml:space="preserve"> per cent of the overall budget of the project for which International Assistance is requested from the Intangible Cultural Heritage Fund.</w:t>
      </w:r>
    </w:p>
    <w:p w14:paraId="6C173C6E" w14:textId="13CADB0B"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Criterion A.6</w:t>
      </w:r>
      <w:r w:rsidRPr="00866DF6">
        <w:rPr>
          <w:rFonts w:ascii="Arial" w:hAnsi="Arial" w:cs="Arial"/>
          <w:sz w:val="22"/>
          <w:szCs w:val="22"/>
          <w:lang w:val="en-GB" w:eastAsia="en-GB"/>
        </w:rPr>
        <w:t>: Through three-day capacity</w:t>
      </w:r>
      <w:r w:rsidR="008D079E">
        <w:rPr>
          <w:rFonts w:ascii="Arial" w:hAnsi="Arial" w:cs="Arial"/>
          <w:sz w:val="22"/>
          <w:szCs w:val="22"/>
          <w:lang w:val="en-GB" w:eastAsia="en-GB"/>
        </w:rPr>
        <w:t>-</w:t>
      </w:r>
      <w:r w:rsidRPr="00866DF6">
        <w:rPr>
          <w:rFonts w:ascii="Arial" w:hAnsi="Arial" w:cs="Arial"/>
          <w:sz w:val="22"/>
          <w:szCs w:val="22"/>
          <w:lang w:val="en-GB" w:eastAsia="en-GB"/>
        </w:rPr>
        <w:t>building workshop</w:t>
      </w:r>
      <w:r w:rsidRPr="008D079E">
        <w:rPr>
          <w:rFonts w:ascii="Arial" w:hAnsi="Arial" w:cs="Arial"/>
          <w:sz w:val="22"/>
          <w:szCs w:val="22"/>
          <w:lang w:val="en-GB" w:eastAsia="en-GB"/>
        </w:rPr>
        <w:t>s</w:t>
      </w:r>
      <w:r w:rsidRPr="00866DF6">
        <w:rPr>
          <w:rFonts w:ascii="Arial" w:hAnsi="Arial" w:cs="Arial"/>
          <w:sz w:val="22"/>
          <w:szCs w:val="22"/>
          <w:lang w:val="en-GB" w:eastAsia="en-GB"/>
        </w:rPr>
        <w:t xml:space="preserve"> targeted at specialists, researchers and community members, the project aims to reinforce capacities in the field of intangible cultural heritage at two different levels. At the community level, practitioners will become sensitized to the Koryo celadon-making practice as well as to its social and cultural importance. At the institutional level, the project beneficiaries, including the staff of the Academy of Social Sciences, are expected to enhance their research and analytical skills in relation not only to the Koryo celadon practice</w:t>
      </w:r>
      <w:r w:rsidR="008D079E">
        <w:rPr>
          <w:rFonts w:ascii="Arial" w:hAnsi="Arial" w:cs="Arial"/>
          <w:sz w:val="22"/>
          <w:szCs w:val="22"/>
          <w:lang w:val="en-GB" w:eastAsia="en-GB"/>
        </w:rPr>
        <w:t>,</w:t>
      </w:r>
      <w:r w:rsidRPr="00866DF6">
        <w:rPr>
          <w:rFonts w:ascii="Arial" w:hAnsi="Arial" w:cs="Arial"/>
          <w:sz w:val="22"/>
          <w:szCs w:val="22"/>
          <w:lang w:val="en-GB" w:eastAsia="en-GB"/>
        </w:rPr>
        <w:t xml:space="preserve"> but also to the safeguarding of intangible cultural heritage in general.</w:t>
      </w:r>
    </w:p>
    <w:p w14:paraId="5276326F" w14:textId="77777777"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Criterion A.7</w:t>
      </w:r>
      <w:r w:rsidRPr="00866DF6">
        <w:rPr>
          <w:rFonts w:ascii="Arial" w:hAnsi="Arial" w:cs="Arial"/>
          <w:sz w:val="22"/>
          <w:szCs w:val="22"/>
          <w:lang w:val="en-GB" w:eastAsia="en-GB"/>
        </w:rPr>
        <w:t>: The Democratic People’s Republic of Korea has benefited from International Assistance from the Intangible Cultural Heritage Fund once, for the project entitled ‘Strengthening the capacities of the Democratic People’s Republic of Korea for community-based inventorying of intangible cultural heritage and for elaborating nomination files under the mechanisms of the 2003 Convention’ (file no. 01444, 2018–2019, US$98,000). The project was carried out in compliance with UNESCO’s regulations and completed within the proposed timeframe.</w:t>
      </w:r>
    </w:p>
    <w:p w14:paraId="1B79AA83" w14:textId="77777777"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Paragraph 10(a)</w:t>
      </w:r>
      <w:r w:rsidRPr="00866DF6">
        <w:rPr>
          <w:rFonts w:ascii="Arial" w:hAnsi="Arial" w:cs="Arial"/>
          <w:sz w:val="22"/>
          <w:szCs w:val="22"/>
          <w:lang w:val="en-GB" w:eastAsia="en-GB"/>
        </w:rPr>
        <w:t>: The project is national in scope and its implementation involves a wide range of national and local partners, including the Academy of Social Sciences, the National Commission of the Democratic People’s Republic of Korea for UNESCO, the Sci-tech Complex, Pyongyang University of Fine Arts, the Social Science Publishing House and the communities of Koryo celadon makers.</w:t>
      </w:r>
    </w:p>
    <w:p w14:paraId="258F236E" w14:textId="77777777" w:rsidR="00D63F68" w:rsidRPr="00866DF6" w:rsidRDefault="00D63F68" w:rsidP="00D63F68">
      <w:pPr>
        <w:spacing w:before="120" w:after="120"/>
        <w:ind w:left="630"/>
        <w:jc w:val="both"/>
        <w:rPr>
          <w:rFonts w:ascii="Arial" w:hAnsi="Arial" w:cs="Arial"/>
          <w:sz w:val="22"/>
          <w:szCs w:val="22"/>
          <w:lang w:val="en-GB" w:eastAsia="en-GB"/>
        </w:rPr>
      </w:pPr>
      <w:r w:rsidRPr="00866DF6">
        <w:rPr>
          <w:rFonts w:ascii="Arial" w:hAnsi="Arial" w:cs="Arial"/>
          <w:b/>
          <w:sz w:val="22"/>
          <w:szCs w:val="22"/>
          <w:lang w:val="en-GB" w:eastAsia="en-GB"/>
        </w:rPr>
        <w:t>Paragraph 10(b)</w:t>
      </w:r>
      <w:r w:rsidRPr="00866DF6">
        <w:rPr>
          <w:rFonts w:ascii="Arial" w:hAnsi="Arial" w:cs="Arial"/>
          <w:sz w:val="22"/>
          <w:szCs w:val="22"/>
          <w:lang w:val="en-GB" w:eastAsia="en-GB"/>
        </w:rPr>
        <w:t>: The project is expected to stimulate the research, safeguarding and dissemination of information on intangible cultural heritage. This is expected to trigger additional contributions from various organizations working in the field of the safeguarding of intangible cultural heritage. Furthermore, if successful, the project could be used as a model that could be replicated for safeguarding other expressions of living heritage present in the State.</w:t>
      </w:r>
    </w:p>
    <w:p w14:paraId="7F4F0381" w14:textId="3562A93A" w:rsidR="00D63F68" w:rsidRPr="00866DF6" w:rsidRDefault="00D63F68" w:rsidP="00D63F68">
      <w:pPr>
        <w:keepLines/>
        <w:numPr>
          <w:ilvl w:val="0"/>
          <w:numId w:val="19"/>
        </w:numPr>
        <w:autoSpaceDE w:val="0"/>
        <w:autoSpaceDN w:val="0"/>
        <w:adjustRightInd w:val="0"/>
        <w:spacing w:before="120" w:after="120"/>
        <w:ind w:left="630" w:hanging="567"/>
        <w:jc w:val="both"/>
        <w:rPr>
          <w:rFonts w:ascii="Arial" w:eastAsia="SimSun" w:hAnsi="Arial" w:cs="Arial"/>
          <w:sz w:val="22"/>
          <w:szCs w:val="22"/>
          <w:u w:val="single"/>
          <w:lang w:val="en-GB" w:eastAsia="en-GB"/>
        </w:rPr>
      </w:pPr>
      <w:r w:rsidRPr="00866DF6">
        <w:rPr>
          <w:rFonts w:ascii="Arial" w:eastAsia="SimSun" w:hAnsi="Arial" w:cs="Arial"/>
          <w:sz w:val="22"/>
          <w:szCs w:val="22"/>
          <w:u w:val="single"/>
          <w:lang w:val="en-GB" w:eastAsia="en-GB"/>
        </w:rPr>
        <w:t>Approves</w:t>
      </w:r>
      <w:r w:rsidRPr="00866DF6">
        <w:rPr>
          <w:rFonts w:ascii="Arial" w:eastAsia="SimSun" w:hAnsi="Arial" w:cs="Arial"/>
          <w:sz w:val="22"/>
          <w:szCs w:val="22"/>
          <w:lang w:val="en-GB" w:eastAsia="en-GB"/>
        </w:rPr>
        <w:t xml:space="preserve"> the International Assistance request from the Democratic People’s Republic of </w:t>
      </w:r>
      <w:r w:rsidRPr="00D12504">
        <w:rPr>
          <w:rFonts w:ascii="Arial" w:hAnsi="Arial" w:cs="Arial"/>
          <w:sz w:val="22"/>
          <w:szCs w:val="22"/>
          <w:lang w:val="en-GB" w:eastAsia="en-GB"/>
        </w:rPr>
        <w:t xml:space="preserve">Korea, as </w:t>
      </w:r>
      <w:r w:rsidRPr="00D12504">
        <w:rPr>
          <w:rFonts w:ascii="Arial" w:eastAsia="SimSun" w:hAnsi="Arial" w:cs="Arial"/>
          <w:sz w:val="22"/>
          <w:szCs w:val="22"/>
          <w:lang w:val="en-GB" w:eastAsia="en-GB"/>
        </w:rPr>
        <w:t>revised,</w:t>
      </w:r>
      <w:r w:rsidRPr="00866DF6">
        <w:rPr>
          <w:rFonts w:ascii="Arial" w:eastAsia="SimSun" w:hAnsi="Arial" w:cs="Arial"/>
          <w:sz w:val="22"/>
          <w:szCs w:val="22"/>
          <w:lang w:val="en-GB" w:eastAsia="en-GB"/>
        </w:rPr>
        <w:t xml:space="preserve"> for the project entitled </w:t>
      </w:r>
      <w:r w:rsidRPr="00866DF6">
        <w:rPr>
          <w:rFonts w:ascii="Arial" w:eastAsia="SimSun" w:hAnsi="Arial" w:cs="Arial"/>
          <w:b/>
          <w:bCs/>
          <w:sz w:val="22"/>
          <w:szCs w:val="22"/>
          <w:lang w:val="en-GB" w:eastAsia="en-GB"/>
        </w:rPr>
        <w:t>Capacity Building on Traditional Koryo Celadon Making practice</w:t>
      </w:r>
      <w:r w:rsidRPr="00866DF6">
        <w:rPr>
          <w:rFonts w:ascii="Arial" w:eastAsia="SimSun" w:hAnsi="Arial" w:cs="Arial"/>
          <w:sz w:val="22"/>
          <w:szCs w:val="22"/>
          <w:lang w:val="en-GB" w:eastAsia="en-GB"/>
        </w:rPr>
        <w:t xml:space="preserve"> and </w:t>
      </w:r>
      <w:r w:rsidRPr="00866DF6">
        <w:rPr>
          <w:rFonts w:ascii="Arial" w:eastAsia="SimSun" w:hAnsi="Arial" w:cs="Arial"/>
          <w:sz w:val="22"/>
          <w:szCs w:val="22"/>
          <w:u w:val="single"/>
          <w:lang w:val="en-GB" w:eastAsia="en-GB"/>
        </w:rPr>
        <w:t>grants</w:t>
      </w:r>
      <w:r w:rsidRPr="00866DF6">
        <w:rPr>
          <w:rFonts w:ascii="Arial" w:eastAsia="SimSun" w:hAnsi="Arial" w:cs="Arial"/>
          <w:sz w:val="22"/>
          <w:szCs w:val="22"/>
          <w:lang w:val="en-GB" w:eastAsia="en-GB"/>
        </w:rPr>
        <w:t xml:space="preserve"> the amount </w:t>
      </w:r>
      <w:r w:rsidRPr="00D12504">
        <w:rPr>
          <w:rFonts w:ascii="Arial" w:eastAsia="SimSun" w:hAnsi="Arial" w:cs="Arial"/>
          <w:sz w:val="22"/>
          <w:szCs w:val="22"/>
          <w:lang w:val="en-GB" w:eastAsia="en-GB"/>
        </w:rPr>
        <w:t>of US$41,767 to the</w:t>
      </w:r>
      <w:r w:rsidRPr="00866DF6">
        <w:rPr>
          <w:rFonts w:ascii="Arial" w:eastAsia="SimSun" w:hAnsi="Arial" w:cs="Arial"/>
          <w:sz w:val="22"/>
          <w:szCs w:val="22"/>
          <w:lang w:val="en-GB" w:eastAsia="en-GB"/>
        </w:rPr>
        <w:t xml:space="preserve"> State Party to this end;</w:t>
      </w:r>
    </w:p>
    <w:p w14:paraId="1546762F" w14:textId="77777777" w:rsidR="00D63F68" w:rsidRPr="00866DF6" w:rsidRDefault="00D63F68" w:rsidP="00D63F68">
      <w:pPr>
        <w:numPr>
          <w:ilvl w:val="0"/>
          <w:numId w:val="19"/>
        </w:numPr>
        <w:autoSpaceDE w:val="0"/>
        <w:autoSpaceDN w:val="0"/>
        <w:adjustRightInd w:val="0"/>
        <w:spacing w:before="120" w:after="120"/>
        <w:ind w:left="630" w:hanging="567"/>
        <w:jc w:val="both"/>
        <w:rPr>
          <w:rFonts w:ascii="Arial" w:eastAsia="SimSun" w:hAnsi="Arial" w:cs="Arial"/>
          <w:sz w:val="22"/>
          <w:szCs w:val="22"/>
          <w:u w:val="single"/>
          <w:lang w:val="en-GB" w:eastAsia="en-GB"/>
        </w:rPr>
      </w:pPr>
      <w:r w:rsidRPr="00866DF6">
        <w:rPr>
          <w:rFonts w:ascii="Arial" w:eastAsia="SimSun" w:hAnsi="Arial" w:cs="Arial"/>
          <w:sz w:val="22"/>
          <w:szCs w:val="22"/>
          <w:u w:val="single"/>
          <w:lang w:val="en-GB" w:eastAsia="en-GB"/>
        </w:rPr>
        <w:t>Requests</w:t>
      </w:r>
      <w:r w:rsidRPr="00866DF6">
        <w:rPr>
          <w:rFonts w:ascii="Arial" w:eastAsia="SimSun" w:hAnsi="Arial" w:cs="Arial"/>
          <w:sz w:val="22"/>
          <w:szCs w:val="22"/>
          <w:lang w:val="en-GB" w:eastAsia="en-GB"/>
        </w:rPr>
        <w:t xml:space="preserve"> that the Secretariat reach an agreement with the requesting State Party on the technical details of the assistance, paying particular attention to ensuring that the budget of all the activities to be covered by the Intangible Cultural Heritage Fund is sufficiently detailed;</w:t>
      </w:r>
    </w:p>
    <w:p w14:paraId="4B30A88A" w14:textId="77777777" w:rsidR="00D63F68" w:rsidRPr="00866DF6" w:rsidRDefault="00D63F68" w:rsidP="00D63F68">
      <w:pPr>
        <w:numPr>
          <w:ilvl w:val="0"/>
          <w:numId w:val="19"/>
        </w:numPr>
        <w:autoSpaceDE w:val="0"/>
        <w:autoSpaceDN w:val="0"/>
        <w:adjustRightInd w:val="0"/>
        <w:spacing w:before="120" w:after="120"/>
        <w:ind w:left="630" w:hanging="567"/>
        <w:jc w:val="both"/>
        <w:rPr>
          <w:lang w:val="en-GB"/>
        </w:rPr>
      </w:pPr>
      <w:r w:rsidRPr="00866DF6">
        <w:rPr>
          <w:rFonts w:ascii="Arial" w:eastAsia="SimSun" w:hAnsi="Arial" w:cs="Arial"/>
          <w:sz w:val="22"/>
          <w:szCs w:val="22"/>
          <w:u w:val="single"/>
          <w:lang w:val="en-GB" w:eastAsia="en-GB"/>
        </w:rPr>
        <w:t>Invites</w:t>
      </w:r>
      <w:r w:rsidRPr="00866DF6">
        <w:rPr>
          <w:rFonts w:ascii="Arial" w:eastAsia="SimSun" w:hAnsi="Arial" w:cs="Arial"/>
          <w:sz w:val="22"/>
          <w:szCs w:val="22"/>
          <w:lang w:val="en-GB" w:eastAsia="en-GB"/>
        </w:rPr>
        <w:t xml:space="preserve"> the State Party to use Form ICH-04 Report when reporting on the use of the assistance provided.</w:t>
      </w:r>
    </w:p>
    <w:p w14:paraId="499C58C3" w14:textId="4D887A2A" w:rsidR="00D63F68" w:rsidRPr="001A621C" w:rsidRDefault="00D63F68" w:rsidP="00D63F68">
      <w:pPr>
        <w:pStyle w:val="COMTitleDecision"/>
        <w:ind w:left="0"/>
      </w:pPr>
      <w:r>
        <w:t>DECISION 17.COM</w:t>
      </w:r>
      <w:r>
        <w:rPr>
          <w:lang w:val="en-US"/>
        </w:rPr>
        <w:t> 4</w:t>
      </w:r>
      <w:r w:rsidRPr="0080497A">
        <w:t>.</w:t>
      </w:r>
      <w:r w:rsidRPr="000363E7">
        <w:t>BUR </w:t>
      </w:r>
      <w:r>
        <w:t>4</w:t>
      </w:r>
    </w:p>
    <w:p w14:paraId="0E06055D" w14:textId="77777777" w:rsidR="00D63F68" w:rsidRPr="00285BB4" w:rsidRDefault="00D63F68" w:rsidP="00D63F68">
      <w:pPr>
        <w:pStyle w:val="COMPreambulaDecisions"/>
        <w:ind w:left="0"/>
        <w:rPr>
          <w:rFonts w:eastAsia="SimSun"/>
        </w:rPr>
      </w:pPr>
      <w:r w:rsidRPr="00285BB4">
        <w:t xml:space="preserve">The </w:t>
      </w:r>
      <w:r>
        <w:t>Bureau</w:t>
      </w:r>
      <w:r w:rsidRPr="00285BB4">
        <w:t>,</w:t>
      </w:r>
    </w:p>
    <w:p w14:paraId="18087011" w14:textId="52BABD61" w:rsidR="00D63F68" w:rsidRPr="00345CB4" w:rsidRDefault="00D63F68" w:rsidP="008752C5">
      <w:pPr>
        <w:pStyle w:val="COMParaDecision"/>
        <w:numPr>
          <w:ilvl w:val="0"/>
          <w:numId w:val="22"/>
        </w:numPr>
        <w:ind w:left="630" w:hanging="540"/>
      </w:pPr>
      <w:r w:rsidRPr="00345CB4">
        <w:t>Having examined</w:t>
      </w:r>
      <w:r w:rsidRPr="00D63F68">
        <w:rPr>
          <w:u w:val="none"/>
        </w:rPr>
        <w:t xml:space="preserve"> document </w:t>
      </w:r>
      <w:hyperlink r:id="rId15" w:history="1">
        <w:r w:rsidRPr="00972339">
          <w:rPr>
            <w:rStyle w:val="Hyperlink"/>
            <w:lang w:eastAsia="fr-FR"/>
          </w:rPr>
          <w:t>LHE/22/17.COM</w:t>
        </w:r>
        <w:r w:rsidRPr="00972339">
          <w:rPr>
            <w:rStyle w:val="Hyperlink"/>
            <w:lang w:val="en-US" w:eastAsia="fr-FR"/>
          </w:rPr>
          <w:t> 4</w:t>
        </w:r>
        <w:r w:rsidRPr="00972339">
          <w:rPr>
            <w:rStyle w:val="Hyperlink"/>
            <w:lang w:eastAsia="fr-FR"/>
          </w:rPr>
          <w:t>.BUR/4</w:t>
        </w:r>
      </w:hyperlink>
      <w:r w:rsidRPr="00D63F68">
        <w:rPr>
          <w:u w:val="none"/>
        </w:rPr>
        <w:t>,</w:t>
      </w:r>
    </w:p>
    <w:p w14:paraId="16C00742" w14:textId="77777777" w:rsidR="00D63F68" w:rsidRPr="00345CB4" w:rsidRDefault="00D63F68" w:rsidP="00D63F68">
      <w:pPr>
        <w:pStyle w:val="COMParaDecision"/>
        <w:ind w:left="630"/>
      </w:pPr>
      <w:r w:rsidRPr="00345CB4">
        <w:t>Recallin</w:t>
      </w:r>
      <w:r>
        <w:t>g</w:t>
      </w:r>
      <w:r w:rsidRPr="00517FD8">
        <w:rPr>
          <w:u w:val="none"/>
        </w:rPr>
        <w:t xml:space="preserve"> </w:t>
      </w:r>
      <w:r w:rsidRPr="00322283">
        <w:rPr>
          <w:u w:val="none"/>
        </w:rPr>
        <w:t>Decision</w:t>
      </w:r>
      <w:r>
        <w:rPr>
          <w:u w:val="none"/>
        </w:rPr>
        <w:t>s</w:t>
      </w:r>
      <w:r w:rsidRPr="00322283">
        <w:rPr>
          <w:u w:val="none"/>
        </w:rPr>
        <w:t xml:space="preserve"> </w:t>
      </w:r>
      <w:hyperlink r:id="rId16" w:history="1">
        <w:r w:rsidRPr="00322283">
          <w:rPr>
            <w:rStyle w:val="Hyperlink"/>
          </w:rPr>
          <w:t>16.COM</w:t>
        </w:r>
        <w:r>
          <w:rPr>
            <w:rStyle w:val="Hyperlink"/>
          </w:rPr>
          <w:t> </w:t>
        </w:r>
        <w:r w:rsidRPr="00322283">
          <w:rPr>
            <w:rStyle w:val="Hyperlink"/>
          </w:rPr>
          <w:t>17</w:t>
        </w:r>
      </w:hyperlink>
      <w:r w:rsidRPr="00B87189">
        <w:rPr>
          <w:u w:val="none"/>
        </w:rPr>
        <w:t xml:space="preserve"> </w:t>
      </w:r>
      <w:r w:rsidRPr="00AA264D">
        <w:rPr>
          <w:u w:val="none"/>
        </w:rPr>
        <w:t xml:space="preserve">and </w:t>
      </w:r>
      <w:hyperlink r:id="rId17" w:history="1">
        <w:r w:rsidRPr="003C0DFC">
          <w:rPr>
            <w:rStyle w:val="Hyperlink"/>
          </w:rPr>
          <w:t>17.COM 1.BUR 4</w:t>
        </w:r>
      </w:hyperlink>
      <w:r w:rsidRPr="00F32C23">
        <w:rPr>
          <w:u w:val="none"/>
        </w:rPr>
        <w:t>,</w:t>
      </w:r>
    </w:p>
    <w:p w14:paraId="5FE3229A" w14:textId="77777777" w:rsidR="00D63F68" w:rsidRPr="00345CB4" w:rsidRDefault="00D63F68" w:rsidP="00D63F68">
      <w:pPr>
        <w:pStyle w:val="COMParaDecision"/>
        <w:ind w:left="630"/>
      </w:pPr>
      <w:r>
        <w:t>Further recalling</w:t>
      </w:r>
      <w:r>
        <w:rPr>
          <w:u w:val="none"/>
        </w:rPr>
        <w:t xml:space="preserve"> </w:t>
      </w:r>
      <w:r w:rsidRPr="00367979">
        <w:rPr>
          <w:rFonts w:eastAsiaTheme="minorEastAsia" w:hint="eastAsia"/>
          <w:u w:val="none"/>
          <w:lang w:eastAsia="ko-KR"/>
        </w:rPr>
        <w:t>Rule 4.1 of the Rules of Procedure of the Committee</w:t>
      </w:r>
      <w:r w:rsidRPr="00F32C23">
        <w:rPr>
          <w:u w:val="none"/>
        </w:rPr>
        <w:t>,</w:t>
      </w:r>
    </w:p>
    <w:p w14:paraId="27B34D8E" w14:textId="77777777" w:rsidR="00D63F68" w:rsidRPr="0037280A" w:rsidRDefault="00D63F68" w:rsidP="00D63F68">
      <w:pPr>
        <w:pStyle w:val="COMParaDecision"/>
        <w:ind w:left="630"/>
        <w:rPr>
          <w:u w:val="none"/>
        </w:rPr>
      </w:pPr>
      <w:r w:rsidRPr="004C615C">
        <w:rPr>
          <w:rFonts w:eastAsiaTheme="minorEastAsia"/>
          <w:lang w:eastAsia="ko-KR"/>
        </w:rPr>
        <w:t>Expresses its appreciation</w:t>
      </w:r>
      <w:r w:rsidRPr="00F32C23">
        <w:rPr>
          <w:u w:val="none"/>
        </w:rPr>
        <w:t xml:space="preserve"> </w:t>
      </w:r>
      <w:r w:rsidRPr="0037280A">
        <w:rPr>
          <w:u w:val="none"/>
        </w:rPr>
        <w:t xml:space="preserve">to </w:t>
      </w:r>
      <w:r>
        <w:rPr>
          <w:u w:val="none"/>
        </w:rPr>
        <w:t>Morocco</w:t>
      </w:r>
      <w:r w:rsidRPr="0037280A">
        <w:rPr>
          <w:u w:val="none"/>
        </w:rPr>
        <w:t xml:space="preserve"> for its offer to host the s</w:t>
      </w:r>
      <w:r>
        <w:rPr>
          <w:u w:val="none"/>
        </w:rPr>
        <w:t>even</w:t>
      </w:r>
      <w:r w:rsidRPr="0037280A">
        <w:rPr>
          <w:u w:val="none"/>
        </w:rPr>
        <w:t>teenth session of the Committee</w:t>
      </w:r>
      <w:r>
        <w:rPr>
          <w:u w:val="none"/>
        </w:rPr>
        <w:t>;</w:t>
      </w:r>
    </w:p>
    <w:p w14:paraId="24B311BC" w14:textId="77777777" w:rsidR="00D63F68" w:rsidRPr="00E7403B" w:rsidRDefault="00D63F68" w:rsidP="00D63F68">
      <w:pPr>
        <w:pStyle w:val="COMParaDecision"/>
        <w:ind w:left="630"/>
      </w:pPr>
      <w:r w:rsidRPr="00345CB4">
        <w:t>Decides</w:t>
      </w:r>
      <w:r w:rsidRPr="003C7F37">
        <w:rPr>
          <w:u w:val="none"/>
        </w:rPr>
        <w:t xml:space="preserve"> </w:t>
      </w:r>
      <w:r w:rsidRPr="00367979">
        <w:rPr>
          <w:u w:val="none"/>
        </w:rPr>
        <w:t xml:space="preserve">to hold the seventeenth session of the Committee in </w:t>
      </w:r>
      <w:r>
        <w:rPr>
          <w:u w:val="none"/>
        </w:rPr>
        <w:t>Rabat, Morocco</w:t>
      </w:r>
      <w:r w:rsidRPr="00367979">
        <w:rPr>
          <w:u w:val="none"/>
        </w:rPr>
        <w:t xml:space="preserve"> </w:t>
      </w:r>
      <w:r>
        <w:rPr>
          <w:u w:val="none"/>
        </w:rPr>
        <w:t xml:space="preserve">from 28 November </w:t>
      </w:r>
      <w:r w:rsidRPr="00251378">
        <w:rPr>
          <w:u w:val="none"/>
        </w:rPr>
        <w:t xml:space="preserve">to </w:t>
      </w:r>
      <w:r>
        <w:rPr>
          <w:u w:val="none"/>
        </w:rPr>
        <w:t>3 </w:t>
      </w:r>
      <w:r w:rsidRPr="00251378">
        <w:rPr>
          <w:u w:val="none"/>
        </w:rPr>
        <w:t>December 20</w:t>
      </w:r>
      <w:r>
        <w:rPr>
          <w:u w:val="none"/>
        </w:rPr>
        <w:t>22</w:t>
      </w:r>
      <w:r w:rsidRPr="00251378">
        <w:rPr>
          <w:u w:val="none"/>
        </w:rPr>
        <w:t>.</w:t>
      </w:r>
    </w:p>
    <w:p w14:paraId="66245471" w14:textId="638ED645" w:rsidR="00D63F68" w:rsidRPr="00D63F68" w:rsidRDefault="00D63F68" w:rsidP="00D63F68">
      <w:pPr>
        <w:pStyle w:val="COMTitleDecision"/>
        <w:ind w:left="0"/>
      </w:pPr>
      <w:r w:rsidRPr="00880BF5">
        <w:t>DECISION 17.COM</w:t>
      </w:r>
      <w:r w:rsidRPr="00D63F68">
        <w:t> 4</w:t>
      </w:r>
      <w:r w:rsidRPr="00880BF5">
        <w:t>.BUR 5</w:t>
      </w:r>
    </w:p>
    <w:p w14:paraId="1AC863F8" w14:textId="77777777" w:rsidR="00D63F68" w:rsidRPr="00D63F68" w:rsidRDefault="00D63F68" w:rsidP="00D63F68">
      <w:pPr>
        <w:pStyle w:val="COMPreambulaDecisions"/>
        <w:ind w:left="0"/>
      </w:pPr>
      <w:r w:rsidRPr="00880BF5">
        <w:t>The Bureau,</w:t>
      </w:r>
    </w:p>
    <w:p w14:paraId="14AFF0AC" w14:textId="27950C30" w:rsidR="00D63F68" w:rsidRPr="00880BF5" w:rsidRDefault="00D63F68" w:rsidP="00D63F68">
      <w:pPr>
        <w:pStyle w:val="COMParaDecision"/>
        <w:numPr>
          <w:ilvl w:val="0"/>
          <w:numId w:val="21"/>
        </w:numPr>
        <w:ind w:left="630" w:hanging="567"/>
      </w:pPr>
      <w:r w:rsidRPr="00880BF5">
        <w:t>Having examined</w:t>
      </w:r>
      <w:r w:rsidRPr="00880BF5">
        <w:rPr>
          <w:u w:val="none"/>
        </w:rPr>
        <w:t xml:space="preserve"> document </w:t>
      </w:r>
      <w:hyperlink r:id="rId18" w:history="1">
        <w:r w:rsidRPr="00972339">
          <w:rPr>
            <w:rStyle w:val="Hyperlink"/>
            <w:lang w:eastAsia="fr-FR"/>
          </w:rPr>
          <w:t>LHE/22/17.COM</w:t>
        </w:r>
        <w:r w:rsidRPr="00972339">
          <w:rPr>
            <w:rStyle w:val="Hyperlink"/>
            <w:lang w:val="en-US" w:eastAsia="fr-FR"/>
          </w:rPr>
          <w:t> 4</w:t>
        </w:r>
        <w:r w:rsidRPr="00972339">
          <w:rPr>
            <w:rStyle w:val="Hyperlink"/>
            <w:lang w:eastAsia="fr-FR"/>
          </w:rPr>
          <w:t>.BUR/5</w:t>
        </w:r>
      </w:hyperlink>
      <w:r w:rsidRPr="00880BF5">
        <w:rPr>
          <w:u w:val="none"/>
        </w:rPr>
        <w:t xml:space="preserve"> and its Annex,</w:t>
      </w:r>
    </w:p>
    <w:p w14:paraId="3CB0A637" w14:textId="77777777" w:rsidR="00D63F68" w:rsidRPr="00880BF5" w:rsidRDefault="00D63F68" w:rsidP="00D63F68">
      <w:pPr>
        <w:pStyle w:val="COMParaDecision"/>
        <w:numPr>
          <w:ilvl w:val="0"/>
          <w:numId w:val="21"/>
        </w:numPr>
        <w:ind w:left="630" w:hanging="567"/>
      </w:pPr>
      <w:r w:rsidRPr="00880BF5">
        <w:t>Takes note</w:t>
      </w:r>
      <w:r w:rsidRPr="00880BF5">
        <w:rPr>
          <w:u w:val="none"/>
        </w:rPr>
        <w:t xml:space="preserve"> of the additional information provided by Ukraine, particularly as regards inscription criteria U.2(b) and U.6, in relation to its request to examine the nomination ‘Culture of Ukrainian borscht cooking’ for inscription on the List of Intangible Cultural Heritage in Need of Urgent Safeguarding as a case of extreme urgency in line with Article 17.3 of the Convention;</w:t>
      </w:r>
    </w:p>
    <w:p w14:paraId="5FE55A81" w14:textId="77777777" w:rsidR="00D63F68" w:rsidRPr="00880BF5" w:rsidRDefault="00D63F68" w:rsidP="00D63F68">
      <w:pPr>
        <w:pStyle w:val="COMParaDecision"/>
        <w:numPr>
          <w:ilvl w:val="0"/>
          <w:numId w:val="21"/>
        </w:numPr>
        <w:ind w:left="630" w:hanging="567"/>
      </w:pPr>
      <w:r w:rsidRPr="00880BF5">
        <w:t>Thanks</w:t>
      </w:r>
      <w:r w:rsidRPr="00880BF5">
        <w:rPr>
          <w:u w:val="none"/>
        </w:rPr>
        <w:t xml:space="preserve"> the Evaluation Body and the Secretariat for its efforts to respond to the Bureau’s request in a timely and efficient manner and for its evaluation of the nomination during its June meeting, as per the process established by the Bureau, in reference to paragraphs 1 and 32 of the Operational Directives;</w:t>
      </w:r>
    </w:p>
    <w:p w14:paraId="7CCDEE7C" w14:textId="77777777" w:rsidR="00D63F68" w:rsidRPr="00880BF5" w:rsidRDefault="00D63F68" w:rsidP="00D63F68">
      <w:pPr>
        <w:pStyle w:val="COMParaDecision"/>
        <w:numPr>
          <w:ilvl w:val="0"/>
          <w:numId w:val="21"/>
        </w:numPr>
        <w:ind w:left="630" w:hanging="567"/>
      </w:pPr>
      <w:r w:rsidRPr="00880BF5">
        <w:t>Further takes note</w:t>
      </w:r>
      <w:r w:rsidRPr="00880BF5">
        <w:rPr>
          <w:u w:val="none"/>
        </w:rPr>
        <w:t xml:space="preserve"> of the recommendation of the Evaluation Body, as included in annex, to inscribe ‘Culture of Ukrainian borscht cooking’ on the Urgent Safeguarding List as a case of extreme urgency;</w:t>
      </w:r>
    </w:p>
    <w:p w14:paraId="03431345" w14:textId="77777777" w:rsidR="00D63F68" w:rsidRPr="00880BF5" w:rsidRDefault="00D63F68" w:rsidP="00D63F68">
      <w:pPr>
        <w:pStyle w:val="COMParaDecision"/>
        <w:numPr>
          <w:ilvl w:val="0"/>
          <w:numId w:val="21"/>
        </w:numPr>
        <w:ind w:left="630" w:hanging="567"/>
      </w:pPr>
      <w:r w:rsidRPr="00880BF5">
        <w:t>Considers</w:t>
      </w:r>
      <w:r w:rsidRPr="00880BF5">
        <w:rPr>
          <w:u w:val="none"/>
        </w:rPr>
        <w:t xml:space="preserve"> that the nomination indeed constitutes a case of extreme urgency in line with Article 17.3 of the Convention and </w:t>
      </w:r>
      <w:r w:rsidRPr="00880BF5">
        <w:t>underscores</w:t>
      </w:r>
      <w:r w:rsidRPr="00880BF5">
        <w:rPr>
          <w:u w:val="none"/>
        </w:rPr>
        <w:t xml:space="preserve"> the importance of bringing this request to the Committee as quickly as possible after its submission;</w:t>
      </w:r>
    </w:p>
    <w:p w14:paraId="7D1D254F" w14:textId="1FD75CF5" w:rsidR="00410E70" w:rsidRDefault="00D63F68" w:rsidP="00D63F68">
      <w:pPr>
        <w:pStyle w:val="COMParaDecision"/>
        <w:numPr>
          <w:ilvl w:val="0"/>
          <w:numId w:val="21"/>
        </w:numPr>
        <w:ind w:left="630" w:hanging="567"/>
        <w:rPr>
          <w:u w:val="none"/>
        </w:rPr>
      </w:pPr>
      <w:r w:rsidRPr="00880BF5">
        <w:t>Requests</w:t>
      </w:r>
      <w:r w:rsidRPr="00880BF5">
        <w:rPr>
          <w:u w:val="none"/>
          <w:lang w:val="en-US"/>
        </w:rPr>
        <w:t xml:space="preserve"> the Secretariat to initiate an electronic exchange to seek the agreement of at least two-thirds of the Committee members to include the item on the </w:t>
      </w:r>
      <w:r w:rsidRPr="00880BF5">
        <w:rPr>
          <w:bCs/>
          <w:u w:val="none"/>
        </w:rPr>
        <w:t>request by Ukraine in</w:t>
      </w:r>
      <w:r w:rsidRPr="00880BF5">
        <w:rPr>
          <w:u w:val="none"/>
        </w:rPr>
        <w:t xml:space="preserve"> the fifth extraordinary session of the Committee (Online, 1 July 2022).</w:t>
      </w:r>
      <w:r w:rsidR="00410E70">
        <w:rPr>
          <w:u w:val="none"/>
        </w:rPr>
        <w:br w:type="page"/>
      </w:r>
    </w:p>
    <w:p w14:paraId="05BBE302" w14:textId="77777777" w:rsidR="00D63F68" w:rsidRDefault="00D63F68" w:rsidP="00C05A64">
      <w:pPr>
        <w:pStyle w:val="COMParaDecision"/>
        <w:numPr>
          <w:ilvl w:val="0"/>
          <w:numId w:val="0"/>
        </w:numPr>
        <w:jc w:val="center"/>
        <w:rPr>
          <w:b/>
          <w:bCs/>
          <w:caps/>
        </w:rPr>
      </w:pPr>
      <w:r>
        <w:rPr>
          <w:b/>
          <w:bCs/>
          <w:caps/>
        </w:rPr>
        <w:t>Annex</w:t>
      </w:r>
    </w:p>
    <w:p w14:paraId="140074A8" w14:textId="77777777" w:rsidR="00D63F68" w:rsidRDefault="00D63F68" w:rsidP="00D63F68">
      <w:pPr>
        <w:pStyle w:val="Sansinterligne1"/>
        <w:spacing w:before="360" w:after="360"/>
        <w:jc w:val="center"/>
        <w:rPr>
          <w:rFonts w:asciiTheme="minorBidi" w:eastAsiaTheme="minorEastAsia" w:hAnsiTheme="minorBidi" w:cstheme="minorBidi"/>
          <w:b/>
          <w:sz w:val="22"/>
          <w:szCs w:val="22"/>
          <w:lang w:val="en-GB" w:eastAsia="ko-KR"/>
        </w:rPr>
      </w:pPr>
      <w:r>
        <w:rPr>
          <w:rFonts w:asciiTheme="minorBidi" w:eastAsiaTheme="minorEastAsia" w:hAnsiTheme="minorBidi" w:cstheme="minorBidi"/>
          <w:b/>
          <w:sz w:val="22"/>
          <w:szCs w:val="22"/>
          <w:lang w:val="en-GB" w:eastAsia="ko-KR"/>
        </w:rPr>
        <w:t>Recommendation of the 2022 Evaluation Body</w:t>
      </w:r>
    </w:p>
    <w:p w14:paraId="70881BF5" w14:textId="77777777" w:rsidR="00D63F68" w:rsidRDefault="00D63F68" w:rsidP="00D63F68">
      <w:pPr>
        <w:pStyle w:val="ABSTRACTS"/>
        <w:numPr>
          <w:ilvl w:val="0"/>
          <w:numId w:val="23"/>
        </w:numPr>
        <w:snapToGrid w:val="0"/>
        <w:ind w:left="540" w:hanging="540"/>
        <w:rPr>
          <w:b/>
          <w:bCs/>
          <w:lang w:val="en-GB"/>
        </w:rPr>
      </w:pPr>
      <w:r>
        <w:rPr>
          <w:lang w:val="en-GB"/>
        </w:rPr>
        <w:t xml:space="preserve"> </w:t>
      </w:r>
      <w:r>
        <w:rPr>
          <w:b/>
          <w:bCs/>
          <w:lang w:val="en-GB"/>
        </w:rPr>
        <w:t>Recommendation</w:t>
      </w:r>
    </w:p>
    <w:p w14:paraId="30A5786C" w14:textId="77777777" w:rsidR="00D63F68" w:rsidRDefault="00D63F68" w:rsidP="00D63F68">
      <w:pPr>
        <w:pStyle w:val="Style1"/>
        <w:numPr>
          <w:ilvl w:val="1"/>
          <w:numId w:val="23"/>
        </w:numPr>
        <w:rPr>
          <w:lang w:val="en-GB"/>
        </w:rPr>
      </w:pPr>
      <w:r>
        <w:rPr>
          <w:lang w:val="en-GB"/>
        </w:rPr>
        <w:t>The Evaluation Body recommends that the Committee inscribe the following element on the List of Intangible Cultural Heritage in Need of Urgent Safeguarding as a case of extreme urgency:</w:t>
      </w:r>
    </w:p>
    <w:tbl>
      <w:tblPr>
        <w:tblW w:w="4650"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801"/>
        <w:gridCol w:w="1852"/>
        <w:gridCol w:w="4309"/>
        <w:gridCol w:w="992"/>
      </w:tblGrid>
      <w:tr w:rsidR="00D63F68" w14:paraId="1F4EE0A8" w14:textId="77777777" w:rsidTr="001A621C">
        <w:trPr>
          <w:cantSplit/>
          <w:trHeight w:val="586"/>
        </w:trPr>
        <w:tc>
          <w:tcPr>
            <w:tcW w:w="1006" w:type="pct"/>
            <w:tcBorders>
              <w:top w:val="single" w:sz="4" w:space="0" w:color="auto"/>
              <w:left w:val="single" w:sz="4" w:space="0" w:color="auto"/>
              <w:bottom w:val="nil"/>
              <w:right w:val="nil"/>
            </w:tcBorders>
            <w:shd w:val="clear" w:color="auto" w:fill="BFBFBF" w:themeFill="background1" w:themeFillShade="BF"/>
            <w:vAlign w:val="center"/>
            <w:hideMark/>
          </w:tcPr>
          <w:p w14:paraId="570988CC" w14:textId="77777777" w:rsidR="00D63F68" w:rsidRDefault="00D63F68" w:rsidP="001A621C">
            <w:pPr>
              <w:keepNext/>
              <w:spacing w:before="120" w:after="120"/>
              <w:jc w:val="center"/>
              <w:rPr>
                <w:rFonts w:ascii="Arial" w:hAnsi="Arial" w:cs="Arial"/>
                <w:color w:val="0000FF"/>
                <w:sz w:val="22"/>
                <w:szCs w:val="22"/>
                <w:u w:val="single"/>
                <w:lang w:val="en-GB"/>
              </w:rPr>
            </w:pPr>
            <w:r>
              <w:rPr>
                <w:rFonts w:ascii="Arial" w:hAnsi="Arial" w:cs="Arial"/>
                <w:b/>
                <w:sz w:val="22"/>
                <w:szCs w:val="22"/>
                <w:lang w:val="en-GB"/>
              </w:rPr>
              <w:t>Draft Decision</w:t>
            </w:r>
          </w:p>
        </w:tc>
        <w:tc>
          <w:tcPr>
            <w:tcW w:w="1034" w:type="pct"/>
            <w:tcBorders>
              <w:top w:val="single" w:sz="4" w:space="0" w:color="auto"/>
              <w:left w:val="nil"/>
              <w:bottom w:val="nil"/>
              <w:right w:val="nil"/>
            </w:tcBorders>
            <w:shd w:val="clear" w:color="auto" w:fill="BFBFBF" w:themeFill="background1" w:themeFillShade="BF"/>
            <w:vAlign w:val="center"/>
            <w:hideMark/>
          </w:tcPr>
          <w:p w14:paraId="23D1D17A" w14:textId="77777777" w:rsidR="00D63F68" w:rsidRDefault="00D63F68" w:rsidP="001A621C">
            <w:pPr>
              <w:keepNext/>
              <w:spacing w:before="120" w:after="120"/>
              <w:jc w:val="center"/>
              <w:rPr>
                <w:rFonts w:ascii="Arial" w:hAnsi="Arial" w:cs="Arial"/>
                <w:sz w:val="22"/>
                <w:szCs w:val="22"/>
                <w:lang w:val="en-GB"/>
              </w:rPr>
            </w:pPr>
            <w:r>
              <w:rPr>
                <w:rFonts w:ascii="Arial" w:hAnsi="Arial" w:cs="Arial"/>
                <w:b/>
                <w:sz w:val="22"/>
                <w:szCs w:val="22"/>
                <w:lang w:val="en-GB"/>
              </w:rPr>
              <w:t>Submitting State</w:t>
            </w:r>
          </w:p>
        </w:tc>
        <w:tc>
          <w:tcPr>
            <w:tcW w:w="2406" w:type="pct"/>
            <w:tcBorders>
              <w:top w:val="single" w:sz="4" w:space="0" w:color="auto"/>
              <w:left w:val="nil"/>
              <w:bottom w:val="nil"/>
              <w:right w:val="nil"/>
            </w:tcBorders>
            <w:shd w:val="clear" w:color="auto" w:fill="BFBFBF" w:themeFill="background1" w:themeFillShade="BF"/>
            <w:vAlign w:val="center"/>
            <w:hideMark/>
          </w:tcPr>
          <w:p w14:paraId="435E0738" w14:textId="77777777" w:rsidR="00D63F68" w:rsidRDefault="00D63F68" w:rsidP="001A621C">
            <w:pPr>
              <w:keepNext/>
              <w:spacing w:before="120" w:after="120"/>
              <w:jc w:val="center"/>
              <w:rPr>
                <w:rFonts w:ascii="Arial" w:hAnsi="Arial" w:cs="Arial"/>
                <w:color w:val="000000"/>
                <w:sz w:val="22"/>
                <w:szCs w:val="22"/>
                <w:lang w:val="en-GB"/>
              </w:rPr>
            </w:pPr>
            <w:r>
              <w:rPr>
                <w:rFonts w:ascii="Arial" w:hAnsi="Arial" w:cs="Arial"/>
                <w:b/>
                <w:sz w:val="22"/>
                <w:szCs w:val="22"/>
                <w:lang w:val="en-GB"/>
              </w:rPr>
              <w:t>Nomination</w:t>
            </w:r>
          </w:p>
        </w:tc>
        <w:tc>
          <w:tcPr>
            <w:tcW w:w="554" w:type="pct"/>
            <w:tcBorders>
              <w:top w:val="single" w:sz="4" w:space="0" w:color="auto"/>
              <w:left w:val="nil"/>
              <w:bottom w:val="nil"/>
              <w:right w:val="single" w:sz="4" w:space="0" w:color="auto"/>
            </w:tcBorders>
            <w:shd w:val="clear" w:color="auto" w:fill="BFBFBF" w:themeFill="background1" w:themeFillShade="BF"/>
            <w:vAlign w:val="center"/>
            <w:hideMark/>
          </w:tcPr>
          <w:p w14:paraId="0947B747" w14:textId="77777777" w:rsidR="00D63F68" w:rsidRDefault="00D63F68" w:rsidP="001A621C">
            <w:pPr>
              <w:keepNext/>
              <w:spacing w:before="120" w:after="120"/>
              <w:jc w:val="center"/>
              <w:rPr>
                <w:rFonts w:ascii="Arial" w:hAnsi="Arial" w:cs="Arial"/>
                <w:color w:val="000000"/>
                <w:sz w:val="22"/>
                <w:szCs w:val="22"/>
                <w:lang w:val="en-GB"/>
              </w:rPr>
            </w:pPr>
            <w:r>
              <w:rPr>
                <w:rFonts w:ascii="Arial" w:hAnsi="Arial" w:cs="Arial"/>
                <w:b/>
                <w:bCs/>
                <w:color w:val="000000"/>
                <w:sz w:val="22"/>
                <w:szCs w:val="22"/>
                <w:lang w:val="en-GB" w:eastAsia="en-GB"/>
              </w:rPr>
              <w:t>File No.</w:t>
            </w:r>
          </w:p>
        </w:tc>
      </w:tr>
      <w:tr w:rsidR="00D63F68" w14:paraId="785778EB" w14:textId="77777777" w:rsidTr="001A621C">
        <w:trPr>
          <w:cantSplit/>
          <w:trHeight w:val="586"/>
        </w:trPr>
        <w:tc>
          <w:tcPr>
            <w:tcW w:w="1006" w:type="pct"/>
            <w:tcBorders>
              <w:top w:val="nil"/>
              <w:left w:val="single" w:sz="4" w:space="0" w:color="auto"/>
              <w:bottom w:val="single" w:sz="4" w:space="0" w:color="auto"/>
              <w:right w:val="nil"/>
            </w:tcBorders>
            <w:hideMark/>
          </w:tcPr>
          <w:p w14:paraId="300D59E9" w14:textId="77777777" w:rsidR="00D63F68" w:rsidRDefault="00D63F68" w:rsidP="001A621C">
            <w:pPr>
              <w:keepNext/>
              <w:spacing w:before="120" w:after="120"/>
              <w:rPr>
                <w:rFonts w:ascii="Arial" w:hAnsi="Arial" w:cs="Arial"/>
                <w:sz w:val="22"/>
                <w:szCs w:val="22"/>
                <w:lang w:val="en-GB"/>
              </w:rPr>
            </w:pPr>
            <w:r>
              <w:rPr>
                <w:rFonts w:ascii="Arial" w:hAnsi="Arial" w:cs="Arial"/>
                <w:sz w:val="22"/>
                <w:szCs w:val="22"/>
                <w:lang w:val="en-GB"/>
              </w:rPr>
              <w:t>XXX</w:t>
            </w:r>
          </w:p>
        </w:tc>
        <w:tc>
          <w:tcPr>
            <w:tcW w:w="1034" w:type="pct"/>
            <w:tcBorders>
              <w:top w:val="nil"/>
              <w:left w:val="nil"/>
              <w:bottom w:val="single" w:sz="4" w:space="0" w:color="auto"/>
              <w:right w:val="nil"/>
            </w:tcBorders>
            <w:hideMark/>
          </w:tcPr>
          <w:p w14:paraId="0B3F010F" w14:textId="77777777" w:rsidR="00D63F68" w:rsidRDefault="00D63F68" w:rsidP="001A621C">
            <w:pPr>
              <w:keepNext/>
              <w:spacing w:before="120" w:after="120"/>
              <w:jc w:val="center"/>
              <w:rPr>
                <w:rFonts w:ascii="Arial" w:hAnsi="Arial" w:cs="Arial"/>
                <w:sz w:val="22"/>
                <w:szCs w:val="22"/>
                <w:lang w:val="en-GB"/>
              </w:rPr>
            </w:pPr>
            <w:r>
              <w:rPr>
                <w:rFonts w:ascii="Arial" w:hAnsi="Arial" w:cs="Arial"/>
                <w:sz w:val="22"/>
                <w:szCs w:val="22"/>
                <w:lang w:val="en-GB"/>
              </w:rPr>
              <w:t>Ukraine</w:t>
            </w:r>
          </w:p>
        </w:tc>
        <w:tc>
          <w:tcPr>
            <w:tcW w:w="2406" w:type="pct"/>
            <w:tcBorders>
              <w:top w:val="nil"/>
              <w:left w:val="nil"/>
              <w:bottom w:val="single" w:sz="4" w:space="0" w:color="auto"/>
              <w:right w:val="nil"/>
            </w:tcBorders>
            <w:hideMark/>
          </w:tcPr>
          <w:p w14:paraId="0B1865E2" w14:textId="77777777" w:rsidR="00D63F68" w:rsidRDefault="00D63F68" w:rsidP="001A621C">
            <w:pPr>
              <w:keepNext/>
              <w:spacing w:before="120" w:after="120"/>
              <w:jc w:val="center"/>
              <w:rPr>
                <w:rFonts w:ascii="Arial" w:hAnsi="Arial" w:cs="Arial"/>
                <w:color w:val="000000"/>
                <w:sz w:val="22"/>
                <w:szCs w:val="22"/>
                <w:lang w:val="en-GB"/>
              </w:rPr>
            </w:pPr>
            <w:r>
              <w:rPr>
                <w:rFonts w:ascii="Arial" w:hAnsi="Arial" w:cs="Arial"/>
                <w:color w:val="000000"/>
                <w:sz w:val="22"/>
                <w:szCs w:val="22"/>
                <w:lang w:val="en-GB"/>
              </w:rPr>
              <w:t>Culture of Ukrainian Borscht Cooking</w:t>
            </w:r>
          </w:p>
        </w:tc>
        <w:tc>
          <w:tcPr>
            <w:tcW w:w="554" w:type="pct"/>
            <w:tcBorders>
              <w:top w:val="nil"/>
              <w:left w:val="nil"/>
              <w:bottom w:val="single" w:sz="4" w:space="0" w:color="auto"/>
              <w:right w:val="single" w:sz="4" w:space="0" w:color="auto"/>
            </w:tcBorders>
            <w:hideMark/>
          </w:tcPr>
          <w:p w14:paraId="420942E1" w14:textId="77777777" w:rsidR="00D63F68" w:rsidRDefault="00D63F68" w:rsidP="001A621C">
            <w:pPr>
              <w:keepNext/>
              <w:spacing w:before="120" w:after="120"/>
              <w:jc w:val="center"/>
              <w:rPr>
                <w:rFonts w:ascii="Arial" w:hAnsi="Arial" w:cs="Arial"/>
                <w:color w:val="000000"/>
                <w:sz w:val="22"/>
                <w:szCs w:val="22"/>
                <w:lang w:val="en-GB"/>
              </w:rPr>
            </w:pPr>
            <w:r>
              <w:rPr>
                <w:rFonts w:ascii="Arial" w:hAnsi="Arial" w:cs="Arial"/>
                <w:color w:val="000000"/>
                <w:sz w:val="22"/>
                <w:szCs w:val="22"/>
                <w:lang w:val="en-GB"/>
              </w:rPr>
              <w:t>01852</w:t>
            </w:r>
          </w:p>
        </w:tc>
      </w:tr>
    </w:tbl>
    <w:p w14:paraId="4EC6BEA4" w14:textId="77777777" w:rsidR="00D63F68" w:rsidRDefault="00D63F68" w:rsidP="00D63F68">
      <w:pPr>
        <w:pStyle w:val="ABSTRACTS"/>
        <w:keepNext/>
        <w:numPr>
          <w:ilvl w:val="0"/>
          <w:numId w:val="23"/>
        </w:numPr>
        <w:snapToGrid w:val="0"/>
        <w:spacing w:before="240"/>
        <w:ind w:left="567" w:hanging="567"/>
        <w:rPr>
          <w:b/>
          <w:bCs/>
          <w:lang w:val="en-GB"/>
        </w:rPr>
      </w:pPr>
      <w:r>
        <w:rPr>
          <w:b/>
          <w:bCs/>
          <w:lang w:val="en-GB"/>
        </w:rPr>
        <w:t xml:space="preserve">Draft Decision </w:t>
      </w:r>
    </w:p>
    <w:p w14:paraId="398C6961" w14:textId="77777777" w:rsidR="00D63F68" w:rsidRDefault="00D63F68" w:rsidP="00D63F68">
      <w:pPr>
        <w:pStyle w:val="Style1"/>
        <w:numPr>
          <w:ilvl w:val="1"/>
          <w:numId w:val="24"/>
        </w:numPr>
        <w:rPr>
          <w:lang w:val="en-GB"/>
        </w:rPr>
      </w:pPr>
      <w:r>
        <w:rPr>
          <w:lang w:val="en-GB"/>
        </w:rPr>
        <w:t xml:space="preserve">The Committee may wish to adopt the following decision: </w:t>
      </w:r>
    </w:p>
    <w:p w14:paraId="5AB372DF" w14:textId="77777777" w:rsidR="00D63F68" w:rsidRPr="00DF3DCA" w:rsidRDefault="00D63F68" w:rsidP="00DF3DCA">
      <w:pPr>
        <w:pStyle w:val="Heading2"/>
        <w:spacing w:after="120"/>
        <w:ind w:left="567"/>
        <w:rPr>
          <w:rFonts w:asciiTheme="minorBidi" w:hAnsiTheme="minorBidi" w:cstheme="minorBidi"/>
          <w:i w:val="0"/>
          <w:iCs w:val="0"/>
          <w:sz w:val="22"/>
          <w:szCs w:val="22"/>
        </w:rPr>
      </w:pPr>
      <w:r w:rsidRPr="00DF3DCA">
        <w:rPr>
          <w:rFonts w:asciiTheme="minorBidi" w:hAnsiTheme="minorBidi" w:cstheme="minorBidi"/>
          <w:i w:val="0"/>
          <w:iCs w:val="0"/>
          <w:sz w:val="22"/>
          <w:szCs w:val="22"/>
        </w:rPr>
        <w:t>DRAFT DECISION XXX</w:t>
      </w:r>
    </w:p>
    <w:p w14:paraId="314ABD8A" w14:textId="77777777" w:rsidR="00D63F68" w:rsidRDefault="00D63F68" w:rsidP="00D63F68">
      <w:pPr>
        <w:pStyle w:val="NoSpacing"/>
        <w:keepNext/>
        <w:tabs>
          <w:tab w:val="left" w:pos="567"/>
          <w:tab w:val="left" w:pos="1134"/>
          <w:tab w:val="left" w:pos="1701"/>
          <w:tab w:val="left" w:pos="2268"/>
        </w:tabs>
        <w:spacing w:before="120" w:after="120"/>
        <w:ind w:left="567"/>
        <w:jc w:val="both"/>
        <w:rPr>
          <w:rFonts w:ascii="Arial" w:hAnsi="Arial" w:cs="Arial"/>
          <w:sz w:val="22"/>
          <w:szCs w:val="22"/>
          <w:lang w:val="en-GB"/>
        </w:rPr>
      </w:pPr>
      <w:r>
        <w:rPr>
          <w:rFonts w:ascii="Arial" w:hAnsi="Arial" w:cs="Arial"/>
          <w:sz w:val="22"/>
          <w:szCs w:val="22"/>
          <w:lang w:val="en-GB"/>
        </w:rPr>
        <w:t>The Committee</w:t>
      </w:r>
    </w:p>
    <w:p w14:paraId="1B561986" w14:textId="77777777" w:rsidR="00D63F68" w:rsidRDefault="00D63F68" w:rsidP="00D63F68">
      <w:pPr>
        <w:pStyle w:val="Style1"/>
        <w:numPr>
          <w:ilvl w:val="6"/>
          <w:numId w:val="24"/>
        </w:numPr>
        <w:tabs>
          <w:tab w:val="clear" w:pos="1701"/>
          <w:tab w:val="left" w:pos="1985"/>
        </w:tabs>
        <w:ind w:left="1134" w:hanging="567"/>
        <w:rPr>
          <w:lang w:val="en-GB"/>
        </w:rPr>
      </w:pPr>
      <w:r>
        <w:rPr>
          <w:u w:val="single"/>
          <w:lang w:val="en-GB"/>
        </w:rPr>
        <w:t>Takes note</w:t>
      </w:r>
      <w:r>
        <w:rPr>
          <w:lang w:val="en-GB"/>
        </w:rPr>
        <w:t xml:space="preserve"> of the request that Ukraine made on 21 April 2022 to process the nomination </w:t>
      </w:r>
      <w:r>
        <w:rPr>
          <w:b/>
          <w:bCs/>
          <w:lang w:val="en-GB"/>
        </w:rPr>
        <w:t>Culture of Ukrainian Borscht Cooking</w:t>
      </w:r>
      <w:r>
        <w:rPr>
          <w:lang w:val="en-GB"/>
        </w:rPr>
        <w:t xml:space="preserve"> (No. 01852) for inscription on the List of Intangible Cultural Heritage in Need of Urgent Safeguarding, as a case of extreme urgency, as foreseen under Article 17.3 of the Convention and paragraphs 1 and 32 of the Operational Directives:</w:t>
      </w:r>
    </w:p>
    <w:p w14:paraId="511DDA9B" w14:textId="77777777" w:rsidR="00D63F68" w:rsidRDefault="00D63F68" w:rsidP="00D63F68">
      <w:pPr>
        <w:pStyle w:val="Style1"/>
        <w:tabs>
          <w:tab w:val="clear" w:pos="1701"/>
          <w:tab w:val="left" w:pos="1985"/>
        </w:tabs>
        <w:ind w:left="1134"/>
        <w:rPr>
          <w:lang w:val="en-GB"/>
        </w:rPr>
      </w:pPr>
      <w:r>
        <w:rPr>
          <w:lang w:val="en-GB"/>
        </w:rPr>
        <w:t xml:space="preserve">Ukrainian borscht is a traditional dish that is cooked with broth combined with beetroot, sugar beet or fermented beet juice. There are many versions, and the practice entails the recipe, cooking method and occasion, according to which a certain variety is prepared. Borscht is cooked in a large pan or pot and typically served with bread or garlic buns. It is prepared primarily by women, although many men also prepare it as an everyday dish. The practice dates back centuries and is passed on within families, with children participating in the preparation. An expression of hospitality, Ukrainian borscht unites people of all ages, genders and backgrounds at the table. It is also used in ritual practices, such as in the region of Podillia, where the third day of the wedding has maintained its ritual name </w:t>
      </w:r>
      <w:r>
        <w:rPr>
          <w:i/>
          <w:iCs/>
          <w:lang w:val="en-GB"/>
        </w:rPr>
        <w:t>do</w:t>
      </w:r>
      <w:r>
        <w:rPr>
          <w:lang w:val="en-GB"/>
        </w:rPr>
        <w:t xml:space="preserve"> </w:t>
      </w:r>
      <w:r>
        <w:rPr>
          <w:i/>
          <w:iCs/>
          <w:lang w:val="en-GB"/>
        </w:rPr>
        <w:t>nevistky – na borshch</w:t>
      </w:r>
      <w:r>
        <w:rPr>
          <w:lang w:val="en-GB"/>
        </w:rPr>
        <w:t xml:space="preserve">, meaning ‘visit daughter-in-law to eat borscht’. It is lauded in tales, folk songs and proverbs and viewed as a lifestyle and identity marker. </w:t>
      </w:r>
      <w:r>
        <w:rPr>
          <w:rFonts w:eastAsia="Arial"/>
          <w:color w:val="000000"/>
          <w:lang w:val="en-GB"/>
        </w:rPr>
        <w:t xml:space="preserve">The viability of the element, however, is threatened by various factors since the beginning of the armed conflict in February 2022, including the displacement of bearers from their communities of origin and from the cultural contexts necessary for the cooking and consumption of borscht in Ukraine. Moreover, destruction to the surrounding </w:t>
      </w:r>
      <w:r>
        <w:rPr>
          <w:rFonts w:eastAsia="Arial"/>
          <w:lang w:val="en-GB"/>
        </w:rPr>
        <w:t>environment and traditional agriculture has prevented communities from accessing local products, such as vegetables, needed to prepare the dish. Despite these difficulties, communities across Ukraine have united around the element.</w:t>
      </w:r>
    </w:p>
    <w:p w14:paraId="01585D9B" w14:textId="77777777" w:rsidR="00D63F68" w:rsidRDefault="00D63F68" w:rsidP="00D63F68">
      <w:pPr>
        <w:pStyle w:val="Style1"/>
        <w:numPr>
          <w:ilvl w:val="6"/>
          <w:numId w:val="24"/>
        </w:numPr>
        <w:tabs>
          <w:tab w:val="clear" w:pos="1701"/>
          <w:tab w:val="left" w:pos="1985"/>
        </w:tabs>
        <w:ind w:left="1134" w:hanging="567"/>
        <w:rPr>
          <w:lang w:val="en-GB"/>
        </w:rPr>
      </w:pPr>
      <w:r>
        <w:rPr>
          <w:u w:val="single"/>
          <w:lang w:val="en-GB"/>
        </w:rPr>
        <w:t>Further takes note</w:t>
      </w:r>
      <w:r>
        <w:rPr>
          <w:lang w:val="en-GB"/>
        </w:rPr>
        <w:t xml:space="preserve"> of the procedure that the third meeting of the Bureau of the Committee established on 6 May 2022 to treat the request (Decision 17.COM 3.BUR 3);</w:t>
      </w:r>
    </w:p>
    <w:p w14:paraId="360BA900" w14:textId="77777777" w:rsidR="00D63F68" w:rsidRDefault="00D63F68" w:rsidP="00D63F68">
      <w:pPr>
        <w:pStyle w:val="Style1"/>
        <w:numPr>
          <w:ilvl w:val="6"/>
          <w:numId w:val="24"/>
        </w:numPr>
        <w:tabs>
          <w:tab w:val="clear" w:pos="1701"/>
          <w:tab w:val="left" w:pos="1985"/>
        </w:tabs>
        <w:ind w:left="1134" w:hanging="567"/>
        <w:rPr>
          <w:u w:val="single"/>
          <w:lang w:val="en-GB"/>
        </w:rPr>
      </w:pPr>
      <w:r>
        <w:rPr>
          <w:u w:val="single"/>
          <w:lang w:val="en-GB"/>
        </w:rPr>
        <w:t>Considers</w:t>
      </w:r>
      <w:r>
        <w:rPr>
          <w:lang w:val="en-GB"/>
        </w:rPr>
        <w:t xml:space="preserve"> that, from the information included in the file, the nomination satisfies the following criteria for inscription on the List of Intangible Cultural Heritage in Need of Urgent Safeguarding:</w:t>
      </w:r>
    </w:p>
    <w:p w14:paraId="785F267C" w14:textId="77777777" w:rsidR="00D63F68" w:rsidRDefault="00D63F68" w:rsidP="00D63F68">
      <w:pPr>
        <w:tabs>
          <w:tab w:val="left" w:pos="1134"/>
          <w:tab w:val="left" w:pos="1985"/>
          <w:tab w:val="left" w:pos="2268"/>
        </w:tabs>
        <w:spacing w:before="120" w:after="120"/>
        <w:ind w:left="1985" w:hanging="851"/>
        <w:jc w:val="both"/>
        <w:rPr>
          <w:rFonts w:ascii="Arial" w:hAnsi="Arial" w:cs="Arial"/>
          <w:sz w:val="22"/>
          <w:szCs w:val="22"/>
          <w:lang w:val="en-SG"/>
        </w:rPr>
      </w:pPr>
      <w:r>
        <w:rPr>
          <w:rFonts w:ascii="Arial" w:hAnsi="Arial" w:cs="Arial"/>
          <w:sz w:val="22"/>
          <w:szCs w:val="22"/>
          <w:lang w:val="en-GB"/>
        </w:rPr>
        <w:t>U.1:</w:t>
      </w:r>
      <w:r>
        <w:rPr>
          <w:rFonts w:ascii="Arial" w:hAnsi="Arial" w:cs="Arial"/>
          <w:sz w:val="22"/>
          <w:szCs w:val="22"/>
          <w:lang w:val="en-GB"/>
        </w:rPr>
        <w:tab/>
        <w:t>The borscht in Ukraine is a traditional dish with a long history and diverse variations. The culture of borscht cooking and consumption is widespread in all regions of Ukraine. Women and men participate equally in the practice of the element. The knowledge and skills of the element are transmitted within families, from elder members of the family to younger ones by way of cooking together. The element is also transmitted in catering establishments and educational institutions, and during borscht festivals and events held in different regions of Ukraine and abroad. Borscht performs a function of social integration and cohesion amongst all people in Ukraine. Borscht in Ukraine is an indispensable part of social events, holidays and ritual practices. The element fosters mutual respect and trust among groups of people and individuals. The element is in line with human rights instruments, the principle of mutual respect amongst communities and sustainable development.</w:t>
      </w:r>
    </w:p>
    <w:p w14:paraId="75546545" w14:textId="77777777" w:rsidR="00D63F68" w:rsidRDefault="00D63F68" w:rsidP="00D63F68">
      <w:pPr>
        <w:tabs>
          <w:tab w:val="left" w:pos="1134"/>
          <w:tab w:val="left" w:pos="1985"/>
          <w:tab w:val="left" w:pos="2268"/>
        </w:tabs>
        <w:spacing w:before="120" w:after="120"/>
        <w:ind w:left="1985" w:hanging="851"/>
        <w:jc w:val="both"/>
        <w:rPr>
          <w:rFonts w:ascii="Arial" w:hAnsi="Arial" w:cs="Arial"/>
          <w:sz w:val="22"/>
          <w:szCs w:val="22"/>
          <w:lang w:val="en-GB"/>
        </w:rPr>
      </w:pPr>
      <w:r>
        <w:rPr>
          <w:rFonts w:ascii="Arial" w:hAnsi="Arial" w:cs="Arial"/>
          <w:sz w:val="22"/>
          <w:szCs w:val="22"/>
          <w:lang w:val="en-GB"/>
        </w:rPr>
        <w:t xml:space="preserve">U.2(b): </w:t>
      </w:r>
      <w:r>
        <w:rPr>
          <w:rFonts w:ascii="Arial" w:hAnsi="Arial" w:cs="Arial"/>
          <w:sz w:val="22"/>
          <w:szCs w:val="22"/>
          <w:lang w:val="en-GB"/>
        </w:rPr>
        <w:tab/>
        <w:t>The nomination file explains that the armed conflict has threatened the viability of the element. The displacement of people and bearers threatens the element, as people are unable not only to cook or grow local vegetables for borscht, but also to come together to practice the element, which undermines the social and cultural well-being of communities. As such, the transmission of the element is also threatened. The armed conflict destroys the environment (fauna and flora), which in turn, seriously threatens the diverse nature of the element. The armed conflict leads to the loss of the everyday contexts associated with practicing</w:t>
      </w:r>
      <w:r>
        <w:rPr>
          <w:rFonts w:ascii="Arial" w:hAnsi="Arial" w:cs="Arial"/>
          <w:sz w:val="22"/>
          <w:szCs w:val="22"/>
          <w:lang w:val="en-US"/>
        </w:rPr>
        <w:t xml:space="preserve"> </w:t>
      </w:r>
      <w:r>
        <w:rPr>
          <w:rFonts w:ascii="Arial" w:hAnsi="Arial" w:cs="Arial"/>
          <w:sz w:val="22"/>
          <w:szCs w:val="22"/>
          <w:lang w:val="en-GB"/>
        </w:rPr>
        <w:t>the element, and has significantly affected the holding of cultural events, in particular festivals dedicated to traditional food, including borscht. All of these factors justify the need for urgent safeguarding of the element as a case of extreme urgency.</w:t>
      </w:r>
    </w:p>
    <w:p w14:paraId="41BDFC95" w14:textId="77777777" w:rsidR="00D63F68" w:rsidRDefault="00D63F68" w:rsidP="00D63F68">
      <w:pPr>
        <w:tabs>
          <w:tab w:val="left" w:pos="1134"/>
          <w:tab w:val="left" w:pos="1985"/>
          <w:tab w:val="left" w:pos="2268"/>
        </w:tabs>
        <w:spacing w:before="120" w:after="120"/>
        <w:ind w:left="1985" w:hanging="851"/>
        <w:jc w:val="both"/>
        <w:rPr>
          <w:rFonts w:ascii="Arial" w:hAnsi="Arial" w:cs="Arial"/>
          <w:sz w:val="22"/>
          <w:szCs w:val="22"/>
          <w:lang w:val="en-GB"/>
        </w:rPr>
      </w:pPr>
      <w:r>
        <w:rPr>
          <w:rFonts w:ascii="Arial" w:hAnsi="Arial" w:cs="Arial"/>
          <w:sz w:val="22"/>
          <w:szCs w:val="22"/>
          <w:lang w:val="en-GB"/>
        </w:rPr>
        <w:t>U.3:</w:t>
      </w:r>
      <w:r>
        <w:rPr>
          <w:rFonts w:ascii="Arial" w:hAnsi="Arial" w:cs="Arial"/>
          <w:sz w:val="22"/>
          <w:szCs w:val="22"/>
          <w:lang w:val="en-GB"/>
        </w:rPr>
        <w:tab/>
        <w:t xml:space="preserve">The nomination file provides information on past safeguarding measures involving local, regional festivals and cultural events related to the element. The proposed safeguarding plan includes a list of key activities to address the situation of urgent safeguarding. These include efforts to monitor the situation concerning the bearers, raising awareness of the element among the general public, promotion of the element through specialized literature and festivals, etc. The </w:t>
      </w:r>
      <w:r w:rsidRPr="00166BB5">
        <w:rPr>
          <w:rFonts w:ascii="Arial" w:hAnsi="Arial" w:cs="Arial"/>
          <w:sz w:val="22"/>
          <w:szCs w:val="22"/>
          <w:lang w:val="en-GB"/>
        </w:rPr>
        <w:t>safeguarding measures</w:t>
      </w:r>
      <w:r>
        <w:rPr>
          <w:rFonts w:ascii="Arial" w:hAnsi="Arial" w:cs="Arial"/>
          <w:sz w:val="22"/>
          <w:szCs w:val="22"/>
          <w:lang w:val="en-GB"/>
        </w:rPr>
        <w:t xml:space="preserve"> will be implemented in close cooperation with national, public, state and municipal institutions, as well as practitioners from all regions of Ukraine. The timetable of the activities and detailed budget breakdown were provided in the file. Nevertheless, the ability to implement the safeguarding plan is likely to be subject to the evolving nature of the armed conflict.</w:t>
      </w:r>
    </w:p>
    <w:p w14:paraId="308FA4FD" w14:textId="77777777" w:rsidR="00D63F68" w:rsidRDefault="00D63F68" w:rsidP="00D63F68">
      <w:pPr>
        <w:tabs>
          <w:tab w:val="left" w:pos="1134"/>
          <w:tab w:val="left" w:pos="1985"/>
          <w:tab w:val="left" w:pos="2268"/>
        </w:tabs>
        <w:spacing w:before="120" w:after="120"/>
        <w:ind w:left="1985" w:hanging="851"/>
        <w:jc w:val="both"/>
        <w:rPr>
          <w:rFonts w:ascii="Arial" w:hAnsi="Arial" w:cs="Arial"/>
          <w:sz w:val="22"/>
          <w:szCs w:val="22"/>
          <w:lang w:val="en-GB"/>
        </w:rPr>
      </w:pPr>
      <w:r>
        <w:rPr>
          <w:rFonts w:ascii="Arial" w:hAnsi="Arial" w:cs="Arial"/>
          <w:sz w:val="22"/>
          <w:szCs w:val="22"/>
          <w:lang w:val="en-GB"/>
        </w:rPr>
        <w:t>U.4:</w:t>
      </w:r>
      <w:r>
        <w:rPr>
          <w:rFonts w:ascii="Arial" w:hAnsi="Arial" w:cs="Arial"/>
          <w:sz w:val="22"/>
          <w:szCs w:val="22"/>
          <w:lang w:val="en-GB"/>
        </w:rPr>
        <w:tab/>
        <w:t>The nomination file as originally compiled for the Representative List demonstrated a broad involvement of bearers and stakeholders and provided evidence of free, prior and informed consent for the nomination of the element. The element is practiced in the form of public access and there are no secret aspects or restrictions on the basis of age, race or gender. The working group, involving bearers of the element, cooperated in making the film, compiling promotional materials and writing the nomination dossier. The text of the dossier was open for discussion and agreed with the bearers of the element, including the safeguarding measures. Following the outbreak of the armed conflict, communities, experts and the Ministry of Culture and Information Policy of Ukraine worked together to develop a security plan which the inscription is expected to support.</w:t>
      </w:r>
    </w:p>
    <w:p w14:paraId="11B954FB" w14:textId="77777777" w:rsidR="00D63F68" w:rsidRDefault="00D63F68" w:rsidP="00D63F68">
      <w:pPr>
        <w:tabs>
          <w:tab w:val="left" w:pos="1134"/>
          <w:tab w:val="left" w:pos="1985"/>
          <w:tab w:val="left" w:pos="2268"/>
        </w:tabs>
        <w:spacing w:before="120" w:after="120"/>
        <w:ind w:left="1985" w:hanging="851"/>
        <w:jc w:val="both"/>
        <w:rPr>
          <w:rFonts w:ascii="Arial" w:hAnsi="Arial" w:cs="Arial"/>
          <w:sz w:val="22"/>
          <w:szCs w:val="22"/>
          <w:lang w:val="en-GB"/>
        </w:rPr>
      </w:pPr>
      <w:r>
        <w:rPr>
          <w:rFonts w:ascii="Arial" w:hAnsi="Arial" w:cs="Arial"/>
          <w:sz w:val="22"/>
          <w:szCs w:val="22"/>
          <w:lang w:val="en-GB"/>
        </w:rPr>
        <w:t>U.5:</w:t>
      </w:r>
      <w:r>
        <w:rPr>
          <w:rFonts w:ascii="Arial" w:hAnsi="Arial" w:cs="Arial"/>
          <w:sz w:val="22"/>
          <w:szCs w:val="22"/>
          <w:lang w:val="en-GB"/>
        </w:rPr>
        <w:tab/>
        <w:t>The element was listed on the National List of Elements of Intangible Cultural Heritage of Ukraine on 13 October 2020. The inventory is maintained by the Ministry of Culture and Information Policy of Ukraine. The element was identified for inclusion on the inventory at the initiative of the NGO “Institute of Culture of Ukraine” and with the support of bearers from across Ukraine. The inventory is updated twice a year. The monitoring of the viability of the elements on the inventory is conducted by specialized cultural agencies, the NGOs concerned and the Ukrainian Centre for Cultural Research (UCCR).</w:t>
      </w:r>
    </w:p>
    <w:p w14:paraId="0DFDD736" w14:textId="77777777" w:rsidR="00D63F68" w:rsidRDefault="00D63F68" w:rsidP="00D63F68">
      <w:pPr>
        <w:tabs>
          <w:tab w:val="left" w:pos="1134"/>
          <w:tab w:val="left" w:pos="1985"/>
          <w:tab w:val="left" w:pos="2268"/>
        </w:tabs>
        <w:spacing w:before="120" w:after="120"/>
        <w:ind w:left="1985" w:hanging="851"/>
        <w:jc w:val="both"/>
        <w:rPr>
          <w:rFonts w:ascii="Arial" w:hAnsi="Arial" w:cs="Arial"/>
          <w:sz w:val="22"/>
          <w:szCs w:val="22"/>
          <w:lang w:val="en-GB"/>
        </w:rPr>
      </w:pPr>
      <w:r>
        <w:rPr>
          <w:rFonts w:ascii="Arial" w:hAnsi="Arial" w:cs="Arial"/>
          <w:sz w:val="22"/>
          <w:szCs w:val="22"/>
          <w:lang w:val="en-GB"/>
        </w:rPr>
        <w:t>U.6:</w:t>
      </w:r>
      <w:r>
        <w:rPr>
          <w:rFonts w:ascii="Arial" w:hAnsi="Arial" w:cs="Arial"/>
          <w:sz w:val="22"/>
          <w:szCs w:val="22"/>
          <w:lang w:val="en-GB"/>
        </w:rPr>
        <w:tab/>
        <w:t xml:space="preserve">The State Party made the request to inscribe the element, as a case of extreme urgency on the Urgent Safeguarding List and in reference to Article 17.3, in a letter to the </w:t>
      </w:r>
      <w:r w:rsidRPr="006E3B93">
        <w:rPr>
          <w:rFonts w:asciiTheme="minorBidi" w:hAnsiTheme="minorBidi" w:cstheme="minorBidi"/>
          <w:sz w:val="22"/>
          <w:szCs w:val="22"/>
          <w:lang w:val="en-GB"/>
        </w:rPr>
        <w:t>Secretariat on 21 April 2022. Following the request by the Bureau of the Committee (</w:t>
      </w:r>
      <w:hyperlink r:id="rId19" w:history="1">
        <w:r w:rsidRPr="006E3B93">
          <w:rPr>
            <w:rStyle w:val="Hyperlink"/>
            <w:rFonts w:asciiTheme="minorBidi" w:hAnsiTheme="minorBidi" w:cstheme="minorBidi"/>
            <w:szCs w:val="22"/>
          </w:rPr>
          <w:t>Decision 17.COM 3.BUR 3</w:t>
        </w:r>
      </w:hyperlink>
      <w:r w:rsidRPr="006E3B93">
        <w:rPr>
          <w:rFonts w:asciiTheme="minorBidi" w:hAnsiTheme="minorBidi" w:cstheme="minorBidi"/>
          <w:sz w:val="22"/>
          <w:szCs w:val="22"/>
          <w:lang w:val="en-GB"/>
        </w:rPr>
        <w:t>), additional</w:t>
      </w:r>
      <w:r>
        <w:rPr>
          <w:rFonts w:ascii="Arial" w:hAnsi="Arial" w:cs="Arial"/>
          <w:sz w:val="22"/>
          <w:szCs w:val="22"/>
          <w:lang w:val="en-GB"/>
        </w:rPr>
        <w:t xml:space="preserve"> information was subsequently provided by the State Party on 14 and 15 June 2022, particularly with regards to criteria U.2(b) and U.6 using Form ICH-01.</w:t>
      </w:r>
    </w:p>
    <w:p w14:paraId="5E35E4AB" w14:textId="77777777" w:rsidR="00D63F68" w:rsidRDefault="00D63F68" w:rsidP="00D63F68">
      <w:pPr>
        <w:pStyle w:val="Style1"/>
        <w:numPr>
          <w:ilvl w:val="6"/>
          <w:numId w:val="24"/>
        </w:numPr>
        <w:tabs>
          <w:tab w:val="clear" w:pos="1701"/>
          <w:tab w:val="left" w:pos="1985"/>
        </w:tabs>
        <w:ind w:left="1134" w:hanging="567"/>
        <w:rPr>
          <w:u w:val="single"/>
          <w:lang w:val="en-GB"/>
        </w:rPr>
      </w:pPr>
      <w:r>
        <w:rPr>
          <w:u w:val="single"/>
          <w:lang w:val="en-GB"/>
        </w:rPr>
        <w:t>Decides to inscribe</w:t>
      </w:r>
      <w:r>
        <w:rPr>
          <w:lang w:val="en-GB"/>
        </w:rPr>
        <w:t xml:space="preserve"> </w:t>
      </w:r>
      <w:r>
        <w:rPr>
          <w:b/>
          <w:bCs/>
          <w:lang w:val="en-GB"/>
        </w:rPr>
        <w:t>Culture of Ukrainian Borscht Cooking</w:t>
      </w:r>
      <w:r>
        <w:rPr>
          <w:lang w:val="en-GB"/>
        </w:rPr>
        <w:t xml:space="preserve"> on the List of Intangible Cultural Heritage in Need of Urgent Safeguarding, as a case of extreme urgency as stipulated in Article 17.3 of the Convention;</w:t>
      </w:r>
    </w:p>
    <w:p w14:paraId="54925AD9" w14:textId="77777777" w:rsidR="00D63F68" w:rsidRDefault="00D63F68" w:rsidP="00D63F68">
      <w:pPr>
        <w:pStyle w:val="Style1"/>
        <w:numPr>
          <w:ilvl w:val="6"/>
          <w:numId w:val="24"/>
        </w:numPr>
        <w:tabs>
          <w:tab w:val="clear" w:pos="1701"/>
          <w:tab w:val="left" w:pos="1985"/>
        </w:tabs>
        <w:ind w:left="1134" w:hanging="567"/>
        <w:rPr>
          <w:u w:val="single"/>
          <w:lang w:val="en-GB"/>
        </w:rPr>
      </w:pPr>
      <w:r>
        <w:rPr>
          <w:u w:val="single"/>
          <w:lang w:val="en-GB"/>
        </w:rPr>
        <w:t>Further considers</w:t>
      </w:r>
      <w:r>
        <w:rPr>
          <w:lang w:val="en-GB"/>
        </w:rPr>
        <w:t xml:space="preserve"> that the implementation of the proposed safeguarding plan will need to be reviewed in view of the evolving context of the threats concerning the element and </w:t>
      </w:r>
      <w:r>
        <w:rPr>
          <w:u w:val="single"/>
          <w:lang w:val="en-GB"/>
        </w:rPr>
        <w:t>invites</w:t>
      </w:r>
      <w:r>
        <w:rPr>
          <w:lang w:val="en-GB"/>
        </w:rPr>
        <w:t xml:space="preserve"> the submitting State to revise the safeguarding plan accordingly</w:t>
      </w:r>
      <w:r>
        <w:rPr>
          <w:lang w:val="en-US"/>
        </w:rPr>
        <w:t>;</w:t>
      </w:r>
    </w:p>
    <w:p w14:paraId="0DB411CC" w14:textId="77777777" w:rsidR="00D63F68" w:rsidRDefault="00D63F68" w:rsidP="00D63F68">
      <w:pPr>
        <w:pStyle w:val="Style1"/>
        <w:numPr>
          <w:ilvl w:val="6"/>
          <w:numId w:val="24"/>
        </w:numPr>
        <w:tabs>
          <w:tab w:val="clear" w:pos="1701"/>
          <w:tab w:val="left" w:pos="1985"/>
        </w:tabs>
        <w:ind w:left="1134" w:hanging="567"/>
        <w:rPr>
          <w:u w:val="single"/>
          <w:lang w:val="en-GB"/>
        </w:rPr>
      </w:pPr>
      <w:r>
        <w:rPr>
          <w:u w:val="single"/>
          <w:lang w:val="en-GB"/>
        </w:rPr>
        <w:t>Further invites</w:t>
      </w:r>
      <w:r>
        <w:rPr>
          <w:lang w:val="en-GB"/>
        </w:rPr>
        <w:t xml:space="preserve"> the submitting State to report on the viability of the element and the safeguarding situation of the element, including any adjustments to the safeguarding plan, for examination by the eighteenth session of the Committee in 2023.</w:t>
      </w:r>
    </w:p>
    <w:sectPr w:rsidR="00D63F68" w:rsidSect="00655736">
      <w:headerReference w:type="even" r:id="rId20"/>
      <w:headerReference w:type="default" r:id="rId21"/>
      <w:headerReference w:type="first" r:id="rId2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EA585F1"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26221A" w:rsidRPr="004E1760">
      <w:rPr>
        <w:rFonts w:ascii="Arial" w:hAnsi="Arial" w:cs="Arial"/>
        <w:sz w:val="20"/>
        <w:szCs w:val="20"/>
      </w:rPr>
      <w:t>2</w:t>
    </w:r>
    <w:r w:rsidR="00CB0542" w:rsidRPr="004E1760">
      <w:rPr>
        <w:rFonts w:ascii="Arial" w:hAnsi="Arial" w:cs="Arial"/>
        <w:sz w:val="20"/>
        <w:szCs w:val="20"/>
      </w:rPr>
      <w:t>/1</w:t>
    </w:r>
    <w:r w:rsidR="0026221A" w:rsidRPr="004E1760">
      <w:rPr>
        <w:rFonts w:ascii="Arial" w:hAnsi="Arial" w:cs="Arial"/>
        <w:sz w:val="20"/>
        <w:szCs w:val="20"/>
      </w:rPr>
      <w:t>7</w:t>
    </w:r>
    <w:r w:rsidR="00EC6F8D" w:rsidRPr="004E1760">
      <w:rPr>
        <w:rFonts w:ascii="Arial" w:hAnsi="Arial" w:cs="Arial"/>
        <w:sz w:val="20"/>
        <w:szCs w:val="20"/>
      </w:rPr>
      <w:t>.</w:t>
    </w:r>
    <w:r w:rsidR="004E1760">
      <w:rPr>
        <w:rFonts w:ascii="Arial" w:hAnsi="Arial" w:cs="Arial"/>
        <w:sz w:val="20"/>
        <w:szCs w:val="20"/>
      </w:rPr>
      <w:t>COM </w:t>
    </w:r>
    <w:r w:rsidR="00852B51">
      <w:rPr>
        <w:rFonts w:ascii="Arial" w:hAnsi="Arial" w:cs="Arial"/>
        <w:sz w:val="20"/>
        <w:szCs w:val="20"/>
      </w:rPr>
      <w:t>4</w:t>
    </w:r>
    <w:r w:rsidR="004E1760" w:rsidRPr="0036787A">
      <w:rPr>
        <w:rFonts w:ascii="Arial" w:hAnsi="Arial" w:cs="Arial"/>
        <w:sz w:val="20"/>
        <w:szCs w:val="20"/>
      </w:rPr>
      <w:t>.BUR</w:t>
    </w:r>
    <w:r w:rsidR="004E1760" w:rsidRPr="000363E7">
      <w:rPr>
        <w:rFonts w:ascii="Arial" w:hAnsi="Arial" w:cs="Arial"/>
        <w:sz w:val="20"/>
        <w:szCs w:val="20"/>
      </w:rPr>
      <w:t>/</w:t>
    </w:r>
    <w:r w:rsidR="00E61685">
      <w:rPr>
        <w:rFonts w:ascii="Arial" w:hAnsi="Arial" w:cs="Arial"/>
        <w:sz w:val="20"/>
        <w:szCs w:val="20"/>
      </w:rPr>
      <w:t>Decisions</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D4F6A8C" w:rsidR="00D95C4C" w:rsidRPr="0063300C" w:rsidRDefault="00E7403B" w:rsidP="00C5776D">
    <w:pPr>
      <w:pStyle w:val="Header"/>
      <w:jc w:val="right"/>
      <w:rPr>
        <w:rFonts w:ascii="Arial" w:hAnsi="Arial" w:cs="Arial"/>
        <w:lang w:val="en-GB"/>
      </w:rPr>
    </w:pPr>
    <w:r w:rsidRPr="004E1760">
      <w:rPr>
        <w:rFonts w:ascii="Arial" w:hAnsi="Arial" w:cs="Arial"/>
        <w:sz w:val="20"/>
        <w:szCs w:val="20"/>
      </w:rPr>
      <w:t>LHE/22/17.</w:t>
    </w:r>
    <w:r>
      <w:rPr>
        <w:rFonts w:ascii="Arial" w:hAnsi="Arial" w:cs="Arial"/>
        <w:sz w:val="20"/>
        <w:szCs w:val="20"/>
      </w:rPr>
      <w:t>COM 4</w:t>
    </w:r>
    <w:r w:rsidRPr="0036787A">
      <w:rPr>
        <w:rFonts w:ascii="Arial" w:hAnsi="Arial" w:cs="Arial"/>
        <w:sz w:val="20"/>
        <w:szCs w:val="20"/>
      </w:rPr>
      <w:t>.BUR</w:t>
    </w:r>
    <w:r w:rsidRPr="000363E7">
      <w:rPr>
        <w:rFonts w:ascii="Arial" w:hAnsi="Arial" w:cs="Arial"/>
        <w:sz w:val="20"/>
        <w:szCs w:val="20"/>
      </w:rPr>
      <w:t>/</w:t>
    </w:r>
    <w:r w:rsidR="0006787A">
      <w:rPr>
        <w:rFonts w:ascii="Arial" w:hAnsi="Arial" w:cs="Arial"/>
        <w:sz w:val="20"/>
        <w:szCs w:val="20"/>
      </w:rPr>
      <w:t>Decisions</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106371CC"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7</w:t>
    </w:r>
    <w:r w:rsidR="003314E0">
      <w:rPr>
        <w:rFonts w:ascii="Arial" w:hAnsi="Arial" w:cs="Arial"/>
        <w:b/>
        <w:sz w:val="44"/>
        <w:szCs w:val="44"/>
        <w:lang w:val="pt-PT"/>
      </w:rPr>
      <w:t> </w:t>
    </w:r>
    <w:r w:rsidRPr="00232D65">
      <w:rPr>
        <w:rFonts w:ascii="Arial" w:hAnsi="Arial" w:cs="Arial"/>
        <w:b/>
        <w:sz w:val="44"/>
        <w:szCs w:val="44"/>
        <w:lang w:val="pt-PT"/>
      </w:rPr>
      <w:t>COM</w:t>
    </w:r>
    <w:r w:rsidR="003314E0">
      <w:rPr>
        <w:rFonts w:ascii="Arial" w:hAnsi="Arial" w:cs="Arial"/>
        <w:b/>
        <w:sz w:val="44"/>
        <w:szCs w:val="44"/>
        <w:lang w:val="pt-PT"/>
      </w:rPr>
      <w:t> </w:t>
    </w:r>
    <w:r w:rsidR="00852B51">
      <w:rPr>
        <w:rFonts w:ascii="Arial" w:hAnsi="Arial" w:cs="Arial"/>
        <w:b/>
        <w:sz w:val="44"/>
        <w:szCs w:val="44"/>
        <w:lang w:val="pt-PT"/>
      </w:rPr>
      <w:t>4</w:t>
    </w:r>
    <w:r w:rsidR="003314E0">
      <w:rPr>
        <w:rFonts w:ascii="Arial" w:hAnsi="Arial" w:cs="Arial"/>
        <w:b/>
        <w:sz w:val="44"/>
        <w:szCs w:val="44"/>
        <w:lang w:val="pt-PT"/>
      </w:rPr>
      <w:t> </w:t>
    </w:r>
    <w:r w:rsidRPr="00232D65">
      <w:rPr>
        <w:rFonts w:ascii="Arial" w:hAnsi="Arial" w:cs="Arial"/>
        <w:b/>
        <w:sz w:val="44"/>
        <w:szCs w:val="44"/>
        <w:lang w:val="pt-PT"/>
      </w:rPr>
      <w:t>BUR</w:t>
    </w:r>
  </w:p>
  <w:p w14:paraId="6D1B3489" w14:textId="0E5CBC73"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22</w:t>
    </w:r>
    <w:r w:rsidRPr="00D7105A">
      <w:rPr>
        <w:rFonts w:ascii="Arial" w:hAnsi="Arial" w:cs="Arial"/>
        <w:b/>
        <w:sz w:val="22"/>
        <w:szCs w:val="22"/>
        <w:lang w:val="pt-PT"/>
      </w:rPr>
      <w:t>/</w:t>
    </w:r>
    <w:bookmarkStart w:id="13" w:name="_Hlk94624970"/>
    <w:r w:rsidRPr="00D7105A">
      <w:rPr>
        <w:rFonts w:ascii="Arial" w:hAnsi="Arial" w:cs="Arial"/>
        <w:b/>
        <w:sz w:val="22"/>
        <w:szCs w:val="22"/>
        <w:lang w:val="pt-PT"/>
      </w:rPr>
      <w:t>1</w:t>
    </w:r>
    <w:r>
      <w:rPr>
        <w:rFonts w:ascii="Arial" w:hAnsi="Arial" w:cs="Arial"/>
        <w:b/>
        <w:sz w:val="22"/>
        <w:szCs w:val="22"/>
        <w:lang w:val="pt-PT"/>
      </w:rPr>
      <w:t>7</w:t>
    </w:r>
    <w:r w:rsidRPr="00D7105A">
      <w:rPr>
        <w:rFonts w:ascii="Arial" w:hAnsi="Arial" w:cs="Arial"/>
        <w:b/>
        <w:sz w:val="22"/>
        <w:szCs w:val="22"/>
        <w:lang w:val="pt-PT"/>
      </w:rPr>
      <w:t>.</w:t>
    </w:r>
    <w:r w:rsidRPr="00F72876">
      <w:rPr>
        <w:rFonts w:ascii="Arial" w:hAnsi="Arial" w:cs="Arial"/>
        <w:b/>
        <w:sz w:val="22"/>
        <w:szCs w:val="22"/>
        <w:lang w:val="pt-PT"/>
      </w:rPr>
      <w:t>COM </w:t>
    </w:r>
    <w:r w:rsidR="00852B51">
      <w:rPr>
        <w:rFonts w:ascii="Arial" w:hAnsi="Arial" w:cs="Arial"/>
        <w:b/>
        <w:sz w:val="22"/>
        <w:szCs w:val="22"/>
        <w:lang w:val="pt-PT"/>
      </w:rPr>
      <w:t>4</w:t>
    </w:r>
    <w:r w:rsidRPr="00F72876">
      <w:rPr>
        <w:rFonts w:ascii="Arial" w:hAnsi="Arial" w:cs="Arial"/>
        <w:b/>
        <w:sz w:val="22"/>
        <w:szCs w:val="22"/>
        <w:lang w:val="pt-PT"/>
      </w:rPr>
      <w:t>.BUR</w:t>
    </w:r>
    <w:r w:rsidRPr="00D7105A">
      <w:rPr>
        <w:rFonts w:ascii="Arial" w:hAnsi="Arial" w:cs="Arial"/>
        <w:b/>
        <w:sz w:val="22"/>
        <w:szCs w:val="22"/>
        <w:lang w:val="pt-PT"/>
      </w:rPr>
      <w:t>/</w:t>
    </w:r>
    <w:r w:rsidR="00E61685">
      <w:rPr>
        <w:rFonts w:ascii="Arial" w:hAnsi="Arial" w:cs="Arial"/>
        <w:b/>
        <w:sz w:val="22"/>
        <w:szCs w:val="22"/>
        <w:lang w:val="pt-PT"/>
      </w:rPr>
      <w:t>Decisions</w:t>
    </w:r>
  </w:p>
  <w:bookmarkEnd w:id="13"/>
  <w:p w14:paraId="1B4446C3" w14:textId="2A479DF8" w:rsidR="00D95C4C" w:rsidRPr="00E61685"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Pari</w:t>
    </w:r>
    <w:r w:rsidRPr="003314E0">
      <w:rPr>
        <w:rFonts w:ascii="Arial" w:hAnsi="Arial" w:cs="Arial"/>
        <w:b/>
        <w:sz w:val="22"/>
        <w:szCs w:val="22"/>
        <w:lang w:val="pt-PT"/>
      </w:rPr>
      <w:t>s,</w:t>
    </w:r>
    <w:r w:rsidR="003314E0" w:rsidRPr="003314E0">
      <w:rPr>
        <w:rFonts w:ascii="Arial" w:hAnsi="Arial" w:cs="Arial"/>
        <w:b/>
        <w:sz w:val="22"/>
        <w:szCs w:val="22"/>
        <w:lang w:val="pt-PT"/>
      </w:rPr>
      <w:t xml:space="preserve"> </w:t>
    </w:r>
    <w:r w:rsidR="00E61685">
      <w:rPr>
        <w:rFonts w:ascii="Arial" w:hAnsi="Arial" w:cs="Arial"/>
        <w:b/>
        <w:sz w:val="22"/>
        <w:szCs w:val="22"/>
        <w:lang w:val="pt-PT"/>
      </w:rPr>
      <w:t>23</w:t>
    </w:r>
    <w:r w:rsidR="003314E0">
      <w:rPr>
        <w:rFonts w:ascii="Arial" w:hAnsi="Arial" w:cs="Arial"/>
        <w:b/>
        <w:sz w:val="22"/>
        <w:szCs w:val="22"/>
        <w:lang w:val="pt-PT"/>
      </w:rPr>
      <w:t xml:space="preserve"> </w:t>
    </w:r>
    <w:r w:rsidR="00595B1A" w:rsidRPr="00E61685">
      <w:rPr>
        <w:rFonts w:ascii="Arial" w:hAnsi="Arial" w:cs="Arial"/>
        <w:b/>
        <w:sz w:val="22"/>
        <w:szCs w:val="22"/>
        <w:lang w:val="pt-PT"/>
      </w:rPr>
      <w:t>June</w:t>
    </w:r>
    <w:r w:rsidR="003314E0" w:rsidRPr="00E61685">
      <w:rPr>
        <w:rFonts w:ascii="Arial" w:hAnsi="Arial" w:cs="Arial"/>
        <w:b/>
        <w:sz w:val="22"/>
        <w:szCs w:val="22"/>
        <w:lang w:val="pt-PT"/>
      </w:rPr>
      <w:t xml:space="preserve"> </w:t>
    </w:r>
    <w:r w:rsidR="00337CEB" w:rsidRPr="00E61685">
      <w:rPr>
        <w:rFonts w:ascii="Arial" w:hAnsi="Arial" w:cs="Arial"/>
        <w:b/>
        <w:sz w:val="22"/>
        <w:szCs w:val="22"/>
        <w:lang w:val="pt-PT"/>
      </w:rPr>
      <w:t>20</w:t>
    </w:r>
    <w:r w:rsidR="00D7105A" w:rsidRPr="00E61685">
      <w:rPr>
        <w:rFonts w:ascii="Arial" w:hAnsi="Arial" w:cs="Arial"/>
        <w:b/>
        <w:sz w:val="22"/>
        <w:szCs w:val="22"/>
        <w:lang w:val="pt-PT"/>
      </w:rPr>
      <w:t>2</w:t>
    </w:r>
    <w:r w:rsidR="0026221A" w:rsidRPr="00E61685">
      <w:rPr>
        <w:rFonts w:ascii="Arial" w:hAnsi="Arial" w:cs="Arial"/>
        <w:b/>
        <w:sz w:val="22"/>
        <w:szCs w:val="22"/>
        <w:lang w:val="pt-PT"/>
      </w:rPr>
      <w:t>2</w:t>
    </w:r>
  </w:p>
  <w:p w14:paraId="255B57FF" w14:textId="518E04C2" w:rsidR="00D95C4C" w:rsidRPr="00151E44" w:rsidRDefault="00D95C4C" w:rsidP="00962034">
    <w:pPr>
      <w:spacing w:after="120"/>
      <w:jc w:val="right"/>
      <w:rPr>
        <w:rFonts w:ascii="Arial" w:hAnsi="Arial" w:cs="Arial"/>
        <w:b/>
        <w:sz w:val="22"/>
        <w:szCs w:val="22"/>
        <w:lang w:val="en-US"/>
      </w:rPr>
    </w:pPr>
    <w:r w:rsidRPr="00E61685">
      <w:rPr>
        <w:rFonts w:ascii="Arial" w:hAnsi="Arial" w:cs="Arial"/>
        <w:b/>
        <w:sz w:val="22"/>
        <w:szCs w:val="22"/>
        <w:lang w:val="en-US"/>
      </w:rPr>
      <w:t xml:space="preserve">Original: </w:t>
    </w:r>
    <w:r w:rsidR="00151E44" w:rsidRPr="00E61685">
      <w:rPr>
        <w:rFonts w:ascii="Arial" w:hAnsi="Arial" w:cs="Arial"/>
        <w:b/>
        <w:sz w:val="22"/>
        <w:szCs w:val="22"/>
        <w:lang w:val="en-US"/>
      </w:rPr>
      <w:t>English</w:t>
    </w:r>
    <w:r w:rsidR="00E61685" w:rsidRPr="00E61685">
      <w:rPr>
        <w:rFonts w:ascii="Arial" w:hAnsi="Arial" w:cs="Arial"/>
        <w:b/>
        <w:sz w:val="22"/>
        <w:szCs w:val="22"/>
        <w:lang w:val="en-US"/>
      </w:rPr>
      <w:t xml:space="preserve"> / Fre</w:t>
    </w:r>
    <w:r w:rsidR="00E61685">
      <w:rPr>
        <w:rFonts w:ascii="Arial" w:hAnsi="Arial" w:cs="Arial"/>
        <w:b/>
        <w:sz w:val="22"/>
        <w:szCs w:val="22"/>
        <w:lang w:val="en-US"/>
      </w:rPr>
      <w:t>nch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FD2"/>
    <w:multiLevelType w:val="hybridMultilevel"/>
    <w:tmpl w:val="D744CA92"/>
    <w:lvl w:ilvl="0" w:tplc="F03E1B1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DC931D0"/>
    <w:multiLevelType w:val="multilevel"/>
    <w:tmpl w:val="D66A2C00"/>
    <w:lvl w:ilvl="0">
      <w:start w:val="2"/>
      <w:numFmt w:val="upperLetter"/>
      <w:lvlText w:val="%1."/>
      <w:lvlJc w:val="left"/>
      <w:pPr>
        <w:ind w:left="0" w:firstLine="0"/>
      </w:pPr>
      <w:rPr>
        <w:rFonts w:hint="default"/>
        <w:color w:val="auto"/>
        <w:sz w:val="22"/>
      </w:rPr>
    </w:lvl>
    <w:lvl w:ilvl="1">
      <w:start w:val="2"/>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BF14D0"/>
    <w:multiLevelType w:val="hybridMultilevel"/>
    <w:tmpl w:val="8AD8FFDE"/>
    <w:lvl w:ilvl="0" w:tplc="8B1296DC">
      <w:start w:val="7"/>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71447D4"/>
    <w:multiLevelType w:val="hybridMultilevel"/>
    <w:tmpl w:val="9F8659EE"/>
    <w:lvl w:ilvl="0" w:tplc="74E29F06">
      <w:start w:val="1"/>
      <w:numFmt w:val="lowerRoman"/>
      <w:lvlText w:val="%1)"/>
      <w:lvlJc w:val="left"/>
      <w:pPr>
        <w:ind w:left="360" w:hanging="360"/>
      </w:pPr>
      <w:rPr>
        <w:rFonts w:ascii="Arial" w:eastAsia="SimSun" w:hAnsi="Arial" w:cs="Arial"/>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97A4DB1"/>
    <w:multiLevelType w:val="hybridMultilevel"/>
    <w:tmpl w:val="29A2A132"/>
    <w:lvl w:ilvl="0" w:tplc="7A10212C">
      <w:start w:val="1"/>
      <w:numFmt w:val="decimal"/>
      <w:pStyle w:val="COMParaDecision"/>
      <w:lvlText w:val="%1."/>
      <w:lvlJc w:val="left"/>
      <w:pPr>
        <w:ind w:left="423" w:hanging="360"/>
      </w:pPr>
      <w:rPr>
        <w:b w:val="0"/>
        <w:bCs w:val="0"/>
      </w:rPr>
    </w:lvl>
    <w:lvl w:ilvl="1" w:tplc="040C0019" w:tentative="1">
      <w:start w:val="1"/>
      <w:numFmt w:val="lowerLetter"/>
      <w:lvlText w:val="%2."/>
      <w:lvlJc w:val="left"/>
      <w:pPr>
        <w:ind w:left="1143" w:hanging="360"/>
      </w:pPr>
    </w:lvl>
    <w:lvl w:ilvl="2" w:tplc="040C001B" w:tentative="1">
      <w:start w:val="1"/>
      <w:numFmt w:val="lowerRoman"/>
      <w:lvlText w:val="%3."/>
      <w:lvlJc w:val="right"/>
      <w:pPr>
        <w:ind w:left="1863" w:hanging="180"/>
      </w:pPr>
    </w:lvl>
    <w:lvl w:ilvl="3" w:tplc="040C000F" w:tentative="1">
      <w:start w:val="1"/>
      <w:numFmt w:val="decimal"/>
      <w:lvlText w:val="%4."/>
      <w:lvlJc w:val="left"/>
      <w:pPr>
        <w:ind w:left="2583" w:hanging="360"/>
      </w:pPr>
    </w:lvl>
    <w:lvl w:ilvl="4" w:tplc="040C0019" w:tentative="1">
      <w:start w:val="1"/>
      <w:numFmt w:val="lowerLetter"/>
      <w:lvlText w:val="%5."/>
      <w:lvlJc w:val="left"/>
      <w:pPr>
        <w:ind w:left="3303" w:hanging="360"/>
      </w:pPr>
    </w:lvl>
    <w:lvl w:ilvl="5" w:tplc="040C001B" w:tentative="1">
      <w:start w:val="1"/>
      <w:numFmt w:val="lowerRoman"/>
      <w:lvlText w:val="%6."/>
      <w:lvlJc w:val="right"/>
      <w:pPr>
        <w:ind w:left="4023" w:hanging="180"/>
      </w:pPr>
    </w:lvl>
    <w:lvl w:ilvl="6" w:tplc="040C000F" w:tentative="1">
      <w:start w:val="1"/>
      <w:numFmt w:val="decimal"/>
      <w:lvlText w:val="%7."/>
      <w:lvlJc w:val="left"/>
      <w:pPr>
        <w:ind w:left="4743" w:hanging="360"/>
      </w:pPr>
    </w:lvl>
    <w:lvl w:ilvl="7" w:tplc="040C0019" w:tentative="1">
      <w:start w:val="1"/>
      <w:numFmt w:val="lowerLetter"/>
      <w:lvlText w:val="%8."/>
      <w:lvlJc w:val="left"/>
      <w:pPr>
        <w:ind w:left="5463" w:hanging="360"/>
      </w:pPr>
    </w:lvl>
    <w:lvl w:ilvl="8" w:tplc="040C001B" w:tentative="1">
      <w:start w:val="1"/>
      <w:numFmt w:val="lowerRoman"/>
      <w:lvlText w:val="%9."/>
      <w:lvlJc w:val="right"/>
      <w:pPr>
        <w:ind w:left="6183"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49521BE1"/>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4"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5" w15:restartNumberingAfterBreak="0">
    <w:nsid w:val="4E7117AC"/>
    <w:multiLevelType w:val="multilevel"/>
    <w:tmpl w:val="0BA4F8B8"/>
    <w:lvl w:ilvl="0">
      <w:start w:val="1"/>
      <w:numFmt w:val="upperLetter"/>
      <w:lvlText w:val="%1."/>
      <w:lvlJc w:val="left"/>
      <w:pPr>
        <w:ind w:left="0" w:firstLine="0"/>
      </w:pPr>
      <w:rPr>
        <w:rFonts w:hint="default"/>
        <w:color w:val="auto"/>
        <w:sz w:val="22"/>
      </w:rPr>
    </w:lvl>
    <w:lvl w:ilvl="1">
      <w:start w:val="1"/>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F843384"/>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7"/>
  </w:num>
  <w:num w:numId="2">
    <w:abstractNumId w:val="7"/>
  </w:num>
  <w:num w:numId="3">
    <w:abstractNumId w:val="2"/>
  </w:num>
  <w:num w:numId="4">
    <w:abstractNumId w:val="20"/>
  </w:num>
  <w:num w:numId="5">
    <w:abstractNumId w:val="18"/>
  </w:num>
  <w:num w:numId="6">
    <w:abstractNumId w:val="1"/>
  </w:num>
  <w:num w:numId="7">
    <w:abstractNumId w:val="3"/>
  </w:num>
  <w:num w:numId="8">
    <w:abstractNumId w:val="12"/>
  </w:num>
  <w:num w:numId="9">
    <w:abstractNumId w:val="6"/>
  </w:num>
  <w:num w:numId="10">
    <w:abstractNumId w:val="9"/>
  </w:num>
  <w:num w:numId="11">
    <w:abstractNumId w:val="11"/>
  </w:num>
  <w:num w:numId="12">
    <w:abstractNumId w:val="10"/>
  </w:num>
  <w:num w:numId="13">
    <w:abstractNumId w:val="21"/>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num>
  <w:num w:numId="18">
    <w:abstractNumId w:val="0"/>
  </w:num>
  <w:num w:numId="19">
    <w:abstractNumId w:val="5"/>
  </w:num>
  <w:num w:numId="20">
    <w:abstractNumId w:val="16"/>
  </w:num>
  <w:num w:numId="21">
    <w:abstractNumId w:val="9"/>
    <w:lvlOverride w:ilvl="0">
      <w:startOverride w:val="1"/>
    </w:lvlOverride>
  </w:num>
  <w:num w:numId="22">
    <w:abstractNumId w:val="9"/>
    <w:lvlOverride w:ilvl="0">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5176E"/>
    <w:rsid w:val="0006787A"/>
    <w:rsid w:val="000765F7"/>
    <w:rsid w:val="00077AB7"/>
    <w:rsid w:val="00081CD8"/>
    <w:rsid w:val="000A7F0E"/>
    <w:rsid w:val="000B1C8F"/>
    <w:rsid w:val="000C0D61"/>
    <w:rsid w:val="000D4131"/>
    <w:rsid w:val="000F3A3F"/>
    <w:rsid w:val="00102557"/>
    <w:rsid w:val="00151E44"/>
    <w:rsid w:val="00164D56"/>
    <w:rsid w:val="00167B10"/>
    <w:rsid w:val="0017402F"/>
    <w:rsid w:val="001740FB"/>
    <w:rsid w:val="001752D5"/>
    <w:rsid w:val="00190205"/>
    <w:rsid w:val="00196C1B"/>
    <w:rsid w:val="001B0F73"/>
    <w:rsid w:val="001C2DB7"/>
    <w:rsid w:val="001D14FE"/>
    <w:rsid w:val="001D5C04"/>
    <w:rsid w:val="001F26CF"/>
    <w:rsid w:val="00222A2D"/>
    <w:rsid w:val="00223029"/>
    <w:rsid w:val="00234745"/>
    <w:rsid w:val="002351A6"/>
    <w:rsid w:val="002407AF"/>
    <w:rsid w:val="0026221A"/>
    <w:rsid w:val="0027466B"/>
    <w:rsid w:val="002838A5"/>
    <w:rsid w:val="00285BB4"/>
    <w:rsid w:val="002C09E3"/>
    <w:rsid w:val="002D1244"/>
    <w:rsid w:val="003314E0"/>
    <w:rsid w:val="00337CEB"/>
    <w:rsid w:val="00344B58"/>
    <w:rsid w:val="0034539A"/>
    <w:rsid w:val="00345CB4"/>
    <w:rsid w:val="00375D42"/>
    <w:rsid w:val="003938DD"/>
    <w:rsid w:val="003D069C"/>
    <w:rsid w:val="003D7646"/>
    <w:rsid w:val="003F113A"/>
    <w:rsid w:val="003F3E63"/>
    <w:rsid w:val="00407480"/>
    <w:rsid w:val="00410E70"/>
    <w:rsid w:val="00414643"/>
    <w:rsid w:val="004421E5"/>
    <w:rsid w:val="00452284"/>
    <w:rsid w:val="00457C8E"/>
    <w:rsid w:val="004856CA"/>
    <w:rsid w:val="00487E67"/>
    <w:rsid w:val="00495516"/>
    <w:rsid w:val="0049705E"/>
    <w:rsid w:val="004A2875"/>
    <w:rsid w:val="004A34A0"/>
    <w:rsid w:val="004C7C82"/>
    <w:rsid w:val="004E1760"/>
    <w:rsid w:val="005008A8"/>
    <w:rsid w:val="00517FD8"/>
    <w:rsid w:val="00526B7B"/>
    <w:rsid w:val="005308CE"/>
    <w:rsid w:val="0053318C"/>
    <w:rsid w:val="00560D45"/>
    <w:rsid w:val="0057439C"/>
    <w:rsid w:val="00595B1A"/>
    <w:rsid w:val="005B0127"/>
    <w:rsid w:val="005B7A35"/>
    <w:rsid w:val="005C4B73"/>
    <w:rsid w:val="005E1D2B"/>
    <w:rsid w:val="005E7074"/>
    <w:rsid w:val="005F2BAF"/>
    <w:rsid w:val="00600D93"/>
    <w:rsid w:val="00626BEA"/>
    <w:rsid w:val="0063300C"/>
    <w:rsid w:val="00651A5B"/>
    <w:rsid w:val="00655736"/>
    <w:rsid w:val="00663B8D"/>
    <w:rsid w:val="00696C8D"/>
    <w:rsid w:val="006A2AC2"/>
    <w:rsid w:val="006A3617"/>
    <w:rsid w:val="006B4452"/>
    <w:rsid w:val="006E3B93"/>
    <w:rsid w:val="006E46E4"/>
    <w:rsid w:val="006E75EB"/>
    <w:rsid w:val="00717DA5"/>
    <w:rsid w:val="00744484"/>
    <w:rsid w:val="00747566"/>
    <w:rsid w:val="00773188"/>
    <w:rsid w:val="00783782"/>
    <w:rsid w:val="00784B8C"/>
    <w:rsid w:val="007879E1"/>
    <w:rsid w:val="0079273F"/>
    <w:rsid w:val="00823A11"/>
    <w:rsid w:val="008446BA"/>
    <w:rsid w:val="00846534"/>
    <w:rsid w:val="00852B51"/>
    <w:rsid w:val="0085405E"/>
    <w:rsid w:val="0085414A"/>
    <w:rsid w:val="00857EB9"/>
    <w:rsid w:val="0086269D"/>
    <w:rsid w:val="0086543A"/>
    <w:rsid w:val="008724E5"/>
    <w:rsid w:val="008752C5"/>
    <w:rsid w:val="00884A9D"/>
    <w:rsid w:val="0088512B"/>
    <w:rsid w:val="008A1CBA"/>
    <w:rsid w:val="008A2B2D"/>
    <w:rsid w:val="008A4E1E"/>
    <w:rsid w:val="008C296C"/>
    <w:rsid w:val="008D079E"/>
    <w:rsid w:val="008D4305"/>
    <w:rsid w:val="008E1A85"/>
    <w:rsid w:val="009163A7"/>
    <w:rsid w:val="009205F5"/>
    <w:rsid w:val="00946D0B"/>
    <w:rsid w:val="00955877"/>
    <w:rsid w:val="00962034"/>
    <w:rsid w:val="0096519E"/>
    <w:rsid w:val="00972339"/>
    <w:rsid w:val="009A18CD"/>
    <w:rsid w:val="009D5428"/>
    <w:rsid w:val="00A12558"/>
    <w:rsid w:val="00A13903"/>
    <w:rsid w:val="00A34ED5"/>
    <w:rsid w:val="00A3552C"/>
    <w:rsid w:val="00A45DBF"/>
    <w:rsid w:val="00A725CF"/>
    <w:rsid w:val="00A755A2"/>
    <w:rsid w:val="00AA6660"/>
    <w:rsid w:val="00AB2C36"/>
    <w:rsid w:val="00AB6DDE"/>
    <w:rsid w:val="00AB70B6"/>
    <w:rsid w:val="00AD1A86"/>
    <w:rsid w:val="00AE103E"/>
    <w:rsid w:val="00AF0A07"/>
    <w:rsid w:val="00AF4AEC"/>
    <w:rsid w:val="00AF625E"/>
    <w:rsid w:val="00AF70EC"/>
    <w:rsid w:val="00B139BE"/>
    <w:rsid w:val="00B2172B"/>
    <w:rsid w:val="00B917D2"/>
    <w:rsid w:val="00BA241A"/>
    <w:rsid w:val="00BB04AF"/>
    <w:rsid w:val="00BD52C9"/>
    <w:rsid w:val="00BE6354"/>
    <w:rsid w:val="00C05A64"/>
    <w:rsid w:val="00C138D1"/>
    <w:rsid w:val="00C2011D"/>
    <w:rsid w:val="00C23A97"/>
    <w:rsid w:val="00C52EBE"/>
    <w:rsid w:val="00C5776D"/>
    <w:rsid w:val="00C64855"/>
    <w:rsid w:val="00C70EA7"/>
    <w:rsid w:val="00C7433F"/>
    <w:rsid w:val="00C7516E"/>
    <w:rsid w:val="00C75374"/>
    <w:rsid w:val="00C75770"/>
    <w:rsid w:val="00CA56BB"/>
    <w:rsid w:val="00CB0542"/>
    <w:rsid w:val="00D00B2B"/>
    <w:rsid w:val="00D12504"/>
    <w:rsid w:val="00D24877"/>
    <w:rsid w:val="00D63F68"/>
    <w:rsid w:val="00D66EDC"/>
    <w:rsid w:val="00D7105A"/>
    <w:rsid w:val="00D8250F"/>
    <w:rsid w:val="00D86BB3"/>
    <w:rsid w:val="00D95C4C"/>
    <w:rsid w:val="00DA36ED"/>
    <w:rsid w:val="00DB48FE"/>
    <w:rsid w:val="00DE34F1"/>
    <w:rsid w:val="00DE6160"/>
    <w:rsid w:val="00DF3DCA"/>
    <w:rsid w:val="00DF4942"/>
    <w:rsid w:val="00E16EFD"/>
    <w:rsid w:val="00E2125F"/>
    <w:rsid w:val="00E244E1"/>
    <w:rsid w:val="00E4150C"/>
    <w:rsid w:val="00E61685"/>
    <w:rsid w:val="00E627B1"/>
    <w:rsid w:val="00E70169"/>
    <w:rsid w:val="00E7403B"/>
    <w:rsid w:val="00E9376C"/>
    <w:rsid w:val="00E95AE2"/>
    <w:rsid w:val="00EA335E"/>
    <w:rsid w:val="00EA528C"/>
    <w:rsid w:val="00EA580C"/>
    <w:rsid w:val="00EC6F8D"/>
    <w:rsid w:val="00ED39B2"/>
    <w:rsid w:val="00EE49F4"/>
    <w:rsid w:val="00EF34E2"/>
    <w:rsid w:val="00F30DC6"/>
    <w:rsid w:val="00F32C23"/>
    <w:rsid w:val="00F53DE9"/>
    <w:rsid w:val="00F576CB"/>
    <w:rsid w:val="00F7035D"/>
    <w:rsid w:val="00F71A02"/>
    <w:rsid w:val="00FA0D63"/>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character" w:styleId="Hyperlink">
    <w:name w:val="Hyperlink"/>
    <w:uiPriority w:val="99"/>
    <w:rsid w:val="00D63F68"/>
    <w:rPr>
      <w:color w:val="0000FF"/>
      <w:u w:val="single"/>
      <w:lang w:val="en-GB" w:eastAsia="en-GB"/>
    </w:rPr>
  </w:style>
  <w:style w:type="character" w:customStyle="1" w:styleId="MargeChar">
    <w:name w:val="Marge Char"/>
    <w:link w:val="Marge"/>
    <w:rsid w:val="00D63F68"/>
    <w:rPr>
      <w:rFonts w:ascii="Arial" w:eastAsia="Times New Roman" w:hAnsi="Arial"/>
      <w:snapToGrid w:val="0"/>
      <w:sz w:val="22"/>
      <w:szCs w:val="24"/>
      <w:lang w:eastAsia="en-US"/>
    </w:rPr>
  </w:style>
  <w:style w:type="paragraph" w:customStyle="1" w:styleId="ListParagraph1">
    <w:name w:val="List Paragraph1"/>
    <w:basedOn w:val="Normal"/>
    <w:uiPriority w:val="34"/>
    <w:qFormat/>
    <w:rsid w:val="00D63F68"/>
    <w:pPr>
      <w:ind w:left="708"/>
    </w:pPr>
    <w:rPr>
      <w:rFonts w:eastAsia="SimSun"/>
      <w:lang w:val="en-GB" w:eastAsia="en-US"/>
    </w:rPr>
  </w:style>
  <w:style w:type="paragraph" w:styleId="NoSpacing">
    <w:name w:val="No Spacing"/>
    <w:uiPriority w:val="1"/>
    <w:qFormat/>
    <w:rsid w:val="00D63F68"/>
    <w:rPr>
      <w:rFonts w:ascii="Times New Roman" w:eastAsia="Times New Roman" w:hAnsi="Times New Roman"/>
      <w:sz w:val="24"/>
      <w:szCs w:val="24"/>
    </w:rPr>
  </w:style>
  <w:style w:type="paragraph" w:customStyle="1" w:styleId="Style1">
    <w:name w:val="Style1"/>
    <w:basedOn w:val="Normal"/>
    <w:link w:val="Style1Char"/>
    <w:qFormat/>
    <w:rsid w:val="00D63F68"/>
    <w:pPr>
      <w:tabs>
        <w:tab w:val="left" w:pos="1134"/>
        <w:tab w:val="left" w:pos="1701"/>
        <w:tab w:val="left" w:pos="2268"/>
      </w:tabs>
      <w:spacing w:before="120" w:after="120"/>
      <w:jc w:val="both"/>
    </w:pPr>
    <w:rPr>
      <w:rFonts w:ascii="Arial" w:hAnsi="Arial" w:cs="Arial"/>
      <w:sz w:val="22"/>
      <w:szCs w:val="22"/>
    </w:rPr>
  </w:style>
  <w:style w:type="character" w:customStyle="1" w:styleId="Style1Char">
    <w:name w:val="Style1 Char"/>
    <w:basedOn w:val="DefaultParagraphFont"/>
    <w:link w:val="Style1"/>
    <w:rsid w:val="00D63F68"/>
    <w:rPr>
      <w:rFonts w:ascii="Arial" w:eastAsia="Times New Roman" w:hAnsi="Arial" w:cs="Arial"/>
      <w:sz w:val="22"/>
      <w:szCs w:val="22"/>
    </w:rPr>
  </w:style>
  <w:style w:type="paragraph" w:customStyle="1" w:styleId="ABSTRACTS">
    <w:name w:val="ABSTRACTS"/>
    <w:qFormat/>
    <w:rsid w:val="00D63F68"/>
    <w:pPr>
      <w:spacing w:after="120"/>
      <w:ind w:left="1143"/>
      <w:jc w:val="both"/>
    </w:pPr>
    <w:rPr>
      <w:rFonts w:ascii="Arial" w:eastAsia="Times New Roman" w:hAnsi="Arial" w:cs="Arial"/>
      <w:snapToGrid w:val="0"/>
      <w:sz w:val="22"/>
      <w:szCs w:val="22"/>
      <w:lang w:eastAsia="en-US"/>
    </w:rPr>
  </w:style>
  <w:style w:type="character" w:styleId="UnresolvedMention">
    <w:name w:val="Unresolved Mention"/>
    <w:basedOn w:val="DefaultParagraphFont"/>
    <w:uiPriority w:val="99"/>
    <w:semiHidden/>
    <w:unhideWhenUsed/>
    <w:rsid w:val="00972339"/>
    <w:rPr>
      <w:color w:val="605E5C"/>
      <w:shd w:val="clear" w:color="auto" w:fill="E1DFDD"/>
    </w:rPr>
  </w:style>
  <w:style w:type="character" w:styleId="FollowedHyperlink">
    <w:name w:val="FollowedHyperlink"/>
    <w:basedOn w:val="DefaultParagraphFont"/>
    <w:uiPriority w:val="99"/>
    <w:semiHidden/>
    <w:unhideWhenUsed/>
    <w:rsid w:val="0079273F"/>
    <w:rPr>
      <w:color w:val="800080" w:themeColor="followedHyperlink"/>
      <w:u w:val="single"/>
    </w:rPr>
  </w:style>
  <w:style w:type="character" w:styleId="Strong">
    <w:name w:val="Strong"/>
    <w:basedOn w:val="DefaultParagraphFont"/>
    <w:uiPriority w:val="22"/>
    <w:qFormat/>
    <w:rsid w:val="008A1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_4.BUR-2-EN.docx" TargetMode="External"/><Relationship Id="rId13" Type="http://schemas.openxmlformats.org/officeDocument/2006/relationships/hyperlink" Target="https://ich.unesco.org/doc/src/LHE-21-16.COM-7.d-EN.docx" TargetMode="External"/><Relationship Id="rId18" Type="http://schemas.openxmlformats.org/officeDocument/2006/relationships/hyperlink" Target="https://ich.unesco.org/doc/src/LHE-22-17.COM_4.BUR-5-EN.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doc/src/LHE-19-14.COM_4.BUR-4-EN.docx" TargetMode="External"/><Relationship Id="rId17" Type="http://schemas.openxmlformats.org/officeDocument/2006/relationships/hyperlink" Target="https://ich.unesco.org/en/decisions-bureau/17.COM%201.BUR/4" TargetMode="External"/><Relationship Id="rId2" Type="http://schemas.openxmlformats.org/officeDocument/2006/relationships/numbering" Target="numbering.xml"/><Relationship Id="rId16" Type="http://schemas.openxmlformats.org/officeDocument/2006/relationships/hyperlink" Target="https://ich.unesco.org/en/Decisions/16.COM/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17.COM_4.BUR-3_EN.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LHE-22-17.COM_4.BUR-4-EN.docx" TargetMode="External"/><Relationship Id="rId23" Type="http://schemas.openxmlformats.org/officeDocument/2006/relationships/fontTable" Target="fontTable.xml"/><Relationship Id="rId10" Type="http://schemas.openxmlformats.org/officeDocument/2006/relationships/hyperlink" Target="https://ich.unesco.org/doc/src/LHE-22-17.COM_4.BUR-3_EN.docx" TargetMode="External"/><Relationship Id="rId19" Type="http://schemas.openxmlformats.org/officeDocument/2006/relationships/hyperlink" Target="https://ich.unesco.org/doc/src/LHE-22-17.COM_3.BUR-Decisions-EN.docx" TargetMode="External"/><Relationship Id="rId4" Type="http://schemas.openxmlformats.org/officeDocument/2006/relationships/settings" Target="settings.xml"/><Relationship Id="rId9" Type="http://schemas.openxmlformats.org/officeDocument/2006/relationships/hyperlink" Target="https://ich.unesco.org/doc/src/LHE-22-17.COM_4.BUR-3_EN.docx" TargetMode="External"/><Relationship Id="rId14" Type="http://schemas.openxmlformats.org/officeDocument/2006/relationships/hyperlink" Target="https://ich.unesco.org/doc/src/LHE-22-17.COM_4.BUR-3_EN.doc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104</TotalTime>
  <Pages>13</Pages>
  <Words>6355</Words>
  <Characters>36230</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Julien</cp:lastModifiedBy>
  <cp:revision>48</cp:revision>
  <cp:lastPrinted>2011-08-06T10:22:00Z</cp:lastPrinted>
  <dcterms:created xsi:type="dcterms:W3CDTF">2020-04-15T10:53:00Z</dcterms:created>
  <dcterms:modified xsi:type="dcterms:W3CDTF">2022-06-23T15:21:00Z</dcterms:modified>
</cp:coreProperties>
</file>