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B771D2" w:rsidRDefault="00AC4027" w:rsidP="00AC4027">
      <w:pPr>
        <w:spacing w:before="840" w:after="840"/>
        <w:jc w:val="center"/>
        <w:rPr>
          <w:rFonts w:ascii="Arial" w:hAnsi="Arial" w:cs="Arial"/>
          <w:b/>
          <w:sz w:val="22"/>
          <w:szCs w:val="22"/>
        </w:rPr>
      </w:pPr>
      <w:r w:rsidRPr="00B771D2">
        <w:rPr>
          <w:rFonts w:ascii="Arial" w:hAnsi="Arial" w:cs="Arial"/>
          <w:b/>
          <w:sz w:val="22"/>
          <w:szCs w:val="22"/>
        </w:rPr>
        <w:t xml:space="preserve">Réunion du </w:t>
      </w:r>
      <w:r w:rsidRPr="00840012">
        <w:rPr>
          <w:rFonts w:ascii="Arial" w:hAnsi="Arial" w:cs="Arial"/>
          <w:b/>
          <w:sz w:val="22"/>
          <w:szCs w:val="22"/>
        </w:rPr>
        <w:t>Bureau</w:t>
      </w:r>
    </w:p>
    <w:p w14:paraId="342A8D74" w14:textId="0B25AE26" w:rsidR="00AC4027" w:rsidRPr="00F36C64" w:rsidRDefault="009E50A2" w:rsidP="00AC4027">
      <w:pPr>
        <w:jc w:val="center"/>
        <w:rPr>
          <w:rFonts w:ascii="Arial" w:hAnsi="Arial"/>
          <w:b/>
          <w:sz w:val="22"/>
        </w:rPr>
      </w:pPr>
      <w:r w:rsidRPr="00F36C64">
        <w:rPr>
          <w:rFonts w:ascii="Arial" w:hAnsi="Arial"/>
          <w:b/>
          <w:sz w:val="22"/>
        </w:rPr>
        <w:t xml:space="preserve">Siège de l’UNESCO, </w:t>
      </w:r>
      <w:r w:rsidR="005964D9" w:rsidRPr="00F36C64">
        <w:rPr>
          <w:rFonts w:ascii="Arial" w:hAnsi="Arial"/>
          <w:b/>
          <w:sz w:val="22"/>
        </w:rPr>
        <w:t>salle VIII</w:t>
      </w:r>
    </w:p>
    <w:p w14:paraId="5F817A00" w14:textId="696F4216" w:rsidR="00AC4027" w:rsidRPr="00F36C64" w:rsidRDefault="009E50A2" w:rsidP="00AC4027">
      <w:pPr>
        <w:jc w:val="center"/>
        <w:rPr>
          <w:rFonts w:ascii="Arial" w:hAnsi="Arial"/>
          <w:b/>
          <w:sz w:val="22"/>
        </w:rPr>
      </w:pPr>
      <w:r w:rsidRPr="00F36C64">
        <w:rPr>
          <w:rFonts w:ascii="Arial" w:hAnsi="Arial"/>
          <w:b/>
          <w:sz w:val="22"/>
        </w:rPr>
        <w:t>4 octobre</w:t>
      </w:r>
      <w:r w:rsidR="00AC4027" w:rsidRPr="00F36C64">
        <w:rPr>
          <w:rFonts w:ascii="Arial" w:hAnsi="Arial"/>
          <w:b/>
          <w:sz w:val="22"/>
        </w:rPr>
        <w:t> 2022</w:t>
      </w:r>
    </w:p>
    <w:p w14:paraId="05322A32" w14:textId="27DFAE77" w:rsidR="00AC4027" w:rsidRPr="008E67D8" w:rsidRDefault="00CC70DC" w:rsidP="00AC4027">
      <w:pPr>
        <w:jc w:val="center"/>
        <w:rPr>
          <w:rFonts w:ascii="Arial" w:hAnsi="Arial"/>
          <w:b/>
          <w:sz w:val="22"/>
        </w:rPr>
      </w:pPr>
      <w:r w:rsidRPr="00F36C64">
        <w:rPr>
          <w:rFonts w:ascii="Arial" w:hAnsi="Arial"/>
          <w:b/>
          <w:sz w:val="22"/>
        </w:rPr>
        <w:t>1</w:t>
      </w:r>
      <w:r w:rsidR="003C22BE" w:rsidRPr="00F36C64">
        <w:rPr>
          <w:rFonts w:ascii="Arial" w:hAnsi="Arial"/>
          <w:b/>
          <w:sz w:val="22"/>
        </w:rPr>
        <w:t>0</w:t>
      </w:r>
      <w:r w:rsidR="00AC4027" w:rsidRPr="00F36C64">
        <w:rPr>
          <w:rFonts w:ascii="Arial" w:hAnsi="Arial"/>
          <w:b/>
          <w:sz w:val="22"/>
        </w:rPr>
        <w:t xml:space="preserve">h00 – </w:t>
      </w:r>
      <w:r w:rsidRPr="00F36C64">
        <w:rPr>
          <w:rFonts w:ascii="Arial" w:hAnsi="Arial"/>
          <w:b/>
          <w:sz w:val="22"/>
        </w:rPr>
        <w:t>1</w:t>
      </w:r>
      <w:r w:rsidR="003C22BE" w:rsidRPr="00F36C64">
        <w:rPr>
          <w:rFonts w:ascii="Arial" w:hAnsi="Arial"/>
          <w:b/>
          <w:sz w:val="22"/>
        </w:rPr>
        <w:t>3</w:t>
      </w:r>
      <w:r w:rsidR="00AC4027" w:rsidRPr="00F36C64">
        <w:rPr>
          <w:rFonts w:ascii="Arial" w:hAnsi="Arial"/>
          <w:b/>
          <w:sz w:val="22"/>
        </w:rPr>
        <w:t>h00</w:t>
      </w:r>
    </w:p>
    <w:p w14:paraId="630B69F1" w14:textId="37F1B9BB" w:rsidR="008F09EC" w:rsidRDefault="000D1130" w:rsidP="000D1130">
      <w:pPr>
        <w:pStyle w:val="Sansinterligne2"/>
        <w:spacing w:before="1200"/>
        <w:jc w:val="center"/>
        <w:rPr>
          <w:rFonts w:ascii="Arial" w:hAnsi="Arial" w:cs="Arial"/>
          <w:b/>
          <w:sz w:val="22"/>
          <w:szCs w:val="22"/>
          <w:u w:val="single"/>
        </w:rPr>
      </w:pPr>
      <w:r w:rsidRPr="00906FFC">
        <w:rPr>
          <w:rFonts w:ascii="Arial" w:hAnsi="Arial" w:cs="Arial"/>
          <w:b/>
          <w:sz w:val="22"/>
          <w:szCs w:val="22"/>
          <w:u w:val="single"/>
        </w:rPr>
        <w:t>DÉCISIONS</w:t>
      </w:r>
    </w:p>
    <w:p w14:paraId="4F6F01E4" w14:textId="77777777" w:rsidR="000D1130" w:rsidRPr="00B43974" w:rsidRDefault="000D1130" w:rsidP="000D1130">
      <w:pPr>
        <w:pStyle w:val="Sansinterligne2"/>
        <w:spacing w:before="1200"/>
        <w:jc w:val="center"/>
        <w:rPr>
          <w:rFonts w:ascii="Arial" w:hAnsi="Arial" w:cs="Arial"/>
          <w:b/>
          <w:sz w:val="22"/>
          <w:szCs w:val="22"/>
        </w:rPr>
      </w:pPr>
    </w:p>
    <w:p w14:paraId="5072A522" w14:textId="77777777" w:rsidR="009B5302" w:rsidRDefault="00BC3420" w:rsidP="007E60C6">
      <w:pPr>
        <w:pStyle w:val="COMTitleDecision"/>
        <w:spacing w:before="360" w:after="240"/>
        <w:ind w:left="0"/>
      </w:pPr>
      <w:r w:rsidRPr="00022428">
        <w:br w:type="page"/>
      </w:r>
    </w:p>
    <w:p w14:paraId="5B43D8E4" w14:textId="1F7A1C34" w:rsidR="006A75FD" w:rsidRPr="00B43974" w:rsidRDefault="006A75FD" w:rsidP="006A75FD">
      <w:pPr>
        <w:pStyle w:val="GATitleResolution"/>
        <w:tabs>
          <w:tab w:val="clear" w:pos="567"/>
          <w:tab w:val="left" w:pos="0"/>
        </w:tabs>
        <w:ind w:left="0"/>
      </w:pPr>
      <w:r w:rsidRPr="0020150F">
        <w:lastRenderedPageBreak/>
        <w:t>DÉCIS</w:t>
      </w:r>
      <w:r>
        <w:t>ION 17</w:t>
      </w:r>
      <w:r w:rsidRPr="0020150F">
        <w:t>.COM</w:t>
      </w:r>
      <w:r>
        <w:t> 5.BUR 2</w:t>
      </w:r>
    </w:p>
    <w:p w14:paraId="54E49039" w14:textId="77777777" w:rsidR="006A75FD" w:rsidRPr="00B43974" w:rsidRDefault="006A75FD" w:rsidP="006A75FD">
      <w:pPr>
        <w:pStyle w:val="COMPreambulaDecision"/>
        <w:tabs>
          <w:tab w:val="clear" w:pos="567"/>
          <w:tab w:val="left" w:pos="0"/>
        </w:tabs>
        <w:ind w:left="0"/>
      </w:pPr>
      <w:r w:rsidRPr="00B43974">
        <w:t xml:space="preserve">Le </w:t>
      </w:r>
      <w:r>
        <w:t>Bureau</w:t>
      </w:r>
      <w:r w:rsidRPr="00B43974">
        <w:t>,</w:t>
      </w:r>
    </w:p>
    <w:p w14:paraId="5F7DBC0A" w14:textId="77777777" w:rsidR="006A75FD" w:rsidRPr="00022428" w:rsidRDefault="006A75FD" w:rsidP="00AD3C02">
      <w:pPr>
        <w:pStyle w:val="COMParaDecision"/>
        <w:tabs>
          <w:tab w:val="left" w:pos="567"/>
        </w:tabs>
        <w:ind w:left="567" w:hanging="567"/>
        <w:jc w:val="left"/>
      </w:pPr>
      <w:r w:rsidRPr="00B43974">
        <w:t>Ayant examiné</w:t>
      </w:r>
      <w:r w:rsidRPr="00B43974">
        <w:rPr>
          <w:u w:val="none"/>
        </w:rPr>
        <w:t xml:space="preserve"> le document</w:t>
      </w:r>
      <w:r>
        <w:rPr>
          <w:u w:val="none"/>
        </w:rPr>
        <w:t xml:space="preserve"> LHE/22/17</w:t>
      </w:r>
      <w:r w:rsidRPr="00B43974">
        <w:rPr>
          <w:u w:val="none"/>
        </w:rPr>
        <w:t>.COM</w:t>
      </w:r>
      <w:r>
        <w:rPr>
          <w:u w:val="none"/>
        </w:rPr>
        <w:t> 5.BUR/2 et son annexe,</w:t>
      </w:r>
    </w:p>
    <w:p w14:paraId="75A3A398" w14:textId="77777777" w:rsidR="006A75FD" w:rsidRDefault="006A75FD" w:rsidP="00AD3C02">
      <w:pPr>
        <w:pStyle w:val="COMParaDecision"/>
        <w:tabs>
          <w:tab w:val="left" w:pos="567"/>
        </w:tabs>
        <w:ind w:left="567" w:hanging="567"/>
        <w:rPr>
          <w:u w:val="none"/>
        </w:rPr>
      </w:pPr>
      <w:r w:rsidRPr="005473A2">
        <w:t>Adopte</w:t>
      </w:r>
      <w:r w:rsidRPr="00292D73">
        <w:rPr>
          <w:u w:val="none"/>
        </w:rPr>
        <w:t xml:space="preserve"> l’ordre du jour de sa </w:t>
      </w:r>
      <w:r>
        <w:rPr>
          <w:u w:val="none"/>
        </w:rPr>
        <w:t xml:space="preserve">cinquième </w:t>
      </w:r>
      <w:r w:rsidRPr="00292D73">
        <w:rPr>
          <w:u w:val="none"/>
        </w:rPr>
        <w:t xml:space="preserve">réunion </w:t>
      </w:r>
      <w:r>
        <w:rPr>
          <w:u w:val="none"/>
        </w:rPr>
        <w:t>tel qu’</w:t>
      </w:r>
      <w:r w:rsidRPr="00292D73">
        <w:rPr>
          <w:u w:val="none"/>
        </w:rPr>
        <w:t>indiqué en annexe de cette décision.</w:t>
      </w:r>
    </w:p>
    <w:p w14:paraId="21C807DD" w14:textId="77777777" w:rsidR="006A75FD" w:rsidRPr="00EC4848" w:rsidRDefault="006A75FD" w:rsidP="006A75FD">
      <w:pPr>
        <w:spacing w:before="480" w:after="120"/>
        <w:jc w:val="center"/>
        <w:rPr>
          <w:rFonts w:ascii="Arial" w:hAnsi="Arial" w:cs="Arial"/>
          <w:b/>
          <w:sz w:val="22"/>
          <w:szCs w:val="22"/>
          <w:u w:val="single"/>
        </w:rPr>
      </w:pPr>
      <w:r w:rsidRPr="00EC4848">
        <w:rPr>
          <w:rFonts w:ascii="Arial" w:hAnsi="Arial" w:cs="Arial"/>
          <w:b/>
          <w:sz w:val="22"/>
          <w:szCs w:val="22"/>
          <w:u w:val="single"/>
        </w:rPr>
        <w:t>ANNEXE</w:t>
      </w:r>
    </w:p>
    <w:p w14:paraId="11E276B0" w14:textId="4183095E" w:rsidR="006A75FD" w:rsidRPr="00292D73" w:rsidRDefault="006A75FD" w:rsidP="006A75FD">
      <w:pPr>
        <w:spacing w:before="360" w:after="240"/>
        <w:ind w:left="1134" w:hanging="567"/>
        <w:jc w:val="both"/>
        <w:rPr>
          <w:rFonts w:ascii="Arial" w:eastAsia="SimSun" w:hAnsi="Arial" w:cs="Arial"/>
          <w:b/>
          <w:sz w:val="22"/>
          <w:szCs w:val="22"/>
        </w:rPr>
      </w:pPr>
      <w:r w:rsidRPr="00292D73">
        <w:rPr>
          <w:rFonts w:ascii="Arial" w:eastAsia="SimSun" w:hAnsi="Arial" w:cs="Arial"/>
          <w:b/>
          <w:sz w:val="22"/>
          <w:szCs w:val="22"/>
        </w:rPr>
        <w:t xml:space="preserve">Ordre du jour de la </w:t>
      </w:r>
      <w:r>
        <w:rPr>
          <w:rFonts w:ascii="Arial" w:eastAsia="SimSun" w:hAnsi="Arial" w:cs="Arial"/>
          <w:b/>
          <w:sz w:val="22"/>
          <w:szCs w:val="22"/>
        </w:rPr>
        <w:t>cinquième</w:t>
      </w:r>
      <w:r w:rsidRPr="00292D73">
        <w:rPr>
          <w:rFonts w:ascii="Arial" w:eastAsia="SimSun" w:hAnsi="Arial" w:cs="Arial"/>
          <w:b/>
          <w:sz w:val="22"/>
          <w:szCs w:val="22"/>
        </w:rPr>
        <w:t xml:space="preserve"> réunion du Bureau </w:t>
      </w:r>
      <w:r>
        <w:rPr>
          <w:rFonts w:ascii="Arial" w:eastAsia="SimSun" w:hAnsi="Arial" w:cs="Arial"/>
          <w:b/>
          <w:sz w:val="22"/>
          <w:szCs w:val="22"/>
        </w:rPr>
        <w:t xml:space="preserve">du </w:t>
      </w:r>
      <w:r w:rsidRPr="00292D73">
        <w:rPr>
          <w:rFonts w:ascii="Arial" w:eastAsia="SimSun" w:hAnsi="Arial" w:cs="Arial"/>
          <w:b/>
          <w:sz w:val="22"/>
          <w:szCs w:val="22"/>
        </w:rPr>
        <w:t>1</w:t>
      </w:r>
      <w:r>
        <w:rPr>
          <w:rFonts w:ascii="Arial" w:eastAsia="SimSun" w:hAnsi="Arial" w:cs="Arial"/>
          <w:b/>
          <w:sz w:val="22"/>
          <w:szCs w:val="22"/>
        </w:rPr>
        <w:t>7</w:t>
      </w:r>
      <w:r w:rsidRPr="00292D73">
        <w:rPr>
          <w:rFonts w:ascii="Arial" w:eastAsia="SimSun" w:hAnsi="Arial" w:cs="Arial"/>
          <w:b/>
          <w:sz w:val="22"/>
          <w:szCs w:val="22"/>
        </w:rPr>
        <w:t>.COM</w:t>
      </w:r>
    </w:p>
    <w:tbl>
      <w:tblPr>
        <w:tblW w:w="8172" w:type="dxa"/>
        <w:tblInd w:w="675" w:type="dxa"/>
        <w:tblLook w:val="04A0" w:firstRow="1" w:lastRow="0" w:firstColumn="1" w:lastColumn="0" w:noHBand="0" w:noVBand="1"/>
      </w:tblPr>
      <w:tblGrid>
        <w:gridCol w:w="486"/>
        <w:gridCol w:w="4050"/>
        <w:gridCol w:w="3636"/>
      </w:tblGrid>
      <w:tr w:rsidR="006A75FD" w:rsidRPr="006171BF" w14:paraId="15EEC992" w14:textId="77777777" w:rsidTr="0086509E">
        <w:tc>
          <w:tcPr>
            <w:tcW w:w="4536" w:type="dxa"/>
            <w:gridSpan w:val="2"/>
          </w:tcPr>
          <w:p w14:paraId="37F009C4" w14:textId="77777777" w:rsidR="006A75FD" w:rsidRPr="00DF718B" w:rsidRDefault="006A75FD" w:rsidP="0086509E">
            <w:pPr>
              <w:adjustRightInd w:val="0"/>
              <w:spacing w:before="120" w:after="160"/>
              <w:outlineLvl w:val="0"/>
              <w:rPr>
                <w:rFonts w:ascii="Arial" w:eastAsia="SimSun" w:hAnsi="Arial" w:cs="Arial"/>
                <w:sz w:val="22"/>
                <w:szCs w:val="22"/>
                <w:u w:val="single"/>
              </w:rPr>
            </w:pPr>
            <w:r w:rsidRPr="00DF718B">
              <w:rPr>
                <w:rFonts w:ascii="Arial" w:eastAsia="SimSun" w:hAnsi="Arial" w:cs="Arial"/>
                <w:sz w:val="22"/>
                <w:szCs w:val="22"/>
                <w:u w:val="single"/>
              </w:rPr>
              <w:t>Point de l’ordre du jour</w:t>
            </w:r>
          </w:p>
        </w:tc>
        <w:tc>
          <w:tcPr>
            <w:tcW w:w="3636" w:type="dxa"/>
          </w:tcPr>
          <w:p w14:paraId="0EB37727" w14:textId="77777777" w:rsidR="006A75FD" w:rsidRPr="00DF718B" w:rsidRDefault="006A75FD" w:rsidP="0086509E">
            <w:pPr>
              <w:adjustRightInd w:val="0"/>
              <w:spacing w:before="120" w:after="160"/>
              <w:outlineLvl w:val="0"/>
              <w:rPr>
                <w:rFonts w:ascii="Arial" w:eastAsia="SimSun" w:hAnsi="Arial" w:cs="Arial"/>
                <w:sz w:val="22"/>
                <w:szCs w:val="22"/>
                <w:u w:val="single"/>
              </w:rPr>
            </w:pPr>
            <w:r w:rsidRPr="00DF718B">
              <w:rPr>
                <w:rFonts w:ascii="Arial" w:eastAsia="SimSun" w:hAnsi="Arial" w:cs="Arial"/>
                <w:sz w:val="22"/>
                <w:szCs w:val="22"/>
                <w:u w:val="single"/>
              </w:rPr>
              <w:t>Document</w:t>
            </w:r>
          </w:p>
        </w:tc>
      </w:tr>
      <w:tr w:rsidR="006A75FD" w:rsidRPr="006171BF" w14:paraId="3BD1ADCC" w14:textId="77777777" w:rsidTr="0086509E">
        <w:tc>
          <w:tcPr>
            <w:tcW w:w="486" w:type="dxa"/>
          </w:tcPr>
          <w:p w14:paraId="04B79493"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1.</w:t>
            </w:r>
          </w:p>
        </w:tc>
        <w:tc>
          <w:tcPr>
            <w:tcW w:w="4050" w:type="dxa"/>
          </w:tcPr>
          <w:p w14:paraId="11CB772A"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Ouverture</w:t>
            </w:r>
          </w:p>
        </w:tc>
        <w:tc>
          <w:tcPr>
            <w:tcW w:w="3636" w:type="dxa"/>
          </w:tcPr>
          <w:p w14:paraId="45A73CBB" w14:textId="77777777" w:rsidR="006A75FD" w:rsidRPr="00DF718B" w:rsidRDefault="006A75FD" w:rsidP="0086509E">
            <w:pPr>
              <w:adjustRightInd w:val="0"/>
              <w:spacing w:before="120" w:after="160"/>
              <w:outlineLvl w:val="0"/>
              <w:rPr>
                <w:rFonts w:ascii="Arial" w:eastAsia="SimSun" w:hAnsi="Arial" w:cs="Arial"/>
                <w:sz w:val="22"/>
                <w:szCs w:val="22"/>
              </w:rPr>
            </w:pPr>
          </w:p>
        </w:tc>
      </w:tr>
      <w:tr w:rsidR="006A75FD" w:rsidRPr="006171BF" w14:paraId="7154EC4E" w14:textId="77777777" w:rsidTr="0086509E">
        <w:tc>
          <w:tcPr>
            <w:tcW w:w="486" w:type="dxa"/>
          </w:tcPr>
          <w:p w14:paraId="7605391B"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2.</w:t>
            </w:r>
          </w:p>
        </w:tc>
        <w:tc>
          <w:tcPr>
            <w:tcW w:w="4050" w:type="dxa"/>
          </w:tcPr>
          <w:p w14:paraId="416CC462"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Adoption de l’ordre du jour</w:t>
            </w:r>
          </w:p>
        </w:tc>
        <w:tc>
          <w:tcPr>
            <w:tcW w:w="3636" w:type="dxa"/>
          </w:tcPr>
          <w:p w14:paraId="04B6BBF2"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hAnsi="Arial" w:cs="Arial"/>
                <w:sz w:val="22"/>
                <w:szCs w:val="22"/>
              </w:rPr>
              <w:t>LHE/22/17.COM</w:t>
            </w:r>
            <w:r>
              <w:rPr>
                <w:rFonts w:ascii="Arial" w:hAnsi="Arial" w:cs="Arial"/>
                <w:sz w:val="22"/>
                <w:szCs w:val="22"/>
              </w:rPr>
              <w:t> 5</w:t>
            </w:r>
            <w:r w:rsidRPr="00DF718B">
              <w:rPr>
                <w:rFonts w:ascii="Arial" w:hAnsi="Arial" w:cs="Arial"/>
                <w:sz w:val="22"/>
                <w:szCs w:val="22"/>
              </w:rPr>
              <w:t>.BUR/2</w:t>
            </w:r>
          </w:p>
        </w:tc>
      </w:tr>
      <w:tr w:rsidR="006A75FD" w:rsidRPr="006171BF" w14:paraId="27BF8262" w14:textId="77777777" w:rsidTr="0086509E">
        <w:tc>
          <w:tcPr>
            <w:tcW w:w="486" w:type="dxa"/>
          </w:tcPr>
          <w:p w14:paraId="61FA71C8"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3.</w:t>
            </w:r>
          </w:p>
        </w:tc>
        <w:tc>
          <w:tcPr>
            <w:tcW w:w="4050" w:type="dxa"/>
          </w:tcPr>
          <w:p w14:paraId="5FEBF2D3"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eastAsia="SimSun" w:hAnsi="Arial" w:cs="Arial"/>
                <w:sz w:val="22"/>
                <w:szCs w:val="22"/>
              </w:rPr>
              <w:t>Examen des demandes d’assistance internationale jusqu’à 100 000 dollars des États-Unis</w:t>
            </w:r>
          </w:p>
        </w:tc>
        <w:tc>
          <w:tcPr>
            <w:tcW w:w="3636" w:type="dxa"/>
          </w:tcPr>
          <w:p w14:paraId="79CF7B70" w14:textId="77777777" w:rsidR="006A75FD" w:rsidRPr="00DF718B" w:rsidRDefault="006A75FD" w:rsidP="0086509E">
            <w:pPr>
              <w:adjustRightInd w:val="0"/>
              <w:spacing w:before="120" w:after="160"/>
              <w:outlineLvl w:val="0"/>
              <w:rPr>
                <w:rFonts w:ascii="Arial" w:eastAsia="SimSun" w:hAnsi="Arial" w:cs="Arial"/>
                <w:sz w:val="22"/>
                <w:szCs w:val="22"/>
              </w:rPr>
            </w:pPr>
            <w:r w:rsidRPr="00DF718B">
              <w:rPr>
                <w:rFonts w:ascii="Arial" w:hAnsi="Arial" w:cs="Arial"/>
                <w:sz w:val="22"/>
                <w:szCs w:val="22"/>
              </w:rPr>
              <w:t>LHE/22/17.COM</w:t>
            </w:r>
            <w:r>
              <w:rPr>
                <w:rFonts w:ascii="Arial" w:hAnsi="Arial" w:cs="Arial"/>
                <w:sz w:val="22"/>
                <w:szCs w:val="22"/>
              </w:rPr>
              <w:t> 5</w:t>
            </w:r>
            <w:r w:rsidRPr="00DF718B">
              <w:rPr>
                <w:rFonts w:ascii="Arial" w:hAnsi="Arial" w:cs="Arial"/>
                <w:sz w:val="22"/>
                <w:szCs w:val="22"/>
              </w:rPr>
              <w:t>.BUR/3</w:t>
            </w:r>
          </w:p>
        </w:tc>
      </w:tr>
      <w:tr w:rsidR="006A75FD" w:rsidRPr="006171BF" w14:paraId="0EA9C372" w14:textId="77777777" w:rsidTr="0086509E">
        <w:tc>
          <w:tcPr>
            <w:tcW w:w="486" w:type="dxa"/>
          </w:tcPr>
          <w:p w14:paraId="78F9A577" w14:textId="77777777" w:rsidR="006A75FD" w:rsidRPr="00DF718B" w:rsidRDefault="006A75FD" w:rsidP="0086509E">
            <w:pPr>
              <w:adjustRightInd w:val="0"/>
              <w:spacing w:before="120" w:after="160"/>
              <w:outlineLvl w:val="0"/>
              <w:rPr>
                <w:rFonts w:ascii="Arial" w:eastAsia="SimSun" w:hAnsi="Arial" w:cs="Arial"/>
                <w:sz w:val="22"/>
                <w:szCs w:val="22"/>
              </w:rPr>
            </w:pPr>
            <w:r>
              <w:rPr>
                <w:rFonts w:ascii="Arial" w:eastAsia="SimSun" w:hAnsi="Arial" w:cs="Arial"/>
                <w:sz w:val="22"/>
                <w:szCs w:val="22"/>
              </w:rPr>
              <w:t>4.</w:t>
            </w:r>
          </w:p>
        </w:tc>
        <w:tc>
          <w:tcPr>
            <w:tcW w:w="4050" w:type="dxa"/>
          </w:tcPr>
          <w:p w14:paraId="1C4DCB75" w14:textId="77777777" w:rsidR="006A75FD" w:rsidRPr="00DF718B" w:rsidRDefault="006A75FD" w:rsidP="0086509E">
            <w:pPr>
              <w:adjustRightInd w:val="0"/>
              <w:spacing w:before="120" w:after="160"/>
              <w:outlineLvl w:val="0"/>
              <w:rPr>
                <w:rFonts w:ascii="Arial" w:eastAsia="SimSun" w:hAnsi="Arial" w:cs="Arial"/>
                <w:sz w:val="22"/>
                <w:szCs w:val="22"/>
              </w:rPr>
            </w:pPr>
            <w:r w:rsidRPr="00CE6B3C">
              <w:rPr>
                <w:rFonts w:ascii="Arial" w:eastAsia="SimSun" w:hAnsi="Arial" w:cs="Arial"/>
                <w:sz w:val="22"/>
                <w:szCs w:val="22"/>
              </w:rPr>
              <w:t xml:space="preserve">Adoption du calendrier provisoire de la </w:t>
            </w:r>
            <w:r>
              <w:rPr>
                <w:rFonts w:ascii="Arial" w:eastAsia="SimSun" w:hAnsi="Arial" w:cs="Arial"/>
                <w:sz w:val="22"/>
                <w:szCs w:val="22"/>
              </w:rPr>
              <w:t>dix-sept</w:t>
            </w:r>
            <w:r w:rsidRPr="00CE6B3C">
              <w:rPr>
                <w:rFonts w:ascii="Arial" w:eastAsia="SimSun" w:hAnsi="Arial" w:cs="Arial"/>
                <w:sz w:val="22"/>
                <w:szCs w:val="22"/>
              </w:rPr>
              <w:t>ième session du Comité</w:t>
            </w:r>
            <w:r w:rsidRPr="009A6A9C">
              <w:rPr>
                <w:rFonts w:ascii="Arial" w:eastAsia="SimSun" w:hAnsi="Arial" w:cs="Arial"/>
                <w:sz w:val="22"/>
                <w:szCs w:val="22"/>
              </w:rPr>
              <w:t xml:space="preserve"> </w:t>
            </w:r>
          </w:p>
        </w:tc>
        <w:tc>
          <w:tcPr>
            <w:tcW w:w="3636" w:type="dxa"/>
          </w:tcPr>
          <w:p w14:paraId="6F82F97A" w14:textId="77777777" w:rsidR="006A75FD" w:rsidRPr="00DF718B" w:rsidRDefault="006A75FD" w:rsidP="0086509E">
            <w:pPr>
              <w:adjustRightInd w:val="0"/>
              <w:spacing w:before="120" w:after="160"/>
              <w:outlineLvl w:val="0"/>
              <w:rPr>
                <w:rFonts w:ascii="Arial" w:hAnsi="Arial" w:cs="Arial"/>
                <w:sz w:val="22"/>
                <w:szCs w:val="22"/>
              </w:rPr>
            </w:pPr>
            <w:r w:rsidRPr="00DF718B">
              <w:rPr>
                <w:rFonts w:ascii="Arial" w:hAnsi="Arial" w:cs="Arial"/>
                <w:sz w:val="22"/>
                <w:szCs w:val="22"/>
              </w:rPr>
              <w:t>LHE/22/17.COM</w:t>
            </w:r>
            <w:r>
              <w:rPr>
                <w:rFonts w:ascii="Arial" w:hAnsi="Arial" w:cs="Arial"/>
                <w:sz w:val="22"/>
                <w:szCs w:val="22"/>
              </w:rPr>
              <w:t> 5</w:t>
            </w:r>
            <w:r w:rsidRPr="00DF718B">
              <w:rPr>
                <w:rFonts w:ascii="Arial" w:hAnsi="Arial" w:cs="Arial"/>
                <w:sz w:val="22"/>
                <w:szCs w:val="22"/>
              </w:rPr>
              <w:t>.BUR/</w:t>
            </w:r>
            <w:r>
              <w:rPr>
                <w:rFonts w:ascii="Arial" w:hAnsi="Arial" w:cs="Arial"/>
                <w:sz w:val="22"/>
                <w:szCs w:val="22"/>
              </w:rPr>
              <w:t>4</w:t>
            </w:r>
          </w:p>
        </w:tc>
      </w:tr>
      <w:tr w:rsidR="006A75FD" w:rsidRPr="006171BF" w14:paraId="7A2409A6" w14:textId="77777777" w:rsidTr="0086509E">
        <w:tc>
          <w:tcPr>
            <w:tcW w:w="486" w:type="dxa"/>
          </w:tcPr>
          <w:p w14:paraId="21BBA549" w14:textId="77777777" w:rsidR="006A75FD" w:rsidRDefault="006A75FD" w:rsidP="0086509E">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4050" w:type="dxa"/>
          </w:tcPr>
          <w:p w14:paraId="36C0B630" w14:textId="77777777" w:rsidR="006A75FD" w:rsidRPr="009A6A9C" w:rsidRDefault="006A75FD" w:rsidP="0086509E">
            <w:pPr>
              <w:adjustRightInd w:val="0"/>
              <w:spacing w:before="120" w:after="160"/>
              <w:outlineLvl w:val="0"/>
              <w:rPr>
                <w:rFonts w:ascii="Arial" w:eastAsia="SimSun" w:hAnsi="Arial" w:cs="Arial"/>
                <w:sz w:val="22"/>
                <w:szCs w:val="22"/>
              </w:rPr>
            </w:pPr>
            <w:r>
              <w:rPr>
                <w:rFonts w:ascii="Arial" w:eastAsia="SimSun" w:hAnsi="Arial" w:cs="Arial"/>
                <w:sz w:val="22"/>
                <w:szCs w:val="22"/>
              </w:rPr>
              <w:t>S</w:t>
            </w:r>
            <w:r w:rsidRPr="009A6A9C">
              <w:rPr>
                <w:rFonts w:ascii="Arial" w:eastAsia="SimSun" w:hAnsi="Arial" w:cs="Arial"/>
                <w:sz w:val="22"/>
                <w:szCs w:val="22"/>
              </w:rPr>
              <w:t>uivi d</w:t>
            </w:r>
            <w:r>
              <w:rPr>
                <w:rFonts w:ascii="Arial" w:eastAsia="SimSun" w:hAnsi="Arial" w:cs="Arial"/>
                <w:sz w:val="22"/>
                <w:szCs w:val="22"/>
              </w:rPr>
              <w:t>es</w:t>
            </w:r>
            <w:r w:rsidRPr="009A6A9C">
              <w:rPr>
                <w:rFonts w:ascii="Arial" w:eastAsia="SimSun" w:hAnsi="Arial" w:cs="Arial"/>
                <w:sz w:val="22"/>
                <w:szCs w:val="22"/>
              </w:rPr>
              <w:t xml:space="preserve"> élément</w:t>
            </w:r>
            <w:r>
              <w:rPr>
                <w:rFonts w:ascii="Arial" w:eastAsia="SimSun" w:hAnsi="Arial" w:cs="Arial"/>
                <w:sz w:val="22"/>
                <w:szCs w:val="22"/>
              </w:rPr>
              <w:t>s</w:t>
            </w:r>
            <w:r w:rsidRPr="009A6A9C">
              <w:rPr>
                <w:rFonts w:ascii="Arial" w:eastAsia="SimSun" w:hAnsi="Arial" w:cs="Arial"/>
                <w:sz w:val="22"/>
                <w:szCs w:val="22"/>
              </w:rPr>
              <w:t xml:space="preserve"> inscrit</w:t>
            </w:r>
            <w:r>
              <w:rPr>
                <w:rFonts w:ascii="Arial" w:eastAsia="SimSun" w:hAnsi="Arial" w:cs="Arial"/>
                <w:sz w:val="22"/>
                <w:szCs w:val="22"/>
              </w:rPr>
              <w:t>s</w:t>
            </w:r>
            <w:r w:rsidRPr="009A6A9C">
              <w:rPr>
                <w:rFonts w:ascii="Arial" w:eastAsia="SimSun" w:hAnsi="Arial" w:cs="Arial"/>
                <w:sz w:val="22"/>
                <w:szCs w:val="22"/>
              </w:rPr>
              <w:t xml:space="preserve"> sur l</w:t>
            </w:r>
            <w:r>
              <w:rPr>
                <w:rFonts w:ascii="Arial" w:eastAsia="SimSun" w:hAnsi="Arial" w:cs="Arial"/>
                <w:sz w:val="22"/>
                <w:szCs w:val="22"/>
              </w:rPr>
              <w:t>es</w:t>
            </w:r>
            <w:r w:rsidRPr="009A6A9C">
              <w:rPr>
                <w:rFonts w:ascii="Arial" w:eastAsia="SimSun" w:hAnsi="Arial" w:cs="Arial"/>
                <w:sz w:val="22"/>
                <w:szCs w:val="22"/>
              </w:rPr>
              <w:t xml:space="preserve"> </w:t>
            </w:r>
            <w:r>
              <w:rPr>
                <w:rFonts w:ascii="Arial" w:eastAsia="SimSun" w:hAnsi="Arial" w:cs="Arial"/>
                <w:sz w:val="22"/>
                <w:szCs w:val="22"/>
              </w:rPr>
              <w:t>l</w:t>
            </w:r>
            <w:r w:rsidRPr="009A6A9C">
              <w:rPr>
                <w:rFonts w:ascii="Arial" w:eastAsia="SimSun" w:hAnsi="Arial" w:cs="Arial"/>
                <w:sz w:val="22"/>
                <w:szCs w:val="22"/>
              </w:rPr>
              <w:t>iste</w:t>
            </w:r>
            <w:r>
              <w:rPr>
                <w:rFonts w:ascii="Arial" w:eastAsia="SimSun" w:hAnsi="Arial" w:cs="Arial"/>
                <w:sz w:val="22"/>
                <w:szCs w:val="22"/>
              </w:rPr>
              <w:t>s</w:t>
            </w:r>
            <w:r w:rsidRPr="009A6A9C">
              <w:rPr>
                <w:rFonts w:ascii="Arial" w:eastAsia="SimSun" w:hAnsi="Arial" w:cs="Arial"/>
                <w:sz w:val="22"/>
                <w:szCs w:val="22"/>
              </w:rPr>
              <w:t xml:space="preserve"> </w:t>
            </w:r>
            <w:r>
              <w:rPr>
                <w:rFonts w:ascii="Arial" w:eastAsia="SimSun" w:hAnsi="Arial" w:cs="Arial"/>
                <w:sz w:val="22"/>
                <w:szCs w:val="22"/>
              </w:rPr>
              <w:t>de la Convention</w:t>
            </w:r>
          </w:p>
        </w:tc>
        <w:tc>
          <w:tcPr>
            <w:tcW w:w="3636" w:type="dxa"/>
          </w:tcPr>
          <w:p w14:paraId="1A1A3305" w14:textId="77777777" w:rsidR="006A75FD" w:rsidRPr="00DF718B" w:rsidRDefault="006A75FD" w:rsidP="0086509E">
            <w:pPr>
              <w:adjustRightInd w:val="0"/>
              <w:spacing w:before="120" w:after="160"/>
              <w:outlineLvl w:val="0"/>
              <w:rPr>
                <w:rFonts w:ascii="Arial" w:hAnsi="Arial" w:cs="Arial"/>
                <w:sz w:val="22"/>
                <w:szCs w:val="22"/>
              </w:rPr>
            </w:pPr>
            <w:r w:rsidRPr="00DF718B">
              <w:rPr>
                <w:rFonts w:ascii="Arial" w:hAnsi="Arial" w:cs="Arial"/>
                <w:sz w:val="22"/>
                <w:szCs w:val="22"/>
              </w:rPr>
              <w:t>LHE/22/17.COM</w:t>
            </w:r>
            <w:r>
              <w:rPr>
                <w:rFonts w:ascii="Arial" w:hAnsi="Arial" w:cs="Arial"/>
                <w:sz w:val="22"/>
                <w:szCs w:val="22"/>
              </w:rPr>
              <w:t> 5</w:t>
            </w:r>
            <w:r w:rsidRPr="00DF718B">
              <w:rPr>
                <w:rFonts w:ascii="Arial" w:hAnsi="Arial" w:cs="Arial"/>
                <w:sz w:val="22"/>
                <w:szCs w:val="22"/>
              </w:rPr>
              <w:t>.BUR/</w:t>
            </w:r>
            <w:r>
              <w:rPr>
                <w:rFonts w:ascii="Arial" w:hAnsi="Arial" w:cs="Arial"/>
                <w:sz w:val="22"/>
                <w:szCs w:val="22"/>
              </w:rPr>
              <w:t>5</w:t>
            </w:r>
          </w:p>
        </w:tc>
      </w:tr>
      <w:tr w:rsidR="006A75FD" w:rsidRPr="00DD0F9A" w14:paraId="30663A4E" w14:textId="77777777" w:rsidTr="0086509E">
        <w:tc>
          <w:tcPr>
            <w:tcW w:w="486" w:type="dxa"/>
          </w:tcPr>
          <w:p w14:paraId="53932668" w14:textId="77777777" w:rsidR="006A75FD" w:rsidRPr="00DF718B" w:rsidRDefault="006A75FD" w:rsidP="0086509E">
            <w:pPr>
              <w:adjustRightInd w:val="0"/>
              <w:spacing w:before="120" w:after="160"/>
              <w:outlineLvl w:val="0"/>
              <w:rPr>
                <w:rFonts w:ascii="Arial" w:eastAsia="SimSun" w:hAnsi="Arial" w:cs="Arial"/>
                <w:sz w:val="22"/>
                <w:szCs w:val="22"/>
              </w:rPr>
            </w:pPr>
            <w:r>
              <w:rPr>
                <w:rFonts w:ascii="Arial" w:eastAsia="SimSun" w:hAnsi="Arial" w:cs="Arial"/>
                <w:sz w:val="22"/>
                <w:szCs w:val="22"/>
              </w:rPr>
              <w:t>6</w:t>
            </w:r>
            <w:r w:rsidRPr="00DF718B">
              <w:rPr>
                <w:rFonts w:ascii="Arial" w:eastAsia="SimSun" w:hAnsi="Arial" w:cs="Arial"/>
                <w:sz w:val="22"/>
                <w:szCs w:val="22"/>
              </w:rPr>
              <w:t>.</w:t>
            </w:r>
          </w:p>
        </w:tc>
        <w:tc>
          <w:tcPr>
            <w:tcW w:w="4050" w:type="dxa"/>
          </w:tcPr>
          <w:p w14:paraId="4F353C6C" w14:textId="77777777" w:rsidR="006A75FD" w:rsidRPr="008D4B50" w:rsidRDefault="006A75FD" w:rsidP="0086509E">
            <w:pPr>
              <w:adjustRightInd w:val="0"/>
              <w:spacing w:before="120" w:after="160"/>
              <w:outlineLvl w:val="0"/>
              <w:rPr>
                <w:rFonts w:ascii="Arial" w:hAnsi="Arial" w:cs="Arial"/>
                <w:sz w:val="22"/>
                <w:szCs w:val="22"/>
              </w:rPr>
            </w:pPr>
            <w:r w:rsidRPr="008D4B50">
              <w:rPr>
                <w:rFonts w:ascii="Arial" w:hAnsi="Arial" w:cs="Arial"/>
                <w:sz w:val="22"/>
                <w:szCs w:val="22"/>
              </w:rPr>
              <w:t>Questions diverses</w:t>
            </w:r>
          </w:p>
          <w:p w14:paraId="485BD081" w14:textId="77777777" w:rsidR="006A75FD" w:rsidRPr="000C6452" w:rsidRDefault="006A75FD" w:rsidP="0086509E">
            <w:pPr>
              <w:pStyle w:val="ListParagraph"/>
              <w:numPr>
                <w:ilvl w:val="0"/>
                <w:numId w:val="18"/>
              </w:numPr>
              <w:adjustRightInd w:val="0"/>
              <w:spacing w:before="120" w:after="160"/>
              <w:ind w:left="397" w:hanging="397"/>
              <w:contextualSpacing w:val="0"/>
              <w:outlineLvl w:val="0"/>
              <w:rPr>
                <w:rFonts w:ascii="Arial" w:hAnsi="Arial" w:cs="Arial"/>
                <w:sz w:val="22"/>
                <w:szCs w:val="22"/>
              </w:rPr>
            </w:pPr>
            <w:r w:rsidRPr="000C6452">
              <w:rPr>
                <w:rFonts w:ascii="Arial" w:hAnsi="Arial" w:cs="Arial"/>
                <w:sz w:val="22"/>
                <w:szCs w:val="22"/>
              </w:rPr>
              <w:t>Dates des réunions statutaires en 2022</w:t>
            </w:r>
          </w:p>
          <w:p w14:paraId="055AB378" w14:textId="77777777" w:rsidR="006A75FD" w:rsidRPr="000C6452" w:rsidRDefault="006A75FD" w:rsidP="0086509E">
            <w:pPr>
              <w:pStyle w:val="ListParagraph"/>
              <w:numPr>
                <w:ilvl w:val="0"/>
                <w:numId w:val="18"/>
              </w:numPr>
              <w:adjustRightInd w:val="0"/>
              <w:spacing w:before="120" w:after="160"/>
              <w:ind w:left="397" w:hanging="397"/>
              <w:contextualSpacing w:val="0"/>
              <w:outlineLvl w:val="0"/>
              <w:rPr>
                <w:rFonts w:ascii="Arial" w:hAnsi="Arial" w:cs="Arial"/>
                <w:sz w:val="22"/>
                <w:szCs w:val="22"/>
              </w:rPr>
            </w:pPr>
            <w:r>
              <w:rPr>
                <w:rFonts w:ascii="Arial" w:hAnsi="Arial" w:cs="Arial"/>
                <w:sz w:val="22"/>
                <w:szCs w:val="22"/>
              </w:rPr>
              <w:t>M</w:t>
            </w:r>
            <w:r w:rsidRPr="008D4B50">
              <w:rPr>
                <w:rFonts w:ascii="Arial" w:hAnsi="Arial" w:cs="Arial"/>
                <w:sz w:val="22"/>
                <w:szCs w:val="22"/>
              </w:rPr>
              <w:t>éthodes de travail de la dix-septième session du Comité</w:t>
            </w:r>
          </w:p>
          <w:p w14:paraId="03A3A477" w14:textId="77777777" w:rsidR="006A75FD" w:rsidRPr="008D4B50" w:rsidRDefault="006A75FD" w:rsidP="0086509E">
            <w:pPr>
              <w:pStyle w:val="ListParagraph"/>
              <w:numPr>
                <w:ilvl w:val="0"/>
                <w:numId w:val="18"/>
              </w:numPr>
              <w:adjustRightInd w:val="0"/>
              <w:spacing w:before="120" w:after="160"/>
              <w:ind w:left="397" w:hanging="397"/>
              <w:contextualSpacing w:val="0"/>
              <w:outlineLvl w:val="0"/>
              <w:rPr>
                <w:rFonts w:ascii="Arial" w:hAnsi="Arial" w:cs="Arial"/>
                <w:sz w:val="22"/>
                <w:szCs w:val="22"/>
              </w:rPr>
            </w:pPr>
            <w:r w:rsidRPr="008D4B50">
              <w:rPr>
                <w:rFonts w:ascii="Arial" w:hAnsi="Arial" w:cs="Arial"/>
                <w:sz w:val="22"/>
                <w:szCs w:val="22"/>
              </w:rPr>
              <w:t>Autres questions</w:t>
            </w:r>
          </w:p>
        </w:tc>
        <w:tc>
          <w:tcPr>
            <w:tcW w:w="3636" w:type="dxa"/>
          </w:tcPr>
          <w:p w14:paraId="37E9209A" w14:textId="77777777" w:rsidR="006A75FD" w:rsidRPr="00DF718B" w:rsidRDefault="006A75FD" w:rsidP="0086509E">
            <w:pPr>
              <w:adjustRightInd w:val="0"/>
              <w:spacing w:before="120" w:after="160"/>
              <w:outlineLvl w:val="0"/>
              <w:rPr>
                <w:rFonts w:ascii="Arial" w:eastAsia="SimSun" w:hAnsi="Arial" w:cs="Arial"/>
                <w:sz w:val="22"/>
                <w:szCs w:val="22"/>
              </w:rPr>
            </w:pPr>
          </w:p>
          <w:p w14:paraId="059496B4" w14:textId="77777777" w:rsidR="006A75FD" w:rsidRPr="00DF718B" w:rsidRDefault="006A75FD" w:rsidP="0086509E">
            <w:pPr>
              <w:adjustRightInd w:val="0"/>
              <w:spacing w:before="120" w:after="160"/>
              <w:outlineLvl w:val="0"/>
              <w:rPr>
                <w:rFonts w:ascii="Arial" w:eastAsia="SimSun" w:hAnsi="Arial" w:cs="Arial"/>
                <w:sz w:val="22"/>
                <w:szCs w:val="22"/>
              </w:rPr>
            </w:pPr>
            <w:r w:rsidRPr="00D16368">
              <w:rPr>
                <w:rFonts w:ascii="Arial" w:hAnsi="Arial" w:cs="Arial"/>
                <w:sz w:val="22"/>
                <w:szCs w:val="22"/>
              </w:rPr>
              <w:t>LHE/22/Calendrier Rev.</w:t>
            </w:r>
            <w:r>
              <w:rPr>
                <w:rFonts w:ascii="Arial" w:hAnsi="Arial" w:cs="Arial"/>
                <w:sz w:val="22"/>
                <w:szCs w:val="22"/>
              </w:rPr>
              <w:t>5</w:t>
            </w:r>
          </w:p>
        </w:tc>
      </w:tr>
      <w:tr w:rsidR="006A75FD" w:rsidRPr="006171BF" w14:paraId="2F29EDF4" w14:textId="77777777" w:rsidTr="0086509E">
        <w:tc>
          <w:tcPr>
            <w:tcW w:w="486" w:type="dxa"/>
          </w:tcPr>
          <w:p w14:paraId="5CD77DAD" w14:textId="77777777" w:rsidR="006A75FD" w:rsidRPr="006171BF" w:rsidRDefault="006A75FD" w:rsidP="0086509E">
            <w:pPr>
              <w:adjustRightInd w:val="0"/>
              <w:spacing w:before="120" w:after="160"/>
              <w:outlineLvl w:val="0"/>
              <w:rPr>
                <w:rFonts w:ascii="Arial" w:eastAsia="SimSun" w:hAnsi="Arial" w:cs="Arial"/>
                <w:sz w:val="22"/>
                <w:szCs w:val="22"/>
              </w:rPr>
            </w:pPr>
            <w:r>
              <w:rPr>
                <w:rFonts w:ascii="Arial" w:eastAsia="SimSun" w:hAnsi="Arial" w:cs="Arial"/>
                <w:sz w:val="22"/>
                <w:szCs w:val="22"/>
              </w:rPr>
              <w:t>7</w:t>
            </w:r>
            <w:r w:rsidRPr="006171BF">
              <w:rPr>
                <w:rFonts w:ascii="Arial" w:eastAsia="SimSun" w:hAnsi="Arial" w:cs="Arial"/>
                <w:sz w:val="22"/>
                <w:szCs w:val="22"/>
              </w:rPr>
              <w:t>.</w:t>
            </w:r>
          </w:p>
        </w:tc>
        <w:tc>
          <w:tcPr>
            <w:tcW w:w="4050" w:type="dxa"/>
          </w:tcPr>
          <w:p w14:paraId="51FD50A8" w14:textId="77777777" w:rsidR="006A75FD" w:rsidRPr="001E617A" w:rsidRDefault="006A75FD" w:rsidP="0086509E">
            <w:pPr>
              <w:adjustRightInd w:val="0"/>
              <w:spacing w:before="120" w:after="160"/>
              <w:outlineLvl w:val="0"/>
              <w:rPr>
                <w:rFonts w:ascii="Arial" w:eastAsia="SimSun" w:hAnsi="Arial" w:cs="Arial"/>
                <w:sz w:val="22"/>
                <w:szCs w:val="22"/>
              </w:rPr>
            </w:pPr>
            <w:r w:rsidRPr="001E617A">
              <w:rPr>
                <w:rFonts w:ascii="Arial" w:eastAsia="SimSun" w:hAnsi="Arial" w:cs="Arial"/>
                <w:sz w:val="22"/>
                <w:szCs w:val="22"/>
              </w:rPr>
              <w:t>Clôture</w:t>
            </w:r>
          </w:p>
        </w:tc>
        <w:tc>
          <w:tcPr>
            <w:tcW w:w="3636" w:type="dxa"/>
          </w:tcPr>
          <w:p w14:paraId="7E0C0BB4" w14:textId="77777777" w:rsidR="006A75FD" w:rsidRPr="006171BF" w:rsidRDefault="006A75FD" w:rsidP="0086509E">
            <w:pPr>
              <w:adjustRightInd w:val="0"/>
              <w:spacing w:before="120" w:after="160"/>
              <w:outlineLvl w:val="0"/>
              <w:rPr>
                <w:rFonts w:ascii="Arial" w:hAnsi="Arial" w:cs="Arial"/>
                <w:sz w:val="22"/>
                <w:szCs w:val="22"/>
              </w:rPr>
            </w:pPr>
          </w:p>
        </w:tc>
      </w:tr>
    </w:tbl>
    <w:p w14:paraId="606C5285" w14:textId="2ED7FF2F" w:rsidR="00D7772A" w:rsidRPr="00F53BF8" w:rsidRDefault="00D7772A" w:rsidP="00805DD3">
      <w:pPr>
        <w:pStyle w:val="COMPara"/>
        <w:spacing w:before="240"/>
        <w:ind w:left="0" w:firstLine="0"/>
        <w:rPr>
          <w:lang w:val="fr-FR"/>
        </w:rPr>
      </w:pPr>
      <w:bookmarkStart w:id="0" w:name="Decision1"/>
      <w:bookmarkStart w:id="1" w:name="Dec1"/>
      <w:bookmarkStart w:id="2" w:name="_Hlk94272986"/>
      <w:r w:rsidRPr="00403D4A">
        <w:rPr>
          <w:b/>
          <w:bCs/>
          <w:lang w:val="fr-FR"/>
        </w:rPr>
        <w:t>DÉCISION 17.COM 5.BUR</w:t>
      </w:r>
      <w:bookmarkStart w:id="3" w:name="_Hlk70614833"/>
      <w:bookmarkStart w:id="4" w:name="_Hlk53501546"/>
      <w:r w:rsidRPr="00403D4A">
        <w:rPr>
          <w:b/>
          <w:bCs/>
          <w:lang w:val="fr-FR"/>
        </w:rPr>
        <w:t xml:space="preserve"> 3.1</w:t>
      </w:r>
      <w:bookmarkEnd w:id="0"/>
      <w:bookmarkEnd w:id="1"/>
      <w:bookmarkEnd w:id="3"/>
      <w:bookmarkEnd w:id="4"/>
    </w:p>
    <w:p w14:paraId="36A6AE41" w14:textId="77777777" w:rsidR="00D7772A" w:rsidRPr="00403D4A" w:rsidRDefault="00D7772A" w:rsidP="00805DD3">
      <w:pPr>
        <w:keepNext/>
        <w:spacing w:before="120" w:after="120"/>
        <w:jc w:val="both"/>
        <w:rPr>
          <w:rFonts w:ascii="Arial" w:hAnsi="Arial" w:cs="Arial"/>
          <w:sz w:val="22"/>
          <w:szCs w:val="22"/>
        </w:rPr>
      </w:pPr>
      <w:r w:rsidRPr="00403D4A">
        <w:rPr>
          <w:rFonts w:ascii="Arial" w:hAnsi="Arial" w:cs="Arial"/>
          <w:sz w:val="22"/>
          <w:szCs w:val="22"/>
        </w:rPr>
        <w:t>Le Bureau,</w:t>
      </w:r>
    </w:p>
    <w:p w14:paraId="3377C9B5"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Rappelant</w:t>
      </w:r>
      <w:r w:rsidRPr="00403D4A">
        <w:rPr>
          <w:rFonts w:ascii="Arial" w:hAnsi="Arial" w:cs="Arial"/>
          <w:sz w:val="22"/>
          <w:szCs w:val="22"/>
        </w:rPr>
        <w:t xml:space="preserve"> l’article 23 de la Convention ainsi que le chapitre I.4 des Directives opérationnelles relatifs à l’admissibilité et aux critères des demandes d’assistance internationale,</w:t>
      </w:r>
    </w:p>
    <w:p w14:paraId="1581F348"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Ayant examiné</w:t>
      </w:r>
      <w:r w:rsidRPr="00403D4A">
        <w:rPr>
          <w:rFonts w:ascii="Arial" w:hAnsi="Arial" w:cs="Arial"/>
          <w:sz w:val="22"/>
          <w:szCs w:val="22"/>
        </w:rPr>
        <w:t xml:space="preserve"> le document LHE/22/17.COM 5.BUR/3 ainsi que la demande d’assistance internationale n° 02010, à portée régionale multinationale, soumise par le Belize, le Costa Rica, Cuba, la République dominicaine, El Salvador, le Guatemala, le Honduras, le Nicaragua et le Panama,</w:t>
      </w:r>
    </w:p>
    <w:p w14:paraId="355ED26B" w14:textId="77777777" w:rsidR="00D7772A" w:rsidRPr="00F53BF8" w:rsidRDefault="00D7772A" w:rsidP="008176D5">
      <w:pPr>
        <w:pStyle w:val="ListParagraph"/>
        <w:keepNext/>
        <w:keepLines/>
        <w:numPr>
          <w:ilvl w:val="0"/>
          <w:numId w:val="23"/>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lastRenderedPageBreak/>
        <w:t>Prend note</w:t>
      </w:r>
      <w:r w:rsidRPr="00403D4A">
        <w:rPr>
          <w:rFonts w:ascii="Arial" w:hAnsi="Arial" w:cs="Arial"/>
          <w:sz w:val="22"/>
          <w:szCs w:val="22"/>
        </w:rPr>
        <w:t xml:space="preserve"> que le Belize, le Costa Rica, Cuba, la République dominicaine, El Salvador, le Guatemala, le Honduras, le Nicaragua et le Panama</w:t>
      </w:r>
      <w:r w:rsidRPr="00403D4A" w:rsidDel="004A25BF">
        <w:rPr>
          <w:rFonts w:ascii="Arial" w:hAnsi="Arial" w:cs="Arial"/>
          <w:sz w:val="22"/>
          <w:szCs w:val="22"/>
        </w:rPr>
        <w:t xml:space="preserve"> </w:t>
      </w:r>
      <w:r w:rsidRPr="00403D4A">
        <w:rPr>
          <w:rFonts w:ascii="Arial" w:hAnsi="Arial" w:cs="Arial"/>
          <w:sz w:val="22"/>
          <w:szCs w:val="22"/>
        </w:rPr>
        <w:t>ont demandé une assistance internationale pour le projet intitulé </w:t>
      </w:r>
      <w:r w:rsidRPr="00403D4A">
        <w:rPr>
          <w:rFonts w:ascii="Arial" w:hAnsi="Arial" w:cs="Arial"/>
          <w:b/>
          <w:bCs/>
          <w:sz w:val="22"/>
          <w:szCs w:val="22"/>
        </w:rPr>
        <w:t>Renforcement des capacités des dirigeants communautaires et des gestionnaires publics pour sauvegarder le patrimoine vivant des communautés afro-descendantes dans la région SICA et à Cuba </w:t>
      </w:r>
      <w:r w:rsidRPr="00403D4A">
        <w:rPr>
          <w:rFonts w:ascii="Arial" w:hAnsi="Arial" w:cs="Arial"/>
          <w:sz w:val="22"/>
          <w:szCs w:val="22"/>
        </w:rPr>
        <w:t>:</w:t>
      </w:r>
    </w:p>
    <w:p w14:paraId="11BB34BB" w14:textId="77777777" w:rsidR="00D7772A" w:rsidRPr="00F53BF8" w:rsidRDefault="00D7772A" w:rsidP="00AD3C02">
      <w:pPr>
        <w:pStyle w:val="ListParagraph"/>
        <w:keepLines/>
        <w:spacing w:before="120" w:after="120"/>
        <w:ind w:left="567"/>
        <w:contextualSpacing w:val="0"/>
        <w:jc w:val="both"/>
        <w:rPr>
          <w:rFonts w:ascii="Arial" w:hAnsi="Arial" w:cs="Arial"/>
          <w:sz w:val="22"/>
          <w:szCs w:val="22"/>
        </w:rPr>
      </w:pPr>
      <w:r w:rsidRPr="00403D4A">
        <w:rPr>
          <w:rFonts w:ascii="Arial" w:hAnsi="Arial" w:cs="Arial"/>
          <w:sz w:val="22"/>
          <w:szCs w:val="22"/>
        </w:rPr>
        <w:t>Ce projet, d’une durée de treize mois, vise à établir une base conceptuelle et méthodologique commune pour la sauvegarde du patrimoine culturel immatériel des afro-descendants du Belize, du Costa Rica, de Cuba, de la République dominicaine, El Salvador, du Guatemala, du Honduras, du Nicaragua et du Panama. Il s’agit de la première étape (préparation et planification) d’une initiative plus vaste intitulée « Sauvegarde du patrimoine culturel immatériel d’ascendance africaine de la région SICA et de Cuba », qui sera développée entre 2022 et 2025 par la Coordination éducative et culturelle centraméricaine du Système d’intégration culturelle centraméricain (CECC/SICA). Le projet a trois objectifs principaux : (a) renforcer les capacités de gestion du patrimoine culturel immatériel des fonctionnaires et des représentants des communautés des neuf pays participants ; (b) identifier et analyser les processus et les actions visant le patrimoine culturel immatériel d’origine africaine dans la région afin d’élaborer des propositions de sauvegarde nationales ; et (c) faire connaître les connaissances acquises grâce au processus de renforcement des capacités et l’importance de la culture et de l’histoire des communautés afro-descendantes dans la région. Pour atteindre ces objectifs, les pays développeront trois ateliers en personne et un groupe de travail virtuel et fourniront un soutien virtuel. Les résultats attendus du projet comprennent le renforcement des capacités de gestion du patrimoine culturel immatériel, une cartographie des initiatives de sauvegarde pertinentes dans la région, des directives communes pour le développement d’un inventaire multinational du patrimoine culturel immatériel des communautés afro-descendantes</w:t>
      </w:r>
      <w:r w:rsidRPr="00403D4A" w:rsidDel="006B3D45">
        <w:rPr>
          <w:rFonts w:ascii="Arial" w:hAnsi="Arial" w:cs="Arial"/>
          <w:sz w:val="22"/>
          <w:szCs w:val="22"/>
        </w:rPr>
        <w:t xml:space="preserve"> </w:t>
      </w:r>
      <w:r w:rsidRPr="00403D4A">
        <w:rPr>
          <w:rFonts w:ascii="Arial" w:hAnsi="Arial" w:cs="Arial"/>
          <w:sz w:val="22"/>
          <w:szCs w:val="22"/>
        </w:rPr>
        <w:t>et un microsite virtuel pour la diffusion des résultats du projet.</w:t>
      </w:r>
    </w:p>
    <w:p w14:paraId="55E2A5F3"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403D4A">
        <w:rPr>
          <w:rFonts w:ascii="Arial" w:hAnsi="Arial"/>
          <w:sz w:val="22"/>
          <w:szCs w:val="22"/>
          <w:u w:val="single"/>
        </w:rPr>
        <w:t>Prend note en outre</w:t>
      </w:r>
      <w:r w:rsidRPr="00403D4A">
        <w:rPr>
          <w:rFonts w:ascii="Arial" w:hAnsi="Arial"/>
          <w:sz w:val="22"/>
          <w:szCs w:val="22"/>
        </w:rPr>
        <w:t xml:space="preserve"> que </w:t>
      </w:r>
      <w:r w:rsidRPr="00F53BF8">
        <w:rPr>
          <w:rFonts w:ascii="Arial" w:hAnsi="Arial"/>
          <w:sz w:val="22"/>
          <w:szCs w:val="22"/>
        </w:rPr>
        <w:t xml:space="preserve">cette assistance concerne l’appui à </w:t>
      </w:r>
      <w:r w:rsidRPr="00403D4A">
        <w:rPr>
          <w:rFonts w:ascii="Arial" w:hAnsi="Arial"/>
          <w:sz w:val="22"/>
          <w:szCs w:val="22"/>
        </w:rPr>
        <w:t>un projet mis en œuvre au niveau régional, conformément à l’article 20 (c)</w:t>
      </w:r>
      <w:r w:rsidRPr="00403D4A">
        <w:t xml:space="preserve"> </w:t>
      </w:r>
      <w:r w:rsidRPr="00403D4A">
        <w:rPr>
          <w:rFonts w:ascii="Arial" w:hAnsi="Arial"/>
          <w:sz w:val="22"/>
          <w:szCs w:val="22"/>
        </w:rPr>
        <w:t xml:space="preserve">de la Convention, et qu’elle prend la forme de </w:t>
      </w:r>
      <w:r w:rsidRPr="00403D4A">
        <w:rPr>
          <w:rFonts w:ascii="Arial" w:hAnsi="Arial"/>
          <w:b/>
          <w:bCs/>
          <w:sz w:val="22"/>
          <w:szCs w:val="22"/>
        </w:rPr>
        <w:t>l’octroi d’un don</w:t>
      </w:r>
      <w:r w:rsidRPr="00403D4A">
        <w:rPr>
          <w:rFonts w:ascii="Arial" w:hAnsi="Arial"/>
          <w:sz w:val="22"/>
          <w:szCs w:val="22"/>
        </w:rPr>
        <w:t>, conformément à l’article 21 (g) de la Convention ;</w:t>
      </w:r>
    </w:p>
    <w:p w14:paraId="73054812"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Prend également note</w:t>
      </w:r>
      <w:r w:rsidRPr="00403D4A">
        <w:rPr>
          <w:rFonts w:ascii="Arial" w:hAnsi="Arial" w:cs="Arial"/>
          <w:sz w:val="22"/>
          <w:szCs w:val="22"/>
        </w:rPr>
        <w:t xml:space="preserve"> que le Belize, le Costa Rica, Cuba, la République dominicaine, El Salvador, le Guatemala, le Honduras, le Nicaragua et le Panama</w:t>
      </w:r>
      <w:r w:rsidRPr="00403D4A" w:rsidDel="004A25BF">
        <w:rPr>
          <w:rFonts w:ascii="Arial" w:hAnsi="Arial" w:cs="Arial"/>
          <w:sz w:val="22"/>
          <w:szCs w:val="22"/>
        </w:rPr>
        <w:t xml:space="preserve"> </w:t>
      </w:r>
      <w:r w:rsidRPr="00403D4A">
        <w:rPr>
          <w:rFonts w:ascii="Arial" w:hAnsi="Arial" w:cs="Arial"/>
          <w:sz w:val="22"/>
          <w:szCs w:val="22"/>
        </w:rPr>
        <w:t xml:space="preserve">ont demandé une allocation d’un montant de 99 986 </w:t>
      </w:r>
      <w:r w:rsidRPr="00F53BF8">
        <w:rPr>
          <w:rFonts w:ascii="Arial" w:hAnsi="Arial"/>
          <w:sz w:val="22"/>
          <w:szCs w:val="22"/>
        </w:rPr>
        <w:t xml:space="preserve">dollars des États-Unis </w:t>
      </w:r>
      <w:r w:rsidRPr="00403D4A">
        <w:rPr>
          <w:rFonts w:ascii="Arial" w:hAnsi="Arial" w:cs="Arial"/>
          <w:sz w:val="22"/>
          <w:szCs w:val="22"/>
        </w:rPr>
        <w:t>au Fonds du patrimoine culturel immatériel pour la mise en œuvre de ce projet ;</w:t>
      </w:r>
    </w:p>
    <w:p w14:paraId="2CAAD0DA" w14:textId="77777777" w:rsidR="00D7772A" w:rsidRPr="00F53BF8" w:rsidRDefault="00D7772A" w:rsidP="00AD3C02">
      <w:pPr>
        <w:pStyle w:val="ListParagraph"/>
        <w:numPr>
          <w:ilvl w:val="0"/>
          <w:numId w:val="23"/>
        </w:numPr>
        <w:tabs>
          <w:tab w:val="left" w:pos="1276"/>
        </w:tabs>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Décide</w:t>
      </w:r>
      <w:r w:rsidRPr="00403D4A">
        <w:rPr>
          <w:rFonts w:ascii="Arial" w:hAnsi="Arial" w:cs="Arial"/>
          <w:sz w:val="22"/>
          <w:szCs w:val="22"/>
        </w:rPr>
        <w:t xml:space="preserve"> que, d’après les informations fournies dans le dossier n° 02010, la demande </w:t>
      </w:r>
      <w:r w:rsidRPr="00F53BF8">
        <w:rPr>
          <w:rFonts w:ascii="Arial" w:hAnsi="Arial"/>
          <w:sz w:val="22"/>
          <w:szCs w:val="22"/>
        </w:rPr>
        <w:t>satisfait aux critères d’octroi de l’assistance internationale énoncés aux paragraphes 10 et 12 des Directives opérationnelles comme suit :</w:t>
      </w:r>
    </w:p>
    <w:p w14:paraId="301B0DD8" w14:textId="77777777" w:rsidR="00D7772A" w:rsidRPr="00F53BF8" w:rsidRDefault="00D7772A" w:rsidP="00AD3C02">
      <w:pPr>
        <w:pStyle w:val="ListParagraph"/>
        <w:spacing w:before="120" w:after="120"/>
        <w:ind w:left="567"/>
        <w:contextualSpacing w:val="0"/>
        <w:jc w:val="both"/>
        <w:rPr>
          <w:rFonts w:ascii="Arial" w:hAnsi="Arial" w:cs="Arial"/>
          <w:bCs/>
          <w:sz w:val="22"/>
          <w:szCs w:val="22"/>
        </w:rPr>
      </w:pPr>
      <w:r w:rsidRPr="00403D4A">
        <w:rPr>
          <w:rFonts w:ascii="Arial" w:hAnsi="Arial" w:cs="Arial"/>
          <w:b/>
          <w:bCs/>
          <w:sz w:val="22"/>
          <w:szCs w:val="22"/>
        </w:rPr>
        <w:t xml:space="preserve">Critère A.1 : </w:t>
      </w:r>
      <w:r w:rsidRPr="00403D4A">
        <w:rPr>
          <w:rFonts w:ascii="Arial" w:hAnsi="Arial" w:cs="Arial"/>
          <w:sz w:val="22"/>
          <w:szCs w:val="22"/>
        </w:rPr>
        <w:t xml:space="preserve">Cette demande est le résultat de la décision des chefs d’États et de gouvernement de formuler des actions et des politiques pour le développement et le renforcement de la population afro-descendante de la région, tout en assurant la participation des communautés dès le début. Des représentants </w:t>
      </w:r>
      <w:r w:rsidRPr="00F53BF8">
        <w:rPr>
          <w:rFonts w:ascii="Arial" w:hAnsi="Arial" w:cs="Arial"/>
          <w:sz w:val="22"/>
          <w:szCs w:val="22"/>
        </w:rPr>
        <w:t>des communautés</w:t>
      </w:r>
      <w:r w:rsidRPr="00403D4A">
        <w:rPr>
          <w:rFonts w:ascii="Arial" w:hAnsi="Arial" w:cs="Arial"/>
          <w:sz w:val="22"/>
          <w:szCs w:val="22"/>
        </w:rPr>
        <w:t xml:space="preserve"> de l’Organisation noire d’Amérique centrale (ONECA) ont participé à la préparation de cette demande, avec le soutien du Centre régional pour la sauvegarde du patrimoine culturel immatériel d’Amérique latine (CRESPIAL). En outre, des représentants des communautés et des agents de chaque pays participeront activement aux activités et à la mise en œuvre du projet. Il est prévu qu’ils participent à la cartographie des projets et des actions de sauvegarde du patrimoine culturel immatériel (PCI) des communautés d’ascendance africaine dans la région SICA et à Cuba, ainsi qu’aux phases ultérieures (élaboration de l’inventaire participatif multinational du patrimoine vivant d’ascendance africaine dans neuf pays d’Amérique centrale et des Caraïbes).</w:t>
      </w:r>
    </w:p>
    <w:p w14:paraId="18EED85C" w14:textId="77777777" w:rsidR="00D7772A" w:rsidRPr="00F53BF8" w:rsidRDefault="00D7772A" w:rsidP="00AD3C02">
      <w:pPr>
        <w:pStyle w:val="ListParagraph"/>
        <w:spacing w:before="120" w:after="120"/>
        <w:ind w:left="567"/>
        <w:contextualSpacing w:val="0"/>
        <w:jc w:val="both"/>
        <w:rPr>
          <w:rFonts w:ascii="Arial" w:hAnsi="Arial" w:cs="Arial"/>
          <w:bCs/>
          <w:sz w:val="22"/>
          <w:szCs w:val="22"/>
        </w:rPr>
      </w:pPr>
      <w:r w:rsidRPr="00403D4A">
        <w:rPr>
          <w:rFonts w:ascii="Arial" w:hAnsi="Arial" w:cs="Arial"/>
          <w:b/>
          <w:bCs/>
          <w:sz w:val="22"/>
          <w:szCs w:val="22"/>
        </w:rPr>
        <w:t xml:space="preserve">Critère A.2 : </w:t>
      </w:r>
      <w:r w:rsidRPr="00403D4A">
        <w:rPr>
          <w:rFonts w:ascii="Arial" w:hAnsi="Arial" w:cs="Arial"/>
          <w:sz w:val="22"/>
          <w:szCs w:val="22"/>
        </w:rPr>
        <w:t>Le budget est bien pensé et structuré pour soutenir les différentes composantes du projet. Le montant de l’aide demandée semble approprié au regard des objectifs et de la portée du projet.</w:t>
      </w:r>
    </w:p>
    <w:p w14:paraId="1DEF0070" w14:textId="77777777" w:rsidR="00D7772A" w:rsidRPr="00F53BF8" w:rsidRDefault="00D7772A" w:rsidP="00AD3C02">
      <w:pPr>
        <w:pStyle w:val="ListParagraph"/>
        <w:keepLines/>
        <w:spacing w:before="120" w:after="120"/>
        <w:ind w:left="567"/>
        <w:contextualSpacing w:val="0"/>
        <w:jc w:val="both"/>
        <w:rPr>
          <w:rFonts w:ascii="Arial" w:hAnsi="Arial" w:cs="Arial"/>
          <w:b/>
          <w:sz w:val="22"/>
          <w:szCs w:val="22"/>
        </w:rPr>
      </w:pPr>
      <w:r w:rsidRPr="00403D4A">
        <w:rPr>
          <w:rFonts w:ascii="Arial" w:hAnsi="Arial" w:cs="Arial"/>
          <w:b/>
          <w:bCs/>
          <w:sz w:val="22"/>
          <w:szCs w:val="22"/>
        </w:rPr>
        <w:lastRenderedPageBreak/>
        <w:t>Critère A.3</w:t>
      </w:r>
      <w:r w:rsidRPr="00403D4A">
        <w:rPr>
          <w:rFonts w:ascii="Arial" w:hAnsi="Arial" w:cs="Arial"/>
          <w:b/>
          <w:bCs/>
        </w:rPr>
        <w:t xml:space="preserve"> : </w:t>
      </w:r>
      <w:r w:rsidRPr="00403D4A">
        <w:rPr>
          <w:rFonts w:ascii="Arial" w:hAnsi="Arial" w:cs="Arial"/>
          <w:snapToGrid w:val="0"/>
          <w:sz w:val="22"/>
          <w:szCs w:val="22"/>
        </w:rPr>
        <w:t xml:space="preserve">La demande présente un ensemble d’activités qui implique la mise en place d’organes de coordination de projets et la sélection de participants, des activités de renforcement des capacités en personne, ainsi qu’un suivi et une cartographie virtuels des projets et des actions de sauvegarde du patrimoine culturel immatériel </w:t>
      </w:r>
      <w:r w:rsidRPr="00403D4A">
        <w:rPr>
          <w:rFonts w:ascii="Arial" w:hAnsi="Arial" w:cs="Arial"/>
          <w:sz w:val="22"/>
          <w:szCs w:val="22"/>
        </w:rPr>
        <w:t>des communautés afro-descendantes</w:t>
      </w:r>
      <w:r w:rsidRPr="00403D4A">
        <w:rPr>
          <w:rFonts w:ascii="Arial" w:hAnsi="Arial" w:cs="Arial"/>
          <w:snapToGrid w:val="0"/>
          <w:sz w:val="22"/>
          <w:szCs w:val="22"/>
        </w:rPr>
        <w:t xml:space="preserve">. Une deuxième réunion en personne sera organisée pour partager les résultats, suivie d’activités virtuelles pour concevoir des projets nationaux dans le but de créer un horizon conceptuel et méthodologique et de guider la sauvegarde du patrimoine vivant d’ascendance africaine dans la région. </w:t>
      </w:r>
      <w:r w:rsidRPr="00403D4A">
        <w:rPr>
          <w:rFonts w:ascii="Arial" w:hAnsi="Arial" w:cs="Arial"/>
          <w:sz w:val="22"/>
          <w:szCs w:val="22"/>
        </w:rPr>
        <w:t>Les activités sont présentées de manière logique et correspondent aux objectifs et aux résultats attendus décrits dans la demande.</w:t>
      </w:r>
      <w:r w:rsidRPr="00403D4A">
        <w:rPr>
          <w:rFonts w:ascii="Arial" w:hAnsi="Arial" w:cs="Arial"/>
          <w:b/>
          <w:bCs/>
          <w:sz w:val="22"/>
          <w:szCs w:val="22"/>
        </w:rPr>
        <w:t xml:space="preserve"> </w:t>
      </w:r>
    </w:p>
    <w:p w14:paraId="74F0994F" w14:textId="77777777" w:rsidR="00D7772A" w:rsidRPr="00F53BF8" w:rsidRDefault="00D7772A" w:rsidP="00AD3C02">
      <w:pPr>
        <w:pStyle w:val="ListParagraph"/>
        <w:keepLines/>
        <w:spacing w:before="120" w:after="120"/>
        <w:ind w:left="567"/>
        <w:contextualSpacing w:val="0"/>
        <w:jc w:val="both"/>
        <w:rPr>
          <w:rFonts w:ascii="Arial" w:hAnsi="Arial" w:cs="Arial"/>
          <w:sz w:val="22"/>
          <w:szCs w:val="22"/>
        </w:rPr>
      </w:pPr>
      <w:r w:rsidRPr="00403D4A">
        <w:rPr>
          <w:rFonts w:ascii="Arial" w:hAnsi="Arial" w:cs="Arial"/>
          <w:b/>
          <w:bCs/>
          <w:sz w:val="22"/>
          <w:szCs w:val="22"/>
        </w:rPr>
        <w:t>Critère A.4 :</w:t>
      </w:r>
      <w:r w:rsidRPr="00403D4A">
        <w:rPr>
          <w:rFonts w:ascii="Arial" w:hAnsi="Arial" w:cs="Arial"/>
          <w:sz w:val="22"/>
          <w:szCs w:val="22"/>
        </w:rPr>
        <w:t xml:space="preserve"> Les gouvernements et les institutions concernés ont pleinement soutenu le projet. La présente demande constitue la première étape du projet-cadre multinational « Sauvegarde du patrimoine culturel immatériel d’ascendance africaine de la région SICA et de Cuba », qui sera développé entre 2022 et 2025, et a reçu l’approbation du Conseil des ministres du SICA, ainsi que des dispositions pour sa mise en œuvre. Ainsi, une fois ce projet achevé, il produira des informations de base et des outils qui favoriseront la sauvegarde du patrimoine vivant des afro-descendants, avec la participation des communautés et des gouvernements. Étant donné que le projet fait partie d’une initiative plus vaste qui sera mise en œuvre jusqu’en 2025, les résultats de ce projet seront utilisés au-delà de sa projection immédiate. </w:t>
      </w:r>
    </w:p>
    <w:p w14:paraId="4D36569F"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Critère A.5 :</w:t>
      </w:r>
      <w:r w:rsidRPr="00403D4A">
        <w:rPr>
          <w:rFonts w:ascii="Arial" w:hAnsi="Arial" w:cs="Arial"/>
          <w:sz w:val="22"/>
          <w:szCs w:val="22"/>
        </w:rPr>
        <w:t xml:space="preserve"> Les États parties soumissionnaires contribueront à hauteur de 46 pour cent et les autres partenaires à hauteur de 19 pour cent supplémentaires du montant total du budget du projet (284 426 dollars des États-Unis).</w:t>
      </w:r>
      <w:r w:rsidRPr="00F53BF8">
        <w:rPr>
          <w:rFonts w:ascii="Arial" w:hAnsi="Arial" w:cs="Arial"/>
          <w:sz w:val="22"/>
          <w:szCs w:val="22"/>
        </w:rPr>
        <w:t xml:space="preserve"> </w:t>
      </w:r>
      <w:r w:rsidRPr="00403D4A">
        <w:rPr>
          <w:rFonts w:ascii="Arial" w:hAnsi="Arial" w:cs="Arial"/>
          <w:sz w:val="22"/>
          <w:szCs w:val="22"/>
        </w:rPr>
        <w:t xml:space="preserve">Par conséquent, </w:t>
      </w:r>
      <w:r w:rsidRPr="00F53BF8">
        <w:rPr>
          <w:rFonts w:ascii="Arial" w:hAnsi="Arial" w:cs="Arial"/>
          <w:sz w:val="22"/>
          <w:szCs w:val="22"/>
        </w:rPr>
        <w:t>l’</w:t>
      </w:r>
      <w:r w:rsidRPr="00403D4A">
        <w:rPr>
          <w:rFonts w:ascii="Arial" w:hAnsi="Arial" w:cs="Arial"/>
          <w:sz w:val="22"/>
          <w:szCs w:val="22"/>
        </w:rPr>
        <w:t>assistance internationale est demandée au Fonds du patrimoine culturel immatériel pour les 35</w:t>
      </w:r>
      <w:r w:rsidRPr="00F53BF8">
        <w:rPr>
          <w:rFonts w:ascii="Arial" w:hAnsi="Arial" w:cs="Arial"/>
          <w:sz w:val="22"/>
          <w:szCs w:val="22"/>
        </w:rPr>
        <w:t xml:space="preserve"> pour cent</w:t>
      </w:r>
      <w:r w:rsidRPr="00403D4A">
        <w:rPr>
          <w:rFonts w:ascii="Arial" w:hAnsi="Arial" w:cs="Arial"/>
          <w:sz w:val="22"/>
          <w:szCs w:val="22"/>
        </w:rPr>
        <w:t xml:space="preserve"> restants du montant total du budget du projet.</w:t>
      </w:r>
    </w:p>
    <w:p w14:paraId="38A5F365"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Critère A.6 :</w:t>
      </w:r>
      <w:r w:rsidRPr="00403D4A">
        <w:rPr>
          <w:rFonts w:ascii="Arial" w:hAnsi="Arial" w:cs="Arial"/>
          <w:sz w:val="22"/>
          <w:szCs w:val="22"/>
        </w:rPr>
        <w:t xml:space="preserve"> Le cœur du projet est le renforcement des capacités pour la création de stratégies de sauvegarde du patrimoine culturel immatériel des communautés afro-descendantes. Il met en évidence et promeut la participation des porteurs et des communautés à deux niveaux : (a) d’une part, en soulignant la place et la signification de la participation communautaire dans les processus de sauvegarde ; et (b) d’autre part, en construisant le processus d’apprentissage sur l’implication des représentants des communautés afro-descendantes et des gestionnaires publics. </w:t>
      </w:r>
    </w:p>
    <w:p w14:paraId="5177372B"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b/>
          <w:bCs/>
          <w:sz w:val="22"/>
          <w:szCs w:val="22"/>
        </w:rPr>
        <w:t>Critère A.7 :</w:t>
      </w:r>
      <w:r w:rsidRPr="00403D4A">
        <w:rPr>
          <w:rFonts w:ascii="Arial" w:hAnsi="Arial"/>
          <w:sz w:val="22"/>
          <w:szCs w:val="22"/>
        </w:rPr>
        <w:t xml:space="preserve"> Il n’y a, à ce jour, aucune de demande d’assistance financière multinationale au Fonds pour le patrimoine culturel immatériel de la Convention de 2003 pour mettre en œuvre des activités similaires ou connexes dans le domaine du patrimoine culturel immatériel.</w:t>
      </w:r>
    </w:p>
    <w:p w14:paraId="658C3F6A"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Paragraphe 10(a) :</w:t>
      </w:r>
      <w:r w:rsidRPr="00403D4A">
        <w:rPr>
          <w:rFonts w:ascii="Arial" w:hAnsi="Arial" w:cs="Arial"/>
          <w:sz w:val="22"/>
          <w:szCs w:val="22"/>
        </w:rPr>
        <w:t xml:space="preserve"> Les activités proposées ont une portée régionale et impliquent une coopération avec des partenaires d’exécution locaux et nationaux, notamment le Secrétariat technique de la Coordination éducative et culturelle centraméricaine du Système d’intégration culturelle centraméricain (CECC/SICA) et l’Organisation centraméricaine des Noirs (ONECA), avec le soutien du Centre régional pour la sauvegarde du patrimoine culturel immatériel d’Amérique latine (CRESPIAL) et du Bureau multipays de l’UNESCO à San José.</w:t>
      </w:r>
    </w:p>
    <w:p w14:paraId="5069BAB2"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 xml:space="preserve">Paragraphe 10(b) : </w:t>
      </w:r>
      <w:r w:rsidRPr="00403D4A">
        <w:rPr>
          <w:rFonts w:ascii="Arial" w:hAnsi="Arial" w:cs="Arial"/>
          <w:sz w:val="22"/>
          <w:szCs w:val="22"/>
        </w:rPr>
        <w:t xml:space="preserve">Le projet contribue à sensibiliser les gouvernements, les institutions et les communautés à l’importance de la sauvegarde du patrimoine vivant des afro-descendants. Les États parties sont encouragés à mettre en œuvre des mesures de sauvegarde qui peuvent être présentées comme des résultats de ce projet. </w:t>
      </w:r>
    </w:p>
    <w:p w14:paraId="032C1BCE"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Approuve</w:t>
      </w:r>
      <w:r w:rsidRPr="00403D4A">
        <w:rPr>
          <w:rFonts w:ascii="Arial" w:hAnsi="Arial" w:cs="Arial"/>
          <w:sz w:val="22"/>
          <w:szCs w:val="22"/>
        </w:rPr>
        <w:t xml:space="preserve"> la demande d’assistance internationale du Belize, du Costa Rica, de Cuba, de la République dominicaine, El Salvador, du Guatemala, du Honduras, du Nicaragua et du Panama</w:t>
      </w:r>
      <w:r w:rsidRPr="00403D4A" w:rsidDel="004A25BF">
        <w:rPr>
          <w:rFonts w:ascii="Arial" w:hAnsi="Arial" w:cs="Arial"/>
          <w:sz w:val="22"/>
          <w:szCs w:val="22"/>
        </w:rPr>
        <w:t xml:space="preserve"> </w:t>
      </w:r>
      <w:r w:rsidRPr="00403D4A">
        <w:rPr>
          <w:rFonts w:ascii="Arial" w:hAnsi="Arial" w:cs="Arial"/>
          <w:sz w:val="22"/>
          <w:szCs w:val="22"/>
        </w:rPr>
        <w:t xml:space="preserve">pour le projet intitulé </w:t>
      </w:r>
      <w:r w:rsidRPr="00403D4A">
        <w:rPr>
          <w:rFonts w:ascii="Arial" w:hAnsi="Arial" w:cs="Arial"/>
          <w:b/>
          <w:bCs/>
          <w:sz w:val="22"/>
          <w:szCs w:val="22"/>
        </w:rPr>
        <w:t xml:space="preserve">Renforcement des capacités des dirigeants communautaires et des gestionnaires publics pour sauvegarder le patrimoine vivant des communautés afro-descendantes dans la région SICA et à Cuba </w:t>
      </w:r>
      <w:r w:rsidRPr="00403D4A">
        <w:rPr>
          <w:rFonts w:ascii="Arial" w:hAnsi="Arial" w:cs="Arial"/>
          <w:sz w:val="22"/>
          <w:szCs w:val="22"/>
        </w:rPr>
        <w:t xml:space="preserve">et </w:t>
      </w:r>
      <w:r w:rsidRPr="00403D4A">
        <w:rPr>
          <w:rFonts w:ascii="Arial" w:hAnsi="Arial" w:cs="Arial"/>
          <w:sz w:val="22"/>
          <w:szCs w:val="22"/>
          <w:u w:val="single"/>
        </w:rPr>
        <w:t>accorde</w:t>
      </w:r>
      <w:r w:rsidRPr="00403D4A">
        <w:rPr>
          <w:rFonts w:ascii="Arial" w:hAnsi="Arial" w:cs="Arial"/>
          <w:sz w:val="22"/>
          <w:szCs w:val="22"/>
        </w:rPr>
        <w:t xml:space="preserve"> un montant de 99 986 dollars des États-Unis aux États parties à cette fin ;</w:t>
      </w:r>
    </w:p>
    <w:p w14:paraId="4E3358D8"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sz w:val="22"/>
          <w:szCs w:val="22"/>
        </w:rPr>
      </w:pPr>
      <w:r w:rsidRPr="00F53BF8">
        <w:rPr>
          <w:rFonts w:ascii="Arial" w:hAnsi="Arial" w:cs="Arial"/>
          <w:sz w:val="22"/>
          <w:szCs w:val="22"/>
          <w:u w:val="single"/>
        </w:rPr>
        <w:lastRenderedPageBreak/>
        <w:t>Demande</w:t>
      </w:r>
      <w:r w:rsidRPr="00F53BF8">
        <w:rPr>
          <w:rFonts w:ascii="Arial" w:hAnsi="Arial" w:cs="Arial"/>
          <w:sz w:val="22"/>
          <w:szCs w:val="22"/>
        </w:rPr>
        <w:t xml:space="preserve"> au Secrétariat de se mettre d’accord avec l’État partie demandeur sur les détails techniques de l’assistance, en accordant une attention particulière à ce que le budget des activités à couvrir par le Fonds du patrimoine culturel immatériel soit suffisamment précis </w:t>
      </w:r>
      <w:r w:rsidRPr="00403D4A">
        <w:rPr>
          <w:rFonts w:ascii="Arial" w:hAnsi="Arial" w:cs="Arial"/>
          <w:sz w:val="22"/>
          <w:szCs w:val="22"/>
        </w:rPr>
        <w:t>;</w:t>
      </w:r>
    </w:p>
    <w:p w14:paraId="22E43A5A" w14:textId="77777777" w:rsidR="00D7772A" w:rsidRPr="00F53BF8" w:rsidRDefault="00D7772A" w:rsidP="00AD3C02">
      <w:pPr>
        <w:pStyle w:val="ListParagraph"/>
        <w:numPr>
          <w:ilvl w:val="0"/>
          <w:numId w:val="23"/>
        </w:numPr>
        <w:spacing w:before="120" w:after="120"/>
        <w:ind w:left="567" w:hanging="567"/>
        <w:contextualSpacing w:val="0"/>
        <w:jc w:val="both"/>
        <w:rPr>
          <w:rFonts w:ascii="Arial" w:hAnsi="Arial" w:cs="Arial"/>
        </w:rPr>
      </w:pPr>
      <w:r w:rsidRPr="00403D4A">
        <w:rPr>
          <w:rFonts w:ascii="Arial" w:hAnsi="Arial" w:cs="Arial"/>
          <w:sz w:val="22"/>
          <w:szCs w:val="22"/>
          <w:u w:val="single"/>
        </w:rPr>
        <w:t>Invite</w:t>
      </w:r>
      <w:r w:rsidRPr="00403D4A">
        <w:rPr>
          <w:rFonts w:ascii="Arial" w:hAnsi="Arial" w:cs="Arial"/>
          <w:sz w:val="22"/>
          <w:szCs w:val="22"/>
        </w:rPr>
        <w:t xml:space="preserve"> l’État partie à utiliser le formulaire ICH-04-Rapport pour rendre compte de l’utilisation de l’assistance accordée.</w:t>
      </w:r>
    </w:p>
    <w:p w14:paraId="289F5E0C" w14:textId="511063A1" w:rsidR="00D7772A" w:rsidRPr="00F53BF8" w:rsidRDefault="00D7772A" w:rsidP="00805DD3">
      <w:pPr>
        <w:pStyle w:val="COMPara"/>
        <w:keepNext/>
        <w:spacing w:before="240"/>
        <w:ind w:left="0" w:firstLine="0"/>
        <w:rPr>
          <w:lang w:val="fr-FR"/>
        </w:rPr>
      </w:pPr>
      <w:bookmarkStart w:id="5" w:name="Dec2"/>
      <w:bookmarkStart w:id="6" w:name="_Hlk111042739"/>
      <w:bookmarkEnd w:id="2"/>
      <w:r w:rsidRPr="00403D4A">
        <w:rPr>
          <w:b/>
          <w:bCs/>
          <w:lang w:val="fr-FR"/>
        </w:rPr>
        <w:t>DÉCISION 17.COM 5.BUR 3.2</w:t>
      </w:r>
      <w:bookmarkEnd w:id="5"/>
    </w:p>
    <w:p w14:paraId="04E7B38D" w14:textId="77777777" w:rsidR="00D7772A" w:rsidRPr="00403D4A" w:rsidRDefault="00D7772A" w:rsidP="00805DD3">
      <w:pPr>
        <w:keepNext/>
        <w:spacing w:before="120" w:after="120"/>
        <w:jc w:val="both"/>
        <w:rPr>
          <w:rFonts w:ascii="Arial" w:hAnsi="Arial" w:cs="Arial"/>
          <w:sz w:val="22"/>
          <w:szCs w:val="22"/>
        </w:rPr>
      </w:pPr>
      <w:r w:rsidRPr="00403D4A">
        <w:rPr>
          <w:rFonts w:ascii="Arial" w:hAnsi="Arial" w:cs="Arial"/>
          <w:sz w:val="22"/>
          <w:szCs w:val="22"/>
        </w:rPr>
        <w:t>Le Bureau,</w:t>
      </w:r>
    </w:p>
    <w:p w14:paraId="47DFDCBF"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Rappelant</w:t>
      </w:r>
      <w:r w:rsidRPr="00403D4A">
        <w:rPr>
          <w:rFonts w:ascii="Arial" w:hAnsi="Arial" w:cs="Arial"/>
          <w:sz w:val="22"/>
          <w:szCs w:val="22"/>
        </w:rPr>
        <w:t xml:space="preserve"> l’article 23 de la Convention ainsi que le chapitre I.4 des Directives opérationnelles relatives </w:t>
      </w:r>
      <w:r w:rsidRPr="00F53BF8">
        <w:rPr>
          <w:rFonts w:ascii="Arial" w:hAnsi="Arial"/>
          <w:sz w:val="22"/>
          <w:szCs w:val="22"/>
        </w:rPr>
        <w:t xml:space="preserve">relatifs à l’admissibilité </w:t>
      </w:r>
      <w:r w:rsidRPr="00403D4A">
        <w:rPr>
          <w:rFonts w:ascii="Arial" w:hAnsi="Arial" w:cs="Arial"/>
          <w:sz w:val="22"/>
          <w:szCs w:val="22"/>
        </w:rPr>
        <w:t>et aux critères des demandes d’assistance internationale,</w:t>
      </w:r>
    </w:p>
    <w:p w14:paraId="722471E3" w14:textId="47F50186"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Ayant examiné</w:t>
      </w:r>
      <w:r w:rsidRPr="00403D4A">
        <w:rPr>
          <w:rFonts w:ascii="Arial" w:hAnsi="Arial" w:cs="Arial"/>
          <w:sz w:val="22"/>
          <w:szCs w:val="22"/>
        </w:rPr>
        <w:t xml:space="preserve"> le document LHE/22/17.COM 5.BUR/3 ainsi que la demande d’assistance internationale n°</w:t>
      </w:r>
      <w:r w:rsidR="008176D5">
        <w:rPr>
          <w:rFonts w:ascii="Arial" w:hAnsi="Arial" w:cs="Arial"/>
          <w:sz w:val="22"/>
          <w:szCs w:val="22"/>
        </w:rPr>
        <w:t> </w:t>
      </w:r>
      <w:r w:rsidRPr="00403D4A">
        <w:rPr>
          <w:rFonts w:ascii="Arial" w:hAnsi="Arial" w:cs="Arial"/>
          <w:sz w:val="22"/>
          <w:szCs w:val="22"/>
        </w:rPr>
        <w:t>02007 soumise par le Kirghizistan,</w:t>
      </w:r>
    </w:p>
    <w:p w14:paraId="7B31FDE2"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Prend note</w:t>
      </w:r>
      <w:r w:rsidRPr="00403D4A">
        <w:rPr>
          <w:rFonts w:ascii="Arial" w:hAnsi="Arial" w:cs="Arial"/>
          <w:sz w:val="22"/>
          <w:szCs w:val="22"/>
        </w:rPr>
        <w:t xml:space="preserve"> que le Kirghiz</w:t>
      </w:r>
      <w:r w:rsidRPr="00F53BF8">
        <w:rPr>
          <w:rFonts w:ascii="Arial" w:hAnsi="Arial" w:cs="Arial"/>
          <w:sz w:val="22"/>
          <w:szCs w:val="22"/>
        </w:rPr>
        <w:t>i</w:t>
      </w:r>
      <w:r w:rsidRPr="00403D4A">
        <w:rPr>
          <w:rFonts w:ascii="Arial" w:hAnsi="Arial" w:cs="Arial"/>
          <w:sz w:val="22"/>
          <w:szCs w:val="22"/>
        </w:rPr>
        <w:t xml:space="preserve">stan a demandé une assistance internationale pour le projet intitulé </w:t>
      </w:r>
      <w:r w:rsidRPr="00403D4A">
        <w:rPr>
          <w:rFonts w:ascii="Arial" w:hAnsi="Arial" w:cs="Arial"/>
          <w:b/>
          <w:bCs/>
          <w:sz w:val="22"/>
          <w:szCs w:val="22"/>
        </w:rPr>
        <w:t>Voyage numérique vers le patrimoine culturel immatériel du Kirghizstan</w:t>
      </w:r>
      <w:r w:rsidRPr="00403D4A">
        <w:rPr>
          <w:rFonts w:ascii="Arial" w:hAnsi="Arial" w:cs="Arial"/>
          <w:sz w:val="22"/>
          <w:szCs w:val="22"/>
        </w:rPr>
        <w:t> :</w:t>
      </w:r>
    </w:p>
    <w:p w14:paraId="47E5C102"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sz w:val="22"/>
          <w:szCs w:val="22"/>
        </w:rPr>
        <w:t>Ce projet de trente mois est proposé comme deuxième phase du projet sur les pratiques de sauvegarde et les rituels rares liés aux sites sacrés au Kirghizistan, mis en œuvre en 2018-2020 avec le soutien du Fonds du patrimoine culturel immatériel.</w:t>
      </w:r>
      <w:r w:rsidRPr="00F53BF8">
        <w:rPr>
          <w:rFonts w:ascii="Arial" w:hAnsi="Arial" w:cs="Arial"/>
          <w:sz w:val="22"/>
          <w:szCs w:val="22"/>
        </w:rPr>
        <w:t xml:space="preserve"> </w:t>
      </w:r>
      <w:r w:rsidRPr="00403D4A">
        <w:rPr>
          <w:rFonts w:ascii="Arial" w:hAnsi="Arial" w:cs="Arial"/>
          <w:sz w:val="22"/>
          <w:szCs w:val="22"/>
        </w:rPr>
        <w:t xml:space="preserve">Initié par les chefs de communauté des pratiques de pèlerinage, l’objectif global du projet est de développer un site web sur les éléments du PCI, avec du matériel audiovisuel et des informations complètes sur la Convention de 2003, les communautés du PCI, les parties prenantes actives et les activités de sauvegarde. L’idée du développement d’une plateforme numérique a été proposée par les communautés concernées pour atténuer les risques réglementaires, éducatifs et idéologiques des pratiques de pèlerinage identifiés lors du précédent projet. Le site Web proposé abordera les questions suivantes : (a) le manque de connaissances, d’informations, de sensibilisation et de matériel éducatif sur le PCI ; (b) la sous-représentation du patrimoine culturel des minorités ethniques vivant au Kirghizstan ; et (c) la nécessité de moderniser le mécanisme d’enregistrement des expressions du patrimoine vivant de l’inventaire national de l’État. Le projet devrait faciliter la transmission du PCI aux jeunes générations, favoriser un sentiment de reconnaissance, d’inclusion et d’appartenance des groupes ethniques </w:t>
      </w:r>
      <w:proofErr w:type="spellStart"/>
      <w:r w:rsidRPr="00403D4A">
        <w:rPr>
          <w:rFonts w:ascii="Arial" w:hAnsi="Arial" w:cs="Arial"/>
          <w:sz w:val="22"/>
          <w:szCs w:val="22"/>
        </w:rPr>
        <w:t>dungan</w:t>
      </w:r>
      <w:proofErr w:type="spellEnd"/>
      <w:r w:rsidRPr="00403D4A">
        <w:rPr>
          <w:rFonts w:ascii="Arial" w:hAnsi="Arial" w:cs="Arial"/>
          <w:sz w:val="22"/>
          <w:szCs w:val="22"/>
        </w:rPr>
        <w:t xml:space="preserve"> et ouïghour, promouvoir la cohésion sociale, le respect mutuel et la compréhension entre les différents groupes ethniques, et renforcer les partenariats entre les parties prenantes du PCI, notamment les communautés, les structures étatiques et les organisations non gouvernementales.</w:t>
      </w:r>
    </w:p>
    <w:p w14:paraId="542A57F2"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sz w:val="22"/>
          <w:szCs w:val="22"/>
          <w:u w:val="single"/>
        </w:rPr>
        <w:t>Prend également note en outre</w:t>
      </w:r>
      <w:r w:rsidRPr="00403D4A">
        <w:rPr>
          <w:rFonts w:ascii="Arial" w:hAnsi="Arial"/>
          <w:sz w:val="22"/>
          <w:szCs w:val="22"/>
        </w:rPr>
        <w:t xml:space="preserve"> que cette aide</w:t>
      </w:r>
      <w:r w:rsidRPr="00403D4A">
        <w:rPr>
          <w:sz w:val="22"/>
          <w:szCs w:val="22"/>
        </w:rPr>
        <w:t xml:space="preserve"> </w:t>
      </w:r>
      <w:r w:rsidRPr="00403D4A">
        <w:rPr>
          <w:rFonts w:ascii="Arial" w:hAnsi="Arial"/>
          <w:sz w:val="22"/>
          <w:szCs w:val="22"/>
        </w:rPr>
        <w:t>concerne l’appui à projet mis en œuvre au niveau national, conformément à l’article 20 (c)</w:t>
      </w:r>
      <w:r w:rsidRPr="00403D4A">
        <w:rPr>
          <w:sz w:val="22"/>
          <w:szCs w:val="22"/>
        </w:rPr>
        <w:t xml:space="preserve"> </w:t>
      </w:r>
      <w:r w:rsidRPr="00403D4A">
        <w:rPr>
          <w:rFonts w:ascii="Arial" w:hAnsi="Arial"/>
          <w:sz w:val="22"/>
          <w:szCs w:val="22"/>
        </w:rPr>
        <w:t>de la Convention, et qu’elle prend la forme de l’</w:t>
      </w:r>
      <w:r w:rsidRPr="00403D4A">
        <w:rPr>
          <w:rFonts w:ascii="Arial" w:hAnsi="Arial"/>
          <w:b/>
          <w:bCs/>
          <w:sz w:val="22"/>
          <w:szCs w:val="22"/>
        </w:rPr>
        <w:t>octroi d’un don</w:t>
      </w:r>
      <w:r w:rsidRPr="00403D4A">
        <w:rPr>
          <w:rFonts w:ascii="Arial" w:hAnsi="Arial"/>
          <w:sz w:val="22"/>
          <w:szCs w:val="22"/>
        </w:rPr>
        <w:t>, conformément à l’article 21 (g) de la Convention ;</w:t>
      </w:r>
    </w:p>
    <w:p w14:paraId="777CC02B"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Prend également note</w:t>
      </w:r>
      <w:r w:rsidRPr="00403D4A">
        <w:rPr>
          <w:rFonts w:ascii="Arial" w:hAnsi="Arial" w:cs="Arial"/>
          <w:sz w:val="22"/>
          <w:szCs w:val="22"/>
        </w:rPr>
        <w:t xml:space="preserve"> que le Kirghizistan a demandé une allocation d’un montant de 99 963 dollars </w:t>
      </w:r>
      <w:r w:rsidRPr="00F53BF8">
        <w:rPr>
          <w:rFonts w:ascii="Arial" w:hAnsi="Arial"/>
          <w:sz w:val="22"/>
          <w:szCs w:val="22"/>
        </w:rPr>
        <w:t xml:space="preserve">des États-Unis </w:t>
      </w:r>
      <w:r w:rsidRPr="00403D4A">
        <w:rPr>
          <w:rFonts w:ascii="Arial" w:hAnsi="Arial" w:cs="Arial"/>
          <w:sz w:val="22"/>
          <w:szCs w:val="22"/>
        </w:rPr>
        <w:t>au Fonds du patrimoine culturel immatériel pour la mise en œuvre de ce projet ;</w:t>
      </w:r>
    </w:p>
    <w:p w14:paraId="07E528FC"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Décide</w:t>
      </w:r>
      <w:r w:rsidRPr="00403D4A">
        <w:rPr>
          <w:rFonts w:ascii="Arial" w:hAnsi="Arial" w:cs="Arial"/>
          <w:sz w:val="22"/>
          <w:szCs w:val="22"/>
        </w:rPr>
        <w:t xml:space="preserve"> </w:t>
      </w:r>
      <w:r w:rsidRPr="00F53BF8">
        <w:rPr>
          <w:rFonts w:ascii="Arial" w:hAnsi="Arial" w:cs="Arial"/>
          <w:sz w:val="22"/>
          <w:szCs w:val="22"/>
        </w:rPr>
        <w:t>que d’après les informations contenues dans le dossier n° 02007, la demande satisfait aux critères d’octroi de l’assistance internationale énoncés aux paragraphes 10 et 12 des Directives opérationnelles comme suit :</w:t>
      </w:r>
    </w:p>
    <w:p w14:paraId="7D620CA8" w14:textId="77777777" w:rsidR="00D7772A" w:rsidRPr="00F53BF8" w:rsidRDefault="00D7772A" w:rsidP="00AD3C02">
      <w:pPr>
        <w:pStyle w:val="Marge"/>
        <w:spacing w:before="120" w:after="120"/>
        <w:ind w:left="567"/>
        <w:rPr>
          <w:szCs w:val="22"/>
        </w:rPr>
      </w:pPr>
      <w:r w:rsidRPr="00403D4A">
        <w:rPr>
          <w:b/>
          <w:bCs/>
          <w:szCs w:val="22"/>
        </w:rPr>
        <w:t xml:space="preserve">Critère A.1 : </w:t>
      </w:r>
      <w:r w:rsidRPr="00403D4A">
        <w:rPr>
          <w:szCs w:val="22"/>
        </w:rPr>
        <w:t>Le projet a été conçu à l’initiative des communautés concernées. Les membres de la communauté et les praticiens sont les principaux experts et partenaires de l’agence de mise en œuvre. Le projet met l’accent sur le rôle central et actif des communautés tout au long de sa mise en œuvre, de la planification à l’évaluation, au contrôle et au suivi.</w:t>
      </w:r>
    </w:p>
    <w:p w14:paraId="358C8351"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Critère A.2 :</w:t>
      </w:r>
      <w:r w:rsidRPr="00403D4A">
        <w:rPr>
          <w:rFonts w:ascii="Arial" w:hAnsi="Arial" w:cs="Arial"/>
          <w:sz w:val="22"/>
          <w:szCs w:val="22"/>
        </w:rPr>
        <w:t xml:space="preserve"> Le budget est bien pensé et structuré pour soutenir les différentes composantes du projet. Le montant global de l’aide demandée semble approprié au regard des objectifs et de la portée du projet.</w:t>
      </w:r>
    </w:p>
    <w:p w14:paraId="6A967EAF" w14:textId="77777777" w:rsidR="00D7772A" w:rsidRPr="00F53BF8" w:rsidRDefault="00D7772A" w:rsidP="00AD3C02">
      <w:pPr>
        <w:keepLines/>
        <w:spacing w:before="120" w:after="120"/>
        <w:ind w:left="567"/>
        <w:jc w:val="both"/>
        <w:rPr>
          <w:rFonts w:ascii="Arial" w:hAnsi="Arial" w:cs="Arial"/>
          <w:sz w:val="22"/>
          <w:szCs w:val="22"/>
        </w:rPr>
      </w:pPr>
      <w:r w:rsidRPr="00403D4A">
        <w:rPr>
          <w:rFonts w:ascii="Arial" w:hAnsi="Arial" w:cs="Arial"/>
          <w:b/>
          <w:bCs/>
          <w:sz w:val="22"/>
          <w:szCs w:val="22"/>
        </w:rPr>
        <w:lastRenderedPageBreak/>
        <w:t>Critère A.3 :</w:t>
      </w:r>
      <w:r w:rsidRPr="00403D4A">
        <w:rPr>
          <w:rFonts w:ascii="Arial" w:hAnsi="Arial" w:cs="Arial"/>
          <w:sz w:val="22"/>
          <w:szCs w:val="22"/>
        </w:rPr>
        <w:t xml:space="preserve"> Les activités proposées sont cohérentes et bien planifiées en matière d’objectifs et de résultats attendus du projet. Le plan d’activités s’articule autour de deux composantes principales : (a) la numérisation des précédents inventaires du patrimoine culturel immatériel sur une plate-forme numérique multimédia interactive ; et (b) l’élaboration du premier inventaire communautaire des groupes ethniques </w:t>
      </w:r>
      <w:proofErr w:type="spellStart"/>
      <w:r w:rsidRPr="00403D4A">
        <w:rPr>
          <w:rFonts w:ascii="Arial" w:hAnsi="Arial" w:cs="Arial"/>
          <w:sz w:val="22"/>
          <w:szCs w:val="22"/>
        </w:rPr>
        <w:t>dungan</w:t>
      </w:r>
      <w:proofErr w:type="spellEnd"/>
      <w:r w:rsidRPr="00403D4A">
        <w:rPr>
          <w:rFonts w:ascii="Arial" w:hAnsi="Arial" w:cs="Arial"/>
          <w:sz w:val="22"/>
          <w:szCs w:val="22"/>
        </w:rPr>
        <w:t xml:space="preserve"> et ouïghour. En outre, la séquence des activités proposées est logique, et le calendrier proposé est compatible avec l’obtention des résultats escomptés du projet.</w:t>
      </w:r>
    </w:p>
    <w:p w14:paraId="2A86EB9F" w14:textId="77777777" w:rsidR="00D7772A" w:rsidRPr="00403D4A" w:rsidRDefault="00D7772A" w:rsidP="00AD3C02">
      <w:pPr>
        <w:spacing w:before="120" w:after="120"/>
        <w:ind w:left="567"/>
        <w:jc w:val="both"/>
        <w:rPr>
          <w:rFonts w:ascii="Arial" w:hAnsi="Arial" w:cs="Arial"/>
          <w:sz w:val="22"/>
          <w:szCs w:val="22"/>
        </w:rPr>
      </w:pPr>
      <w:r w:rsidRPr="00403D4A">
        <w:rPr>
          <w:rFonts w:ascii="Arial" w:hAnsi="Arial" w:cs="Arial"/>
          <w:b/>
          <w:bCs/>
          <w:sz w:val="22"/>
          <w:szCs w:val="22"/>
        </w:rPr>
        <w:t>Critère A.4 :</w:t>
      </w:r>
      <w:r w:rsidRPr="00403D4A">
        <w:rPr>
          <w:rFonts w:ascii="Arial" w:hAnsi="Arial" w:cs="Arial"/>
          <w:sz w:val="22"/>
          <w:szCs w:val="22"/>
        </w:rPr>
        <w:t xml:space="preserve"> Les résultats du projet devraient perdurer au-delà de la fin du projet. La plateforme numérique sera intégrée dans la base de données de l’État, dans les musées régionaux et dans les programmes du système éducatif formel. Le Centre de recherche culturelle </w:t>
      </w:r>
      <w:proofErr w:type="spellStart"/>
      <w:r w:rsidRPr="00403D4A">
        <w:rPr>
          <w:rFonts w:ascii="Arial" w:hAnsi="Arial" w:cs="Arial"/>
          <w:sz w:val="22"/>
          <w:szCs w:val="22"/>
        </w:rPr>
        <w:t>Aigine</w:t>
      </w:r>
      <w:proofErr w:type="spellEnd"/>
      <w:r w:rsidRPr="00403D4A">
        <w:rPr>
          <w:rFonts w:ascii="Arial" w:hAnsi="Arial" w:cs="Arial"/>
          <w:sz w:val="22"/>
          <w:szCs w:val="22"/>
        </w:rPr>
        <w:t xml:space="preserve">, la Commission nationale du Kirghizstan et le ministère de la Culture, de l’information, des sports et de la politique de la jeunesse de la République kirghize se chargeront conjointement d’assurer le soutien technique et administratif, ainsi que la viabilité et la durabilité de la plateforme numérique à l’issue du projet. </w:t>
      </w:r>
    </w:p>
    <w:p w14:paraId="150A09C2" w14:textId="77777777" w:rsidR="00D7772A" w:rsidRPr="00403D4A" w:rsidRDefault="00D7772A" w:rsidP="00AD3C02">
      <w:pPr>
        <w:spacing w:before="120" w:after="120"/>
        <w:ind w:left="567"/>
        <w:jc w:val="both"/>
        <w:rPr>
          <w:rFonts w:ascii="Arial" w:hAnsi="Arial" w:cs="Arial"/>
          <w:sz w:val="22"/>
          <w:szCs w:val="22"/>
        </w:rPr>
      </w:pPr>
      <w:r w:rsidRPr="00403D4A">
        <w:rPr>
          <w:rFonts w:ascii="Arial" w:hAnsi="Arial" w:cs="Arial"/>
          <w:b/>
          <w:bCs/>
          <w:sz w:val="22"/>
          <w:szCs w:val="22"/>
        </w:rPr>
        <w:t>Critère A.5</w:t>
      </w:r>
      <w:r w:rsidRPr="00403D4A">
        <w:rPr>
          <w:rFonts w:ascii="Arial" w:hAnsi="Arial" w:cs="Arial"/>
          <w:sz w:val="22"/>
          <w:szCs w:val="22"/>
        </w:rPr>
        <w:t xml:space="preserve"> : L’État partie soumissionnaire contribuera à hauteur de 15 pour cent et les autres partenaires contribueront à hauteur de 17 pour cent supplémentaires du montant total du budget du projet (145 995 dollars des États-Unis). Par conséquent, </w:t>
      </w:r>
      <w:r w:rsidRPr="00F53BF8">
        <w:rPr>
          <w:rFonts w:ascii="Arial" w:hAnsi="Arial" w:cs="Arial"/>
          <w:sz w:val="22"/>
          <w:szCs w:val="22"/>
        </w:rPr>
        <w:t>l’</w:t>
      </w:r>
      <w:r w:rsidRPr="00403D4A">
        <w:rPr>
          <w:rFonts w:ascii="Arial" w:hAnsi="Arial" w:cs="Arial"/>
          <w:sz w:val="22"/>
          <w:szCs w:val="22"/>
        </w:rPr>
        <w:t>assistance internationale est demandée au Fonds du patrimoine culturel immatériel pour les 68</w:t>
      </w:r>
      <w:r w:rsidRPr="00F53BF8">
        <w:rPr>
          <w:rFonts w:ascii="Arial" w:hAnsi="Arial" w:cs="Arial"/>
          <w:sz w:val="22"/>
          <w:szCs w:val="22"/>
        </w:rPr>
        <w:t xml:space="preserve"> pour cent</w:t>
      </w:r>
      <w:r w:rsidRPr="00403D4A">
        <w:rPr>
          <w:rFonts w:ascii="Arial" w:hAnsi="Arial" w:cs="Arial"/>
          <w:sz w:val="22"/>
          <w:szCs w:val="22"/>
        </w:rPr>
        <w:t xml:space="preserve"> restants du montant total du budget du projet.</w:t>
      </w:r>
    </w:p>
    <w:p w14:paraId="3D250688" w14:textId="77777777" w:rsidR="00D7772A" w:rsidRPr="00403D4A" w:rsidRDefault="00D7772A" w:rsidP="00AD3C02">
      <w:pPr>
        <w:spacing w:before="120" w:after="120"/>
        <w:ind w:left="567"/>
        <w:jc w:val="both"/>
        <w:rPr>
          <w:rFonts w:ascii="Arial" w:hAnsi="Arial" w:cs="Arial"/>
          <w:sz w:val="22"/>
          <w:szCs w:val="22"/>
        </w:rPr>
      </w:pPr>
      <w:r w:rsidRPr="00403D4A">
        <w:rPr>
          <w:rFonts w:ascii="Arial" w:hAnsi="Arial" w:cs="Arial"/>
          <w:b/>
          <w:bCs/>
          <w:sz w:val="22"/>
          <w:szCs w:val="22"/>
        </w:rPr>
        <w:t>Critère A.6 :</w:t>
      </w:r>
      <w:r w:rsidRPr="00403D4A">
        <w:rPr>
          <w:rFonts w:ascii="Arial" w:hAnsi="Arial" w:cs="Arial"/>
          <w:sz w:val="22"/>
          <w:szCs w:val="22"/>
        </w:rPr>
        <w:t xml:space="preserve"> Le projet met l’accent sur le développement de la capacité des communautés à renforcer la pratique des éléments du patrimoine culturel immatériel identifiés dans la proposition. La plateforme numérique multimédia interactive renforcera les capacités des ONG et des communautés travaillant dans le domaine du patrimoine culturel immatériel kirghize et les sensibilisera au patrimoine vivant des </w:t>
      </w:r>
      <w:proofErr w:type="spellStart"/>
      <w:r w:rsidRPr="00403D4A">
        <w:rPr>
          <w:rFonts w:ascii="Arial" w:hAnsi="Arial" w:cs="Arial"/>
          <w:sz w:val="22"/>
          <w:szCs w:val="22"/>
        </w:rPr>
        <w:t>Dungans</w:t>
      </w:r>
      <w:proofErr w:type="spellEnd"/>
      <w:r w:rsidRPr="00403D4A">
        <w:rPr>
          <w:rFonts w:ascii="Arial" w:hAnsi="Arial" w:cs="Arial"/>
          <w:sz w:val="22"/>
          <w:szCs w:val="22"/>
        </w:rPr>
        <w:t xml:space="preserve"> et des Ouïghour. La plateforme initiera et encouragera les échanges entre les communautés, les groupes et les individus.</w:t>
      </w:r>
    </w:p>
    <w:p w14:paraId="50786BF1" w14:textId="77777777" w:rsidR="00D7772A" w:rsidRPr="00F53BF8" w:rsidRDefault="00D7772A" w:rsidP="00AD3C02">
      <w:pPr>
        <w:spacing w:before="120" w:after="120"/>
        <w:ind w:left="567"/>
        <w:jc w:val="both"/>
        <w:rPr>
          <w:rFonts w:ascii="Arial" w:hAnsi="Arial" w:cs="Arial"/>
          <w:sz w:val="22"/>
          <w:szCs w:val="22"/>
          <w:shd w:val="clear" w:color="auto" w:fill="FFFFFF"/>
        </w:rPr>
      </w:pPr>
      <w:r w:rsidRPr="00403D4A">
        <w:rPr>
          <w:rFonts w:ascii="Arial" w:hAnsi="Arial" w:cs="Arial"/>
          <w:b/>
          <w:bCs/>
          <w:sz w:val="22"/>
          <w:szCs w:val="22"/>
        </w:rPr>
        <w:t>Critère A.7</w:t>
      </w:r>
      <w:r w:rsidRPr="00403D4A">
        <w:rPr>
          <w:rFonts w:ascii="Arial" w:hAnsi="Arial" w:cs="Arial"/>
          <w:sz w:val="22"/>
          <w:szCs w:val="22"/>
        </w:rPr>
        <w:t> </w:t>
      </w:r>
      <w:r w:rsidRPr="00403D4A">
        <w:rPr>
          <w:rFonts w:ascii="Arial" w:hAnsi="Arial" w:cs="Arial"/>
          <w:b/>
          <w:bCs/>
          <w:sz w:val="22"/>
          <w:szCs w:val="22"/>
        </w:rPr>
        <w:t>:</w:t>
      </w:r>
      <w:r w:rsidRPr="00403D4A">
        <w:rPr>
          <w:rFonts w:ascii="Arial" w:hAnsi="Arial" w:cs="Arial"/>
          <w:sz w:val="22"/>
          <w:szCs w:val="22"/>
        </w:rPr>
        <w:t xml:space="preserve"> Le Kirghizistan a bénéficié de l’assistance internationale du Fonds pour le patrimoine culturel immatériel</w:t>
      </w:r>
      <w:r w:rsidRPr="00403D4A">
        <w:rPr>
          <w:rFonts w:ascii="Arial" w:hAnsi="Arial"/>
          <w:sz w:val="22"/>
          <w:szCs w:val="22"/>
        </w:rPr>
        <w:t xml:space="preserve"> pour un projet achevé intitulé « Sauvegarde des pratiques et des rituels rares liés aux sites sacrés au Kirghizistan : préparation d’un inventaire et de mesures de sauvegarde » (dossier n° 01423, 2018-2020, 99 950 dollars des </w:t>
      </w:r>
      <w:r w:rsidRPr="00F53BF8">
        <w:rPr>
          <w:rFonts w:ascii="Arial" w:hAnsi="Arial"/>
          <w:sz w:val="22"/>
          <w:szCs w:val="22"/>
        </w:rPr>
        <w:t>États-Unis</w:t>
      </w:r>
      <w:r w:rsidRPr="00403D4A">
        <w:rPr>
          <w:rFonts w:ascii="Arial" w:hAnsi="Arial"/>
          <w:sz w:val="22"/>
          <w:szCs w:val="22"/>
        </w:rPr>
        <w:t xml:space="preserve">). </w:t>
      </w:r>
    </w:p>
    <w:p w14:paraId="36D1E2E7"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 xml:space="preserve">Paragraphe 10(a) : </w:t>
      </w:r>
      <w:r w:rsidRPr="00403D4A">
        <w:rPr>
          <w:rFonts w:ascii="Arial" w:hAnsi="Arial" w:cs="Arial"/>
          <w:sz w:val="22"/>
          <w:szCs w:val="22"/>
        </w:rPr>
        <w:t xml:space="preserve">Le projet a une portée locale et vise à renforcer la coopération entre les organisations culturelles locales et les musées, entre autres. </w:t>
      </w:r>
    </w:p>
    <w:p w14:paraId="2CFA9667" w14:textId="77777777" w:rsidR="00D7772A" w:rsidRPr="00F53BF8" w:rsidRDefault="00D7772A" w:rsidP="00AD3C02">
      <w:pPr>
        <w:pStyle w:val="ListParagraph"/>
        <w:spacing w:before="120" w:after="120"/>
        <w:ind w:left="567"/>
        <w:contextualSpacing w:val="0"/>
        <w:jc w:val="both"/>
        <w:rPr>
          <w:rFonts w:ascii="Arial" w:hAnsi="Arial" w:cs="Arial"/>
          <w:sz w:val="22"/>
          <w:szCs w:val="22"/>
        </w:rPr>
      </w:pPr>
      <w:r w:rsidRPr="00403D4A">
        <w:rPr>
          <w:rFonts w:ascii="Arial" w:hAnsi="Arial" w:cs="Arial"/>
          <w:b/>
          <w:bCs/>
          <w:sz w:val="22"/>
          <w:szCs w:val="22"/>
        </w:rPr>
        <w:t xml:space="preserve">Paragraphe 10(b) : </w:t>
      </w:r>
      <w:r w:rsidRPr="00403D4A">
        <w:rPr>
          <w:rFonts w:ascii="Arial" w:hAnsi="Arial" w:cs="Arial"/>
          <w:sz w:val="22"/>
          <w:szCs w:val="22"/>
        </w:rPr>
        <w:t>Le projet devrait contribuer à la sauvegarde du patrimoine vivant des autres groupes ethniques du Kirghizstan.</w:t>
      </w:r>
    </w:p>
    <w:p w14:paraId="2468C922"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sz w:val="22"/>
          <w:szCs w:val="22"/>
          <w:u w:val="single"/>
        </w:rPr>
        <w:t>Approuve</w:t>
      </w:r>
      <w:r w:rsidRPr="00403D4A">
        <w:rPr>
          <w:rFonts w:ascii="Arial" w:hAnsi="Arial"/>
          <w:sz w:val="22"/>
          <w:szCs w:val="22"/>
        </w:rPr>
        <w:t xml:space="preserve"> la demande d’assistance internationale du Kirghizstan pour le projet intitulé </w:t>
      </w:r>
      <w:r w:rsidRPr="00403D4A">
        <w:rPr>
          <w:rFonts w:ascii="Arial" w:hAnsi="Arial"/>
          <w:b/>
          <w:bCs/>
          <w:sz w:val="22"/>
          <w:szCs w:val="22"/>
        </w:rPr>
        <w:t xml:space="preserve">Voyage numérique vers le patrimoine culturel immatériel du Kirghizstan </w:t>
      </w:r>
      <w:r w:rsidRPr="00403D4A">
        <w:rPr>
          <w:rFonts w:ascii="Arial" w:hAnsi="Arial"/>
          <w:sz w:val="22"/>
          <w:szCs w:val="22"/>
        </w:rPr>
        <w:t xml:space="preserve">et </w:t>
      </w:r>
      <w:r w:rsidRPr="00403D4A">
        <w:rPr>
          <w:rFonts w:ascii="Arial" w:hAnsi="Arial"/>
          <w:sz w:val="22"/>
          <w:szCs w:val="22"/>
          <w:u w:val="single"/>
        </w:rPr>
        <w:t>accorde</w:t>
      </w:r>
      <w:r w:rsidRPr="00403D4A">
        <w:rPr>
          <w:rFonts w:ascii="Arial" w:hAnsi="Arial"/>
          <w:sz w:val="22"/>
          <w:szCs w:val="22"/>
        </w:rPr>
        <w:t xml:space="preserve"> un montant de</w:t>
      </w:r>
      <w:r w:rsidRPr="00403D4A">
        <w:t xml:space="preserve"> </w:t>
      </w:r>
      <w:r w:rsidRPr="00403D4A">
        <w:rPr>
          <w:rFonts w:ascii="Arial" w:hAnsi="Arial"/>
          <w:sz w:val="22"/>
          <w:szCs w:val="22"/>
        </w:rPr>
        <w:t xml:space="preserve">99 963 </w:t>
      </w:r>
      <w:r w:rsidRPr="00F53BF8">
        <w:rPr>
          <w:rFonts w:ascii="Arial" w:hAnsi="Arial"/>
          <w:sz w:val="22"/>
          <w:szCs w:val="22"/>
        </w:rPr>
        <w:t xml:space="preserve">dollars des États-Unis </w:t>
      </w:r>
      <w:r w:rsidRPr="00403D4A">
        <w:rPr>
          <w:rFonts w:ascii="Arial" w:hAnsi="Arial"/>
          <w:sz w:val="22"/>
          <w:szCs w:val="22"/>
        </w:rPr>
        <w:t>à l’État partie à cette fin ;</w:t>
      </w:r>
    </w:p>
    <w:p w14:paraId="62F8DD6A" w14:textId="77777777" w:rsidR="00D7772A" w:rsidRPr="00F53BF8" w:rsidRDefault="00D7772A" w:rsidP="00AD3C02">
      <w:pPr>
        <w:pStyle w:val="COMParaDecision"/>
        <w:numPr>
          <w:ilvl w:val="0"/>
          <w:numId w:val="22"/>
        </w:numPr>
        <w:spacing w:before="120"/>
        <w:ind w:left="567" w:hanging="567"/>
      </w:pPr>
      <w:r w:rsidRPr="00F53BF8">
        <w:t>Demande</w:t>
      </w:r>
      <w:r w:rsidRPr="00F53BF8">
        <w:rPr>
          <w:u w:val="none"/>
        </w:rPr>
        <w:t xml:space="preserve"> au Secrétariat de se mettre d’accord avec l’État partie demandeur sur les détails techniques de l’assistance, en accordant une attention particulière à ce que le budget et le plan de travail détaillé des activités à couvrir par le Fonds du patrimoine culturel immatériel soient suffisamment précis pour justifier les dépenses ;</w:t>
      </w:r>
    </w:p>
    <w:p w14:paraId="005310F7" w14:textId="77777777" w:rsidR="00D7772A" w:rsidRPr="00F53BF8" w:rsidRDefault="00D7772A" w:rsidP="00AD3C02">
      <w:pPr>
        <w:pStyle w:val="ListParagraph"/>
        <w:numPr>
          <w:ilvl w:val="0"/>
          <w:numId w:val="22"/>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Invite</w:t>
      </w:r>
      <w:r w:rsidRPr="00403D4A">
        <w:rPr>
          <w:rFonts w:ascii="Arial" w:hAnsi="Arial" w:cs="Arial"/>
          <w:sz w:val="22"/>
          <w:szCs w:val="22"/>
        </w:rPr>
        <w:t xml:space="preserve"> l’État partie à utiliser le formulaire ICH-04-Rapport pour rendre compte de l’utilisation de l’assistance accordée.</w:t>
      </w:r>
    </w:p>
    <w:p w14:paraId="0DBE84F6" w14:textId="6BB3C2A9" w:rsidR="00D7772A" w:rsidRPr="00F53BF8" w:rsidRDefault="00D7772A" w:rsidP="00805DD3">
      <w:pPr>
        <w:keepNext/>
        <w:spacing w:before="240" w:after="120"/>
        <w:jc w:val="both"/>
        <w:outlineLvl w:val="1"/>
        <w:rPr>
          <w:rFonts w:ascii="Arial" w:hAnsi="Arial" w:cs="Arial"/>
          <w:b/>
          <w:sz w:val="22"/>
          <w:szCs w:val="22"/>
        </w:rPr>
      </w:pPr>
      <w:bookmarkStart w:id="7" w:name="Decision3"/>
      <w:bookmarkStart w:id="8" w:name="Dec3"/>
      <w:bookmarkStart w:id="9" w:name="_Hlk111028180"/>
      <w:bookmarkEnd w:id="6"/>
      <w:r w:rsidRPr="00403D4A">
        <w:rPr>
          <w:rFonts w:ascii="Arial" w:hAnsi="Arial"/>
          <w:b/>
          <w:bCs/>
          <w:sz w:val="22"/>
          <w:szCs w:val="22"/>
        </w:rPr>
        <w:t>DÉCISION 17.COM 5.BUR 3.3</w:t>
      </w:r>
      <w:bookmarkEnd w:id="7"/>
      <w:bookmarkEnd w:id="8"/>
    </w:p>
    <w:p w14:paraId="60FF91CE" w14:textId="77777777" w:rsidR="00D7772A" w:rsidRPr="00403D4A" w:rsidRDefault="00D7772A" w:rsidP="00805DD3">
      <w:pPr>
        <w:keepNext/>
        <w:spacing w:before="120" w:after="120"/>
        <w:jc w:val="both"/>
        <w:rPr>
          <w:rFonts w:ascii="Arial" w:hAnsi="Arial" w:cs="Arial"/>
          <w:sz w:val="22"/>
          <w:szCs w:val="22"/>
        </w:rPr>
      </w:pPr>
      <w:r w:rsidRPr="00403D4A">
        <w:rPr>
          <w:rFonts w:ascii="Arial" w:hAnsi="Arial" w:cs="Arial"/>
          <w:sz w:val="22"/>
          <w:szCs w:val="22"/>
        </w:rPr>
        <w:t>Le Bureau,</w:t>
      </w:r>
    </w:p>
    <w:p w14:paraId="47897C22" w14:textId="77777777" w:rsidR="00D7772A" w:rsidRPr="00F53BF8" w:rsidRDefault="00D7772A" w:rsidP="00AD3C02">
      <w:pPr>
        <w:pStyle w:val="ListParagraph"/>
        <w:numPr>
          <w:ilvl w:val="0"/>
          <w:numId w:val="21"/>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Rappelant</w:t>
      </w:r>
      <w:r w:rsidRPr="00403D4A">
        <w:rPr>
          <w:rFonts w:ascii="Arial" w:hAnsi="Arial" w:cs="Arial"/>
          <w:sz w:val="22"/>
          <w:szCs w:val="22"/>
        </w:rPr>
        <w:t xml:space="preserve"> l’article 23 de la Convention ainsi que le chapitre I.4 des Directives opérationnelles </w:t>
      </w:r>
      <w:r w:rsidRPr="00F53BF8">
        <w:rPr>
          <w:rFonts w:ascii="Arial" w:hAnsi="Arial"/>
          <w:sz w:val="22"/>
          <w:szCs w:val="22"/>
        </w:rPr>
        <w:t>relatifs à l’admissibilité</w:t>
      </w:r>
      <w:r w:rsidRPr="00403D4A" w:rsidDel="00AA6582">
        <w:rPr>
          <w:rFonts w:ascii="Arial" w:hAnsi="Arial" w:cs="Arial"/>
          <w:sz w:val="22"/>
          <w:szCs w:val="22"/>
        </w:rPr>
        <w:t xml:space="preserve"> </w:t>
      </w:r>
      <w:r w:rsidRPr="00403D4A">
        <w:rPr>
          <w:rFonts w:ascii="Arial" w:hAnsi="Arial" w:cs="Arial"/>
          <w:sz w:val="22"/>
          <w:szCs w:val="22"/>
        </w:rPr>
        <w:t>et aux critères des demandes d’assistance internationale,</w:t>
      </w:r>
    </w:p>
    <w:p w14:paraId="006C10C7" w14:textId="77777777" w:rsidR="00D7772A" w:rsidRPr="00F53BF8" w:rsidRDefault="00D7772A" w:rsidP="00AD3C02">
      <w:pPr>
        <w:pStyle w:val="ListParagraph"/>
        <w:numPr>
          <w:ilvl w:val="0"/>
          <w:numId w:val="21"/>
        </w:numPr>
        <w:spacing w:before="120" w:after="120"/>
        <w:ind w:left="567" w:hanging="567"/>
        <w:contextualSpacing w:val="0"/>
        <w:jc w:val="both"/>
        <w:rPr>
          <w:rFonts w:ascii="Arial" w:hAnsi="Arial" w:cs="Arial"/>
          <w:sz w:val="22"/>
          <w:szCs w:val="22"/>
        </w:rPr>
      </w:pPr>
      <w:r w:rsidRPr="00403D4A">
        <w:rPr>
          <w:rFonts w:ascii="Arial" w:hAnsi="Arial" w:cs="Arial"/>
          <w:sz w:val="22"/>
          <w:szCs w:val="22"/>
          <w:u w:val="single"/>
        </w:rPr>
        <w:t>Ayant examiné</w:t>
      </w:r>
      <w:r w:rsidRPr="00403D4A">
        <w:rPr>
          <w:rFonts w:ascii="Arial" w:hAnsi="Arial" w:cs="Arial"/>
          <w:sz w:val="22"/>
          <w:szCs w:val="22"/>
        </w:rPr>
        <w:t xml:space="preserve"> le document LHE/22/17.COM 5.BUR/3 ainsi que la demande d’assistance internationale n° 02006 soumise par la Thaïlande,</w:t>
      </w:r>
    </w:p>
    <w:p w14:paraId="4CCC4F66" w14:textId="77777777" w:rsidR="00D7772A" w:rsidRPr="00F53BF8" w:rsidRDefault="00D7772A" w:rsidP="00AD3C02">
      <w:pPr>
        <w:pStyle w:val="COMParaDecision"/>
        <w:numPr>
          <w:ilvl w:val="0"/>
          <w:numId w:val="21"/>
        </w:numPr>
        <w:spacing w:before="120"/>
        <w:ind w:left="567" w:hanging="567"/>
      </w:pPr>
      <w:r w:rsidRPr="00403D4A">
        <w:lastRenderedPageBreak/>
        <w:t>Prend note</w:t>
      </w:r>
      <w:r w:rsidRPr="00403D4A">
        <w:rPr>
          <w:u w:val="none"/>
        </w:rPr>
        <w:t xml:space="preserve"> que la Thaïlande a demandé une assistance internationale pour le projet intitulé </w:t>
      </w:r>
      <w:r w:rsidRPr="00403D4A">
        <w:rPr>
          <w:b/>
          <w:bCs/>
          <w:u w:val="none"/>
        </w:rPr>
        <w:t>École de terrain pour le renforcement des capacités de sauvegarde du patrimoine vivant des communautés ethniques en Thaïlande </w:t>
      </w:r>
      <w:r w:rsidRPr="00403D4A">
        <w:rPr>
          <w:u w:val="none"/>
        </w:rPr>
        <w:t>:</w:t>
      </w:r>
    </w:p>
    <w:p w14:paraId="550EE33B" w14:textId="77777777" w:rsidR="00D7772A" w:rsidRPr="00F53BF8" w:rsidRDefault="00D7772A" w:rsidP="00AD3C02">
      <w:pPr>
        <w:pStyle w:val="Marge"/>
        <w:spacing w:before="120" w:after="120"/>
        <w:ind w:left="567"/>
        <w:rPr>
          <w:rFonts w:cs="Arial"/>
        </w:rPr>
      </w:pPr>
      <w:r w:rsidRPr="00403D4A">
        <w:t>Ce projet de deux ans vise à renforcer la capacité de cinq groupes ethniques et des parties prenantes concernées en Thaïlande à sauvegarder le patrimoine culturel immatériel (PCI). Les groupes ethniques (</w:t>
      </w:r>
      <w:proofErr w:type="spellStart"/>
      <w:r w:rsidRPr="00403D4A">
        <w:t>Pgakenyaw</w:t>
      </w:r>
      <w:proofErr w:type="spellEnd"/>
      <w:r w:rsidRPr="00403D4A">
        <w:t xml:space="preserve"> Karen, </w:t>
      </w:r>
      <w:proofErr w:type="spellStart"/>
      <w:r w:rsidRPr="00403D4A">
        <w:t>Pwo</w:t>
      </w:r>
      <w:proofErr w:type="spellEnd"/>
      <w:r w:rsidRPr="00403D4A">
        <w:t xml:space="preserve"> Karen, </w:t>
      </w:r>
      <w:proofErr w:type="spellStart"/>
      <w:r w:rsidRPr="00403D4A">
        <w:t>Moken</w:t>
      </w:r>
      <w:proofErr w:type="spellEnd"/>
      <w:r w:rsidRPr="00403D4A">
        <w:t xml:space="preserve">, </w:t>
      </w:r>
      <w:proofErr w:type="spellStart"/>
      <w:r w:rsidRPr="00403D4A">
        <w:t>Moklen</w:t>
      </w:r>
      <w:proofErr w:type="spellEnd"/>
      <w:r w:rsidRPr="00403D4A">
        <w:t xml:space="preserve"> et </w:t>
      </w:r>
      <w:proofErr w:type="spellStart"/>
      <w:r w:rsidRPr="00403D4A">
        <w:t>Urak</w:t>
      </w:r>
      <w:proofErr w:type="spellEnd"/>
      <w:r w:rsidRPr="00403D4A">
        <w:t xml:space="preserve"> </w:t>
      </w:r>
      <w:proofErr w:type="spellStart"/>
      <w:r w:rsidRPr="00403D4A">
        <w:t>Lawoi</w:t>
      </w:r>
      <w:proofErr w:type="spellEnd"/>
      <w:r w:rsidRPr="00403D4A">
        <w:t>) ont été choisis sur la base de leur vulnérabilité et de leur volonté de s’engager dans les activités de sauvegarde. Le projet prévoit la création d’une école de terrain pour le renforcement des capacités en matière de sauvegarde du patrimoine vivant des communautés ethniques, qui servira de plateforme pour (a) organiser des formations pratiques pour les communautés ethniques ainsi que pour le gouvernement, les universitaires et les agents de développement afin d’inventorier et de sauvegarder le PCI des communautés ethniques ; (b) mettre en œuvre des activités de terrain pour inventorier le PCI, transmettre et développer des plans de sauvegarde, et coordonner des visites entre les différents groupes ethniques afin d’échanger des connaissances et de construire des réseaux ; (c) entreprendre des activités de communication publique et de plaidoyer ; et (d) produire des orientations techniques et politiques. Ces activités répondent aux risques posés au PCI des groupes ethniques en Thaïlande, qui pourraient conduire à une perte d’identité et d’autosuffisance. Le projet devrait atténuer ces risques tout en orientant la politique et en conduisant à la création de réseaux à long terme qui seront mutuellement bénéfiques et soutiendront les politiques actuelles et futures concernant les groupes ethniques en Thaïlande.</w:t>
      </w:r>
    </w:p>
    <w:p w14:paraId="3730384F" w14:textId="77777777" w:rsidR="00D7772A" w:rsidRPr="00F53BF8" w:rsidRDefault="00D7772A" w:rsidP="00AD3C02">
      <w:pPr>
        <w:pStyle w:val="COMParaDecision"/>
        <w:numPr>
          <w:ilvl w:val="0"/>
          <w:numId w:val="21"/>
        </w:numPr>
        <w:spacing w:before="120"/>
        <w:ind w:left="567" w:hanging="567"/>
      </w:pPr>
      <w:r w:rsidRPr="00403D4A">
        <w:t>Prend note en outre</w:t>
      </w:r>
      <w:r w:rsidRPr="00403D4A">
        <w:rPr>
          <w:u w:val="none"/>
        </w:rPr>
        <w:t xml:space="preserve"> que :</w:t>
      </w:r>
    </w:p>
    <w:p w14:paraId="4FECFB6D" w14:textId="77777777" w:rsidR="00D7772A" w:rsidRPr="00F53BF8" w:rsidRDefault="00D7772A" w:rsidP="00AD3C02">
      <w:pPr>
        <w:pStyle w:val="COMParaDecision"/>
        <w:numPr>
          <w:ilvl w:val="2"/>
          <w:numId w:val="20"/>
        </w:numPr>
        <w:spacing w:before="120"/>
        <w:ind w:left="1054" w:hanging="181"/>
        <w:rPr>
          <w:u w:val="none"/>
        </w:rPr>
      </w:pPr>
      <w:r w:rsidRPr="00403D4A">
        <w:rPr>
          <w:u w:val="none"/>
        </w:rPr>
        <w:t>Cette assistance vise à soutenir un projet mis en œuvre au niveau national, conformément à l’article 20 (c), de la Convention ;</w:t>
      </w:r>
    </w:p>
    <w:p w14:paraId="51765E70" w14:textId="77777777" w:rsidR="00D7772A" w:rsidRPr="00F53BF8" w:rsidRDefault="00D7772A" w:rsidP="00AD3C02">
      <w:pPr>
        <w:pStyle w:val="COMParaDecision"/>
        <w:numPr>
          <w:ilvl w:val="2"/>
          <w:numId w:val="20"/>
        </w:numPr>
        <w:spacing w:before="120"/>
        <w:ind w:left="1054" w:hanging="181"/>
        <w:rPr>
          <w:u w:val="none"/>
        </w:rPr>
      </w:pPr>
      <w:r w:rsidRPr="00403D4A">
        <w:rPr>
          <w:u w:val="none"/>
        </w:rPr>
        <w:t>L’État partie a demandé une assistance internationale qui prendra notamment la forme de services du Secrétariat ;</w:t>
      </w:r>
    </w:p>
    <w:p w14:paraId="4511C05C" w14:textId="77777777" w:rsidR="00D7772A" w:rsidRPr="00F53BF8" w:rsidRDefault="00D7772A" w:rsidP="00AD3C02">
      <w:pPr>
        <w:pStyle w:val="COMParaDecision"/>
        <w:numPr>
          <w:ilvl w:val="2"/>
          <w:numId w:val="20"/>
        </w:numPr>
        <w:spacing w:before="120"/>
        <w:ind w:left="1054" w:hanging="181"/>
        <w:rPr>
          <w:u w:val="none"/>
        </w:rPr>
      </w:pPr>
      <w:proofErr w:type="gramStart"/>
      <w:r w:rsidRPr="00403D4A">
        <w:rPr>
          <w:u w:val="none"/>
        </w:rPr>
        <w:t>l’assistance</w:t>
      </w:r>
      <w:proofErr w:type="gramEnd"/>
      <w:r w:rsidRPr="00403D4A">
        <w:rPr>
          <w:u w:val="none"/>
        </w:rPr>
        <w:t xml:space="preserve"> prend donc la forme de l’</w:t>
      </w:r>
      <w:r w:rsidRPr="00403D4A">
        <w:rPr>
          <w:b/>
          <w:bCs/>
          <w:u w:val="none"/>
        </w:rPr>
        <w:t xml:space="preserve">octroi d’un don </w:t>
      </w:r>
      <w:r w:rsidRPr="00403D4A">
        <w:rPr>
          <w:u w:val="none"/>
        </w:rPr>
        <w:t xml:space="preserve">et de </w:t>
      </w:r>
      <w:r w:rsidRPr="00EE6DF5">
        <w:rPr>
          <w:b/>
          <w:bCs/>
          <w:u w:val="none"/>
        </w:rPr>
        <w:t>services fournis par l’UNESCO</w:t>
      </w:r>
      <w:r w:rsidRPr="00403D4A">
        <w:rPr>
          <w:u w:val="none"/>
        </w:rPr>
        <w:t xml:space="preserve"> (mise à disposition d’experts), conformément à l’article 21 (b) et (g) de la Convention ;</w:t>
      </w:r>
    </w:p>
    <w:p w14:paraId="550D62CF" w14:textId="77777777" w:rsidR="00D7772A" w:rsidRPr="00F53BF8" w:rsidRDefault="00D7772A" w:rsidP="00AD3C02">
      <w:pPr>
        <w:pStyle w:val="COMParaDecision"/>
        <w:numPr>
          <w:ilvl w:val="0"/>
          <w:numId w:val="21"/>
        </w:numPr>
        <w:spacing w:before="120"/>
        <w:ind w:left="567" w:hanging="567"/>
        <w:rPr>
          <w:u w:val="none"/>
        </w:rPr>
      </w:pPr>
      <w:r w:rsidRPr="00403D4A">
        <w:t>Prend également note</w:t>
      </w:r>
      <w:r w:rsidRPr="00403D4A">
        <w:rPr>
          <w:u w:val="none"/>
        </w:rPr>
        <w:t xml:space="preserve"> que la Thaïlande a demandé une allocation d’un montant de 100 000 dollars </w:t>
      </w:r>
      <w:r w:rsidRPr="00F53BF8">
        <w:rPr>
          <w:u w:val="none"/>
        </w:rPr>
        <w:t xml:space="preserve">des États-Unis </w:t>
      </w:r>
      <w:r w:rsidRPr="00403D4A">
        <w:rPr>
          <w:u w:val="none"/>
        </w:rPr>
        <w:t xml:space="preserve">au Fonds du patrimoine culturel immatériel pour la mise en œuvre de ce projet, qui sera réalisé conjointement par le Centre d’anthropologie Princesse Maha </w:t>
      </w:r>
      <w:proofErr w:type="spellStart"/>
      <w:r w:rsidRPr="00403D4A">
        <w:rPr>
          <w:u w:val="none"/>
        </w:rPr>
        <w:t>Chakri</w:t>
      </w:r>
      <w:proofErr w:type="spellEnd"/>
      <w:r w:rsidRPr="00403D4A">
        <w:rPr>
          <w:u w:val="none"/>
        </w:rPr>
        <w:t xml:space="preserve"> </w:t>
      </w:r>
      <w:proofErr w:type="spellStart"/>
      <w:r w:rsidRPr="00403D4A">
        <w:rPr>
          <w:u w:val="none"/>
        </w:rPr>
        <w:t>Sirindhorn</w:t>
      </w:r>
      <w:proofErr w:type="spellEnd"/>
      <w:r w:rsidRPr="00403D4A">
        <w:rPr>
          <w:u w:val="none"/>
        </w:rPr>
        <w:t xml:space="preserve"> (sous l’égide du Ministère de la culture) et le </w:t>
      </w:r>
      <w:bookmarkStart w:id="10" w:name="_Hlk111025460"/>
      <w:r w:rsidRPr="00403D4A">
        <w:rPr>
          <w:u w:val="none"/>
        </w:rPr>
        <w:t>Bureau multipays de l’UNESCO pour la région Asie-Pacifique à Bangkok</w:t>
      </w:r>
      <w:bookmarkEnd w:id="10"/>
      <w:r w:rsidRPr="00403D4A">
        <w:rPr>
          <w:u w:val="none"/>
        </w:rPr>
        <w:t> ;</w:t>
      </w:r>
    </w:p>
    <w:p w14:paraId="7D9493C9" w14:textId="77777777" w:rsidR="00D7772A" w:rsidRPr="00F53BF8" w:rsidRDefault="00D7772A" w:rsidP="00AD3C02">
      <w:pPr>
        <w:pStyle w:val="COMParaDecision"/>
        <w:numPr>
          <w:ilvl w:val="0"/>
          <w:numId w:val="21"/>
        </w:numPr>
        <w:spacing w:before="120"/>
        <w:ind w:left="567" w:hanging="567"/>
        <w:rPr>
          <w:u w:val="none"/>
        </w:rPr>
      </w:pPr>
      <w:r w:rsidRPr="00403D4A">
        <w:t>Comprend</w:t>
      </w:r>
      <w:r w:rsidRPr="00403D4A">
        <w:rPr>
          <w:u w:val="none"/>
        </w:rPr>
        <w:t xml:space="preserve"> que le bureau de l’UNESCO à Bangkok sera responsable : (a) de la préparation des documents de sensibilisation ; (b) de la mise à disposition d’un animateur et d’un coordinateur pour les forums publics afin de partager les résultats du travail sur le terrain ; (c) de la production d’une boîte à outils technique sur la façon de mettre en place l’école sur le terrain dans d’autres communautés ; et (d) de la mise à disposition d’une campagne publicitaire et en ligne pour présenter une recommandation politique (23 pour cent du montant demandé). L’État partie demandeur sera responsable : (a) de la coordination et la gestion du projet ; (b) de la formation sur l’inventaire et le développement des activités de sauvegarde ; (c) des activités de terrain en matière d’inventaire, de transmission et de sauvegarde ; (d) de l’organisation de forums publics pour partager les résultats des écoles de terrain ; et (e) de la production d’une recommandation politique (77 pour cent du montant demandé), comme décrit dans la demande ;</w:t>
      </w:r>
    </w:p>
    <w:p w14:paraId="47F67823" w14:textId="77777777" w:rsidR="00D7772A" w:rsidRPr="00F53BF8" w:rsidRDefault="00D7772A" w:rsidP="00AD3C02">
      <w:pPr>
        <w:pStyle w:val="COMParaDecision"/>
        <w:numPr>
          <w:ilvl w:val="0"/>
          <w:numId w:val="21"/>
        </w:numPr>
        <w:spacing w:before="120"/>
        <w:ind w:left="567" w:hanging="567"/>
        <w:rPr>
          <w:u w:val="none"/>
        </w:rPr>
      </w:pPr>
      <w:r w:rsidRPr="00403D4A">
        <w:t>Décide</w:t>
      </w:r>
      <w:r w:rsidRPr="00403D4A">
        <w:rPr>
          <w:u w:val="none"/>
        </w:rPr>
        <w:t xml:space="preserve"> </w:t>
      </w:r>
      <w:r w:rsidRPr="00F53BF8">
        <w:rPr>
          <w:u w:val="none"/>
        </w:rPr>
        <w:t xml:space="preserve">que, d’après les informations contenues dans le dossier n° 02006, la demande satisfait aux critères d’octroi de l’assistance internationale énoncés aux paragraphes 10 et 12 des Directives opérationnelles comme suit : </w:t>
      </w:r>
    </w:p>
    <w:p w14:paraId="556BA2C4" w14:textId="77777777" w:rsidR="00D7772A" w:rsidRPr="00F53BF8" w:rsidRDefault="00D7772A" w:rsidP="00F1156F">
      <w:pPr>
        <w:pStyle w:val="COMParaDecision"/>
        <w:keepLines/>
        <w:numPr>
          <w:ilvl w:val="0"/>
          <w:numId w:val="0"/>
        </w:numPr>
        <w:spacing w:before="120"/>
        <w:ind w:left="360"/>
      </w:pPr>
      <w:r w:rsidRPr="00403D4A">
        <w:rPr>
          <w:b/>
          <w:bCs/>
          <w:u w:val="none"/>
        </w:rPr>
        <w:lastRenderedPageBreak/>
        <w:t>Critère A.1 :</w:t>
      </w:r>
      <w:r w:rsidRPr="00403D4A">
        <w:rPr>
          <w:u w:val="none"/>
        </w:rPr>
        <w:t xml:space="preserve"> La demande démontre le rôle actif des communautés dans la planification, la mise en œuvre et l’évaluation du projet. L’objectif de ce projet étant de renforcer les groupes ethniques marginalisés en identifiant des processus durables pour sauvegarder leur patrimoine vivant, les activités se sont concentrées sur des méthodologies de formation pratique. Celles-ci mettent l’accent sur la création d’un espace d’échange de connaissances par le biais d’ateliers et d’autres activités pratiques.</w:t>
      </w:r>
    </w:p>
    <w:p w14:paraId="1D50210E" w14:textId="77777777" w:rsidR="00D7772A" w:rsidRPr="00F53BF8" w:rsidRDefault="00D7772A" w:rsidP="00AD3C02">
      <w:pPr>
        <w:pStyle w:val="Marge"/>
        <w:spacing w:before="120" w:after="120"/>
        <w:ind w:left="360"/>
        <w:rPr>
          <w:rFonts w:cs="Arial"/>
          <w:bCs/>
          <w:szCs w:val="22"/>
        </w:rPr>
      </w:pPr>
      <w:r w:rsidRPr="00403D4A">
        <w:rPr>
          <w:rFonts w:cs="Arial"/>
          <w:b/>
          <w:bCs/>
        </w:rPr>
        <w:t>Critère A.2 :</w:t>
      </w:r>
      <w:r w:rsidRPr="00403D4A">
        <w:rPr>
          <w:rFonts w:cs="Arial"/>
        </w:rPr>
        <w:t xml:space="preserve"> </w:t>
      </w:r>
      <w:r w:rsidRPr="00403D4A">
        <w:rPr>
          <w:rFonts w:cs="Arial"/>
          <w:szCs w:val="22"/>
          <w:shd w:val="clear" w:color="auto" w:fill="FFFFFF"/>
        </w:rPr>
        <w:t>Le budget est clairement détaillé, reflétant les activités prévues et les dépenses afférentes. Le montant total de l’aide demandée est donc jugé approprié et conforme à la portée du projet pour atteindre les résultats souhaités.</w:t>
      </w:r>
    </w:p>
    <w:p w14:paraId="2610E67C" w14:textId="77777777" w:rsidR="00D7772A" w:rsidRPr="00F53BF8" w:rsidRDefault="00D7772A" w:rsidP="00AD3C02">
      <w:pPr>
        <w:pStyle w:val="Marge"/>
        <w:spacing w:before="120" w:after="120"/>
        <w:ind w:left="360"/>
        <w:rPr>
          <w:rFonts w:cs="Arial"/>
          <w:bCs/>
          <w:szCs w:val="22"/>
        </w:rPr>
      </w:pPr>
      <w:r w:rsidRPr="00403D4A">
        <w:rPr>
          <w:rFonts w:cs="Arial"/>
          <w:b/>
          <w:bCs/>
        </w:rPr>
        <w:t>Critère A.3 :</w:t>
      </w:r>
      <w:r w:rsidRPr="00403D4A">
        <w:rPr>
          <w:rFonts w:cs="Arial"/>
          <w:szCs w:val="22"/>
        </w:rPr>
        <w:t xml:space="preserve"> Les activités proposées sont présentées dans une séquence logique et comprennent le renforcement des capacités, le travail de terrain, la sensibilisation et les recommandations politiques pour la sauvegarde du patrimoine vivant des communautés impliquées dans le projet. Elles semblent réalisables pendant la durée du projet.</w:t>
      </w:r>
    </w:p>
    <w:p w14:paraId="7166F910" w14:textId="77777777" w:rsidR="00D7772A" w:rsidRPr="00403D4A" w:rsidRDefault="00D7772A" w:rsidP="00AD3C02">
      <w:pPr>
        <w:pStyle w:val="Marge"/>
        <w:spacing w:before="120" w:after="120"/>
        <w:ind w:left="360"/>
        <w:rPr>
          <w:rFonts w:cs="Arial"/>
        </w:rPr>
      </w:pPr>
      <w:r w:rsidRPr="00403D4A">
        <w:rPr>
          <w:rFonts w:cs="Arial"/>
          <w:b/>
          <w:bCs/>
        </w:rPr>
        <w:t xml:space="preserve">Critère A.4 : </w:t>
      </w:r>
      <w:r w:rsidRPr="00403D4A">
        <w:rPr>
          <w:rFonts w:cs="Arial"/>
        </w:rPr>
        <w:t xml:space="preserve">Ce projet s’insère dans trois cadres principaux qui garantissent des résultats à long terme et la durabilité. Le projet : (a) renforce les capacités et les réseaux des porteurs et sensibilise un large éventail de parties prenantes ; (b) s’inscrit dans le cadre de réformes juridiques et réglementaires plus larges qui sont actuellement en cours, notamment la promulgation du projet de loi sur la protection et la promotion du mode de vie des groupes ethniques ; et (c) constitue une extension du travail et du mandat existants du Centre d’anthropologie de la Princesse Maha </w:t>
      </w:r>
      <w:proofErr w:type="spellStart"/>
      <w:r w:rsidRPr="00403D4A">
        <w:rPr>
          <w:rFonts w:cs="Arial"/>
        </w:rPr>
        <w:t>Chakri</w:t>
      </w:r>
      <w:proofErr w:type="spellEnd"/>
      <w:r w:rsidRPr="00403D4A">
        <w:rPr>
          <w:rFonts w:cs="Arial"/>
        </w:rPr>
        <w:t xml:space="preserve"> </w:t>
      </w:r>
      <w:proofErr w:type="spellStart"/>
      <w:r w:rsidRPr="00403D4A">
        <w:rPr>
          <w:rFonts w:cs="Arial"/>
        </w:rPr>
        <w:t>Sirindhorn</w:t>
      </w:r>
      <w:proofErr w:type="spellEnd"/>
      <w:r w:rsidRPr="00403D4A">
        <w:rPr>
          <w:rFonts w:cs="Arial"/>
        </w:rPr>
        <w:t>, qui sera poursuivi après la fin du projet.</w:t>
      </w:r>
    </w:p>
    <w:p w14:paraId="166DC8BC" w14:textId="77777777" w:rsidR="00D7772A" w:rsidRPr="00F53BF8" w:rsidRDefault="00D7772A" w:rsidP="00AD3C02">
      <w:pPr>
        <w:pStyle w:val="Marge"/>
        <w:spacing w:before="120" w:after="120"/>
        <w:ind w:left="360"/>
        <w:rPr>
          <w:rFonts w:cs="Arial"/>
          <w:szCs w:val="22"/>
        </w:rPr>
      </w:pPr>
      <w:r w:rsidRPr="00403D4A">
        <w:rPr>
          <w:rFonts w:cs="Arial"/>
          <w:b/>
          <w:bCs/>
        </w:rPr>
        <w:t xml:space="preserve">Critère A.5 : </w:t>
      </w:r>
      <w:r w:rsidRPr="00403D4A">
        <w:rPr>
          <w:rFonts w:cs="Arial"/>
          <w:szCs w:val="22"/>
        </w:rPr>
        <w:t xml:space="preserve">L’État partie soumissionnaire contribuera à hauteur de 62 pour cent du montant total du budget du projet (265 800 dollars des États-Unis). Par conséquent, </w:t>
      </w:r>
      <w:r w:rsidRPr="00F53BF8">
        <w:rPr>
          <w:rFonts w:cs="Arial"/>
          <w:szCs w:val="22"/>
        </w:rPr>
        <w:t>l’</w:t>
      </w:r>
      <w:r w:rsidRPr="00403D4A">
        <w:rPr>
          <w:rFonts w:cs="Arial"/>
          <w:szCs w:val="22"/>
        </w:rPr>
        <w:t>assistance internationale est demandée au Fonds du patrimoine culturel immatériel pour les 28</w:t>
      </w:r>
      <w:r w:rsidRPr="00F53BF8">
        <w:rPr>
          <w:rFonts w:cs="Arial"/>
          <w:szCs w:val="22"/>
        </w:rPr>
        <w:t xml:space="preserve"> pour cent</w:t>
      </w:r>
      <w:r w:rsidRPr="00403D4A">
        <w:rPr>
          <w:rFonts w:cs="Arial"/>
          <w:szCs w:val="22"/>
        </w:rPr>
        <w:t xml:space="preserve"> restants du montant total du budget du projet.</w:t>
      </w:r>
    </w:p>
    <w:p w14:paraId="0CBA99C2" w14:textId="77777777" w:rsidR="00D7772A" w:rsidRPr="00F53BF8" w:rsidRDefault="00D7772A" w:rsidP="00AD3C02">
      <w:pPr>
        <w:pStyle w:val="Marge"/>
        <w:spacing w:before="120" w:after="120"/>
        <w:ind w:left="360"/>
        <w:rPr>
          <w:rFonts w:cs="Arial"/>
        </w:rPr>
      </w:pPr>
      <w:r w:rsidRPr="00403D4A">
        <w:rPr>
          <w:b/>
          <w:bCs/>
        </w:rPr>
        <w:t>Critère A.6 :</w:t>
      </w:r>
      <w:r w:rsidRPr="00403D4A">
        <w:t xml:space="preserve"> Le projet vise clairement à développer les capacités des communautés et des autres acteurs concernés, en mettant l’accent sur les porteurs, les parties prenantes et les autres partenaires institutionnels. Dans le même temps, il encourage les mécanismes de travail participatif entre les communautés ethniques et les agences gouvernementales. Le projet sera également bénéfique au renforcement des capacités institutionnelles dans le cadre de la mobilisation du projet de loi sur la protection et la promotion du mode de vie des groupes ethniques. Il s’agit d’un mécanisme visant à soutenir la création du modèle des « zones culturelles spéciales », qui soutiendra les modes de vie des communautés ethniques.</w:t>
      </w:r>
    </w:p>
    <w:p w14:paraId="6DA96990" w14:textId="77777777" w:rsidR="00D7772A" w:rsidRPr="00F53BF8" w:rsidRDefault="00D7772A" w:rsidP="00AD3C02">
      <w:pPr>
        <w:pStyle w:val="Marge"/>
        <w:spacing w:before="120" w:after="120"/>
        <w:ind w:left="360"/>
        <w:rPr>
          <w:rFonts w:cs="Arial"/>
        </w:rPr>
      </w:pPr>
      <w:r w:rsidRPr="00403D4A">
        <w:rPr>
          <w:b/>
          <w:bCs/>
        </w:rPr>
        <w:t>Critère A.7 :</w:t>
      </w:r>
      <w:r w:rsidRPr="00403D4A">
        <w:t xml:space="preserve"> La Thaïlande n’a jamais, à ce jour, reçu aucune assistance financière de la part de l’UNESCO du Fonds du patrimoine culturel immatériel de la Convention de 2003 afin de mettre en œuvre des activités similaires ou connexes dans le domaine du patrimoine culturel immatériel.</w:t>
      </w:r>
    </w:p>
    <w:p w14:paraId="17439B19" w14:textId="77777777" w:rsidR="00D7772A" w:rsidRPr="00F53BF8" w:rsidRDefault="00D7772A" w:rsidP="00AD3C02">
      <w:pPr>
        <w:pStyle w:val="Marge"/>
        <w:spacing w:before="120" w:after="120"/>
        <w:ind w:left="360"/>
        <w:rPr>
          <w:rFonts w:cs="Arial"/>
        </w:rPr>
      </w:pPr>
      <w:r w:rsidRPr="00403D4A">
        <w:rPr>
          <w:rFonts w:cs="Arial"/>
          <w:b/>
          <w:bCs/>
        </w:rPr>
        <w:t>Paragraphe 10(a) :</w:t>
      </w:r>
      <w:r w:rsidRPr="00403D4A">
        <w:rPr>
          <w:rFonts w:cs="Arial"/>
        </w:rPr>
        <w:t xml:space="preserve"> Le projet a une portée nationale et sa mise en œuvre implique des partenaires nationaux et locaux.</w:t>
      </w:r>
    </w:p>
    <w:p w14:paraId="17A1C335" w14:textId="77777777" w:rsidR="00D7772A" w:rsidRPr="00F53BF8" w:rsidRDefault="00D7772A" w:rsidP="00AD3C02">
      <w:pPr>
        <w:pStyle w:val="ListParagraph1"/>
        <w:tabs>
          <w:tab w:val="left" w:pos="1701"/>
        </w:tabs>
        <w:spacing w:before="120" w:after="120"/>
        <w:ind w:left="360"/>
        <w:jc w:val="both"/>
        <w:rPr>
          <w:rFonts w:ascii="Arial" w:hAnsi="Arial" w:cs="Arial"/>
          <w:sz w:val="22"/>
          <w:lang w:val="fr-FR"/>
        </w:rPr>
      </w:pPr>
      <w:r w:rsidRPr="00403D4A">
        <w:rPr>
          <w:rFonts w:ascii="Arial" w:hAnsi="Arial" w:cs="Arial"/>
          <w:b/>
          <w:bCs/>
          <w:sz w:val="22"/>
          <w:lang w:val="fr-FR"/>
        </w:rPr>
        <w:t>Paragraphe 10(b)</w:t>
      </w:r>
      <w:r w:rsidRPr="00403D4A">
        <w:rPr>
          <w:rFonts w:ascii="Arial" w:hAnsi="Arial" w:cs="Arial"/>
          <w:b/>
          <w:bCs/>
          <w:lang w:val="fr-FR"/>
        </w:rPr>
        <w:t> :</w:t>
      </w:r>
      <w:r w:rsidRPr="00403D4A">
        <w:rPr>
          <w:rFonts w:ascii="Arial" w:hAnsi="Arial" w:cs="Arial"/>
          <w:sz w:val="22"/>
          <w:lang w:val="fr-FR"/>
        </w:rPr>
        <w:t xml:space="preserve"> Le projet devrait permettre de sensibiliser le public au niveau national à l’importance de la sauvegarde du patrimoine vivant de tous les groupes ethniques du pays. </w:t>
      </w:r>
    </w:p>
    <w:p w14:paraId="33CA99C7" w14:textId="77777777" w:rsidR="00D7772A" w:rsidRPr="00F53BF8" w:rsidRDefault="00D7772A" w:rsidP="00AD3C02">
      <w:pPr>
        <w:pStyle w:val="COMParaDecision"/>
        <w:numPr>
          <w:ilvl w:val="0"/>
          <w:numId w:val="21"/>
        </w:numPr>
        <w:spacing w:before="120"/>
        <w:ind w:left="360" w:hanging="567"/>
        <w:rPr>
          <w:u w:val="none"/>
        </w:rPr>
      </w:pPr>
      <w:r w:rsidRPr="00403D4A">
        <w:t>Approuve</w:t>
      </w:r>
      <w:r w:rsidRPr="00403D4A">
        <w:rPr>
          <w:u w:val="none"/>
        </w:rPr>
        <w:t xml:space="preserve"> la demande d’assistance internationale de la Thaïlande pour le projet intitulé </w:t>
      </w:r>
      <w:r w:rsidRPr="00403D4A">
        <w:rPr>
          <w:b/>
          <w:bCs/>
          <w:u w:val="none"/>
        </w:rPr>
        <w:t>École de terrain pour le renforcement des capacités de sauvegarde du patrimoine vivant des communautés ethniques en Thaïlande</w:t>
      </w:r>
      <w:r w:rsidRPr="00403D4A">
        <w:rPr>
          <w:u w:val="none"/>
        </w:rPr>
        <w:t xml:space="preserve"> et </w:t>
      </w:r>
      <w:r w:rsidRPr="00403D4A">
        <w:t>accorde</w:t>
      </w:r>
      <w:r w:rsidRPr="00403D4A">
        <w:rPr>
          <w:u w:val="none"/>
        </w:rPr>
        <w:t xml:space="preserve"> un montant de 100 000 dollars </w:t>
      </w:r>
      <w:r w:rsidRPr="00F53BF8">
        <w:rPr>
          <w:u w:val="none"/>
        </w:rPr>
        <w:t>des États-Unis</w:t>
      </w:r>
      <w:r w:rsidRPr="00403D4A" w:rsidDel="00A815F5">
        <w:rPr>
          <w:u w:val="none"/>
        </w:rPr>
        <w:t xml:space="preserve"> </w:t>
      </w:r>
      <w:r w:rsidRPr="00403D4A">
        <w:rPr>
          <w:u w:val="none"/>
        </w:rPr>
        <w:t>à l’État partie à cette fin ;</w:t>
      </w:r>
    </w:p>
    <w:p w14:paraId="7E7A32BE" w14:textId="77777777" w:rsidR="00D7772A" w:rsidRPr="00F53BF8" w:rsidRDefault="00D7772A" w:rsidP="00AD3C02">
      <w:pPr>
        <w:pStyle w:val="COMParaDecision"/>
        <w:numPr>
          <w:ilvl w:val="0"/>
          <w:numId w:val="21"/>
        </w:numPr>
        <w:spacing w:before="120"/>
        <w:ind w:left="360" w:hanging="567"/>
        <w:rPr>
          <w:u w:val="none"/>
        </w:rPr>
      </w:pPr>
      <w:r w:rsidRPr="00403D4A">
        <w:t>Demande</w:t>
      </w:r>
      <w:r w:rsidRPr="00403D4A">
        <w:rPr>
          <w:u w:val="none"/>
        </w:rPr>
        <w:t xml:space="preserve"> au Secrétariat de se mettre d’accord avec l’État partie demandeur sur les détails techniques de l’assistance, en accordant une attention particulière à ce que le plan de travail et le budget des activités que le Fonds du patrimoine culturel immatériel devra couvrir, soient suffisamment détaillés et spécifiques pour justifier les dépenses ;</w:t>
      </w:r>
    </w:p>
    <w:p w14:paraId="5D7E1089" w14:textId="596E2B88" w:rsidR="009E50A2" w:rsidRDefault="00D7772A" w:rsidP="00AD3C02">
      <w:pPr>
        <w:pStyle w:val="COMParaDecision"/>
        <w:numPr>
          <w:ilvl w:val="0"/>
          <w:numId w:val="21"/>
        </w:numPr>
        <w:spacing w:before="120"/>
        <w:ind w:left="360" w:hanging="567"/>
        <w:rPr>
          <w:u w:val="none"/>
        </w:rPr>
      </w:pPr>
      <w:r w:rsidRPr="00403D4A">
        <w:t>Invite</w:t>
      </w:r>
      <w:r w:rsidRPr="00403D4A">
        <w:rPr>
          <w:u w:val="none"/>
        </w:rPr>
        <w:t xml:space="preserve"> l’État partie à utiliser le formulaire ICH-04-Rapport pour rendre compte de l’utilisation de l’assistance accordée.</w:t>
      </w:r>
      <w:bookmarkEnd w:id="9"/>
    </w:p>
    <w:p w14:paraId="32F1FADA" w14:textId="06B9FDC4" w:rsidR="00805DD3" w:rsidRDefault="00805DD3" w:rsidP="00805DD3">
      <w:pPr>
        <w:pStyle w:val="COMParaDecision"/>
        <w:numPr>
          <w:ilvl w:val="0"/>
          <w:numId w:val="0"/>
        </w:numPr>
        <w:spacing w:before="120"/>
        <w:rPr>
          <w:u w:val="none"/>
        </w:rPr>
      </w:pPr>
    </w:p>
    <w:p w14:paraId="12FD531C" w14:textId="6647E41D" w:rsidR="00230B28" w:rsidRPr="00C32BDC" w:rsidRDefault="00230B28" w:rsidP="0075485F">
      <w:pPr>
        <w:pStyle w:val="GATitleResolution"/>
        <w:ind w:left="0"/>
      </w:pPr>
      <w:r w:rsidRPr="00C32BDC">
        <w:lastRenderedPageBreak/>
        <w:t>DÉCISION 17.COM 5.BUR 4</w:t>
      </w:r>
    </w:p>
    <w:p w14:paraId="1B6A19D6" w14:textId="77777777" w:rsidR="00230B28" w:rsidRPr="00C32BDC" w:rsidRDefault="00230B28" w:rsidP="0075485F">
      <w:pPr>
        <w:pStyle w:val="COMPreambulaDecision"/>
        <w:ind w:left="0"/>
      </w:pPr>
      <w:r w:rsidRPr="00C32BDC">
        <w:t>Le Bureau,</w:t>
      </w:r>
    </w:p>
    <w:p w14:paraId="506DF737" w14:textId="77777777" w:rsidR="00230B28" w:rsidRPr="00C32BDC" w:rsidRDefault="00230B28" w:rsidP="00AD3C02">
      <w:pPr>
        <w:pStyle w:val="COMParaDecision"/>
        <w:numPr>
          <w:ilvl w:val="0"/>
          <w:numId w:val="28"/>
        </w:numPr>
        <w:ind w:left="567" w:hanging="567"/>
        <w:jc w:val="left"/>
      </w:pPr>
      <w:r w:rsidRPr="00C32BDC">
        <w:t>Ayant examiné</w:t>
      </w:r>
      <w:r w:rsidRPr="00AD3C02">
        <w:rPr>
          <w:u w:val="none"/>
        </w:rPr>
        <w:t xml:space="preserve"> le document LHE/22/17.COM 5.BUR/4 et son annexe,</w:t>
      </w:r>
    </w:p>
    <w:p w14:paraId="25B1D5F8" w14:textId="77777777" w:rsidR="00230B28" w:rsidRPr="00C32BDC" w:rsidRDefault="00230B28" w:rsidP="00AD3C02">
      <w:pPr>
        <w:pStyle w:val="COMParaDecision"/>
        <w:ind w:left="567" w:hanging="567"/>
        <w:rPr>
          <w:rFonts w:eastAsia="SimSun"/>
        </w:rPr>
      </w:pPr>
      <w:r w:rsidRPr="00C32BDC">
        <w:t>Prend note</w:t>
      </w:r>
      <w:r w:rsidRPr="00C32BDC">
        <w:rPr>
          <w:u w:val="none"/>
        </w:rPr>
        <w:t xml:space="preserve"> de l’ordre du jour provisoire de la dix-septième session du Comité ; </w:t>
      </w:r>
    </w:p>
    <w:p w14:paraId="326A4E88" w14:textId="77777777" w:rsidR="00230B28" w:rsidRPr="00C32BDC" w:rsidRDefault="00230B28" w:rsidP="00AD3C02">
      <w:pPr>
        <w:pStyle w:val="COMParaDecision"/>
        <w:ind w:left="567" w:hanging="567"/>
        <w:rPr>
          <w:rFonts w:eastAsia="SimSun"/>
          <w:u w:val="none"/>
        </w:rPr>
      </w:pPr>
      <w:r w:rsidRPr="00C32BDC">
        <w:rPr>
          <w:rFonts w:eastAsia="SimSun"/>
        </w:rPr>
        <w:t>Soumet</w:t>
      </w:r>
      <w:r w:rsidRPr="00C32BDC">
        <w:rPr>
          <w:rFonts w:eastAsia="SimSun"/>
          <w:u w:val="none"/>
        </w:rPr>
        <w:t xml:space="preserve"> au Comité le calendrier provisoire de ses travaux pour examen à sa dix-septième session </w:t>
      </w:r>
      <w:r w:rsidRPr="00C32BDC">
        <w:rPr>
          <w:u w:val="none"/>
        </w:rPr>
        <w:t>(28 novembre – 3 décembre 2022, Rabat, Royaume du Maroc)</w:t>
      </w:r>
      <w:r w:rsidRPr="00C32BDC">
        <w:rPr>
          <w:rFonts w:eastAsia="SimSun"/>
          <w:u w:val="none"/>
        </w:rPr>
        <w:t>.</w:t>
      </w:r>
      <w:r w:rsidRPr="00C32BDC">
        <w:rPr>
          <w:u w:val="none"/>
        </w:rPr>
        <w:t xml:space="preserve"> </w:t>
      </w:r>
    </w:p>
    <w:p w14:paraId="33537D2A" w14:textId="77777777" w:rsidR="00230B28" w:rsidRPr="00C32BDC" w:rsidRDefault="00230B28" w:rsidP="00230B28">
      <w:pPr>
        <w:spacing w:before="360" w:after="240"/>
        <w:jc w:val="center"/>
        <w:rPr>
          <w:rFonts w:ascii="Arial" w:eastAsia="SimSun" w:hAnsi="Arial" w:cs="Arial"/>
          <w:b/>
          <w:sz w:val="22"/>
          <w:szCs w:val="22"/>
          <w:u w:val="single"/>
        </w:rPr>
      </w:pPr>
      <w:r w:rsidRPr="00C32BDC">
        <w:rPr>
          <w:rFonts w:ascii="Arial" w:eastAsia="SimSun" w:hAnsi="Arial" w:cs="Arial"/>
          <w:b/>
          <w:sz w:val="22"/>
          <w:szCs w:val="22"/>
          <w:u w:val="single"/>
        </w:rPr>
        <w:t>ANNEXE</w:t>
      </w:r>
    </w:p>
    <w:tbl>
      <w:tblPr>
        <w:tblW w:w="4945" w:type="pct"/>
        <w:jc w:val="center"/>
        <w:tblLayout w:type="fixed"/>
        <w:tblLook w:val="01E0" w:firstRow="1" w:lastRow="1" w:firstColumn="1" w:lastColumn="1" w:noHBand="0" w:noVBand="0"/>
      </w:tblPr>
      <w:tblGrid>
        <w:gridCol w:w="2356"/>
        <w:gridCol w:w="696"/>
        <w:gridCol w:w="29"/>
        <w:gridCol w:w="6451"/>
      </w:tblGrid>
      <w:tr w:rsidR="00230B28" w:rsidRPr="00C32BDC" w14:paraId="7BF73FA3" w14:textId="77777777" w:rsidTr="0028597E">
        <w:trPr>
          <w:cantSplit/>
          <w:jc w:val="center"/>
        </w:trPr>
        <w:tc>
          <w:tcPr>
            <w:tcW w:w="5000" w:type="pct"/>
            <w:gridSpan w:val="4"/>
            <w:shd w:val="clear" w:color="auto" w:fill="BFBFBF" w:themeFill="background1" w:themeFillShade="BF"/>
          </w:tcPr>
          <w:p w14:paraId="24F59238" w14:textId="77777777" w:rsidR="00230B28" w:rsidRPr="0060543D" w:rsidRDefault="00230B28" w:rsidP="0028597E">
            <w:pPr>
              <w:pStyle w:val="1GAPara"/>
              <w:spacing w:before="60" w:after="60"/>
              <w:rPr>
                <w:rFonts w:asciiTheme="minorBidi" w:hAnsiTheme="minorBidi" w:cstheme="minorBidi"/>
                <w:sz w:val="20"/>
                <w:szCs w:val="20"/>
                <w:lang w:val="fr-FR"/>
              </w:rPr>
            </w:pPr>
            <w:r w:rsidRPr="0060543D">
              <w:rPr>
                <w:rFonts w:asciiTheme="minorBidi" w:hAnsiTheme="minorBidi" w:cstheme="minorBidi"/>
                <w:b/>
                <w:sz w:val="20"/>
                <w:szCs w:val="20"/>
                <w:u w:val="single"/>
                <w:lang w:val="fr-FR"/>
              </w:rPr>
              <w:t>Lundi 28 novembre 2022</w:t>
            </w:r>
          </w:p>
        </w:tc>
      </w:tr>
      <w:tr w:rsidR="00230B28" w:rsidRPr="00C32BDC" w14:paraId="2D27A567" w14:textId="77777777" w:rsidTr="0028597E">
        <w:trPr>
          <w:cantSplit/>
          <w:jc w:val="center"/>
        </w:trPr>
        <w:tc>
          <w:tcPr>
            <w:tcW w:w="1236" w:type="pct"/>
          </w:tcPr>
          <w:p w14:paraId="5751537D" w14:textId="77777777" w:rsidR="00230B28" w:rsidRPr="0060543D" w:rsidRDefault="00230B28" w:rsidP="0028597E">
            <w:pPr>
              <w:pStyle w:val="1GAPara"/>
              <w:spacing w:before="60" w:after="60"/>
              <w:rPr>
                <w:rFonts w:asciiTheme="minorBidi" w:hAnsiTheme="minorBidi" w:cstheme="minorBidi"/>
                <w:sz w:val="20"/>
                <w:szCs w:val="20"/>
                <w:lang w:val="fr-FR"/>
              </w:rPr>
            </w:pPr>
            <w:r w:rsidRPr="0060543D">
              <w:rPr>
                <w:rFonts w:asciiTheme="minorBidi" w:hAnsiTheme="minorBidi" w:cstheme="minorBidi"/>
                <w:sz w:val="20"/>
                <w:szCs w:val="20"/>
                <w:lang w:val="fr-FR"/>
              </w:rPr>
              <w:t>À partir de 8 h 30</w:t>
            </w:r>
          </w:p>
        </w:tc>
        <w:tc>
          <w:tcPr>
            <w:tcW w:w="3764" w:type="pct"/>
            <w:gridSpan w:val="3"/>
          </w:tcPr>
          <w:p w14:paraId="65FCC53D" w14:textId="77777777" w:rsidR="00230B28" w:rsidRPr="0060543D" w:rsidRDefault="00230B28" w:rsidP="0028597E">
            <w:pPr>
              <w:pStyle w:val="1GAPara"/>
              <w:spacing w:before="60" w:after="60"/>
              <w:rPr>
                <w:rFonts w:asciiTheme="minorBidi" w:hAnsiTheme="minorBidi" w:cstheme="minorBidi"/>
                <w:sz w:val="20"/>
                <w:szCs w:val="20"/>
                <w:lang w:val="fr-FR"/>
              </w:rPr>
            </w:pPr>
            <w:r w:rsidRPr="0060543D">
              <w:rPr>
                <w:rFonts w:asciiTheme="minorBidi" w:hAnsiTheme="minorBidi" w:cstheme="minorBidi"/>
                <w:sz w:val="20"/>
                <w:szCs w:val="20"/>
                <w:lang w:val="fr-FR"/>
              </w:rPr>
              <w:t>Enregistrement des participants</w:t>
            </w:r>
          </w:p>
        </w:tc>
      </w:tr>
      <w:tr w:rsidR="00230B28" w:rsidRPr="00C32BDC" w14:paraId="0604991B" w14:textId="77777777" w:rsidTr="0028597E">
        <w:trPr>
          <w:cantSplit/>
          <w:jc w:val="center"/>
        </w:trPr>
        <w:tc>
          <w:tcPr>
            <w:tcW w:w="1236" w:type="pct"/>
          </w:tcPr>
          <w:p w14:paraId="65013E00" w14:textId="77777777" w:rsidR="00230B28" w:rsidRPr="0060543D" w:rsidRDefault="00230B28" w:rsidP="0028597E">
            <w:pPr>
              <w:pStyle w:val="1GAPara"/>
              <w:spacing w:before="60" w:after="60"/>
              <w:rPr>
                <w:rFonts w:asciiTheme="minorBidi" w:hAnsiTheme="minorBidi" w:cstheme="minorBidi"/>
                <w:sz w:val="20"/>
                <w:szCs w:val="20"/>
                <w:lang w:val="fr-FR"/>
              </w:rPr>
            </w:pPr>
            <w:r w:rsidRPr="0060543D">
              <w:rPr>
                <w:rFonts w:asciiTheme="minorBidi" w:hAnsiTheme="minorBidi" w:cstheme="minorBidi"/>
                <w:sz w:val="20"/>
                <w:szCs w:val="20"/>
                <w:lang w:val="fr-FR"/>
              </w:rPr>
              <w:t>9 h 30 – 12 h 30</w:t>
            </w:r>
          </w:p>
        </w:tc>
        <w:tc>
          <w:tcPr>
            <w:tcW w:w="365" w:type="pct"/>
          </w:tcPr>
          <w:p w14:paraId="7BB4812E" w14:textId="77777777" w:rsidR="00230B28" w:rsidRPr="0060543D" w:rsidRDefault="00230B28" w:rsidP="0028597E">
            <w:pPr>
              <w:pStyle w:val="1GAPara"/>
              <w:spacing w:before="60" w:after="60"/>
              <w:jc w:val="right"/>
              <w:rPr>
                <w:rFonts w:asciiTheme="minorBidi" w:hAnsiTheme="minorBidi" w:cstheme="minorBidi"/>
                <w:sz w:val="20"/>
                <w:szCs w:val="20"/>
                <w:lang w:val="fr-FR"/>
              </w:rPr>
            </w:pPr>
            <w:r w:rsidRPr="0060543D">
              <w:rPr>
                <w:rFonts w:asciiTheme="minorBidi" w:hAnsiTheme="minorBidi" w:cstheme="minorBidi"/>
                <w:sz w:val="20"/>
                <w:szCs w:val="20"/>
                <w:lang w:val="fr-FR"/>
              </w:rPr>
              <w:t>1.</w:t>
            </w:r>
          </w:p>
        </w:tc>
        <w:tc>
          <w:tcPr>
            <w:tcW w:w="3399" w:type="pct"/>
            <w:gridSpan w:val="2"/>
          </w:tcPr>
          <w:p w14:paraId="56CCB33A" w14:textId="77777777" w:rsidR="00230B28" w:rsidRPr="0060543D" w:rsidRDefault="00230B28" w:rsidP="0028597E">
            <w:pPr>
              <w:pStyle w:val="1GAPara"/>
              <w:spacing w:before="60" w:after="60"/>
              <w:jc w:val="both"/>
              <w:rPr>
                <w:rFonts w:asciiTheme="minorBidi" w:hAnsiTheme="minorBidi" w:cstheme="minorBidi"/>
                <w:sz w:val="20"/>
                <w:szCs w:val="20"/>
                <w:lang w:val="fr-FR"/>
              </w:rPr>
            </w:pPr>
            <w:r w:rsidRPr="0060543D">
              <w:rPr>
                <w:rFonts w:asciiTheme="minorBidi" w:hAnsiTheme="minorBidi" w:cstheme="minorBidi"/>
                <w:sz w:val="20"/>
                <w:szCs w:val="20"/>
                <w:lang w:val="fr-FR"/>
              </w:rPr>
              <w:t>Ouverture</w:t>
            </w:r>
          </w:p>
        </w:tc>
      </w:tr>
      <w:tr w:rsidR="00230B28" w:rsidRPr="00C32BDC" w14:paraId="66B7D036" w14:textId="77777777" w:rsidTr="0028597E">
        <w:trPr>
          <w:cantSplit/>
          <w:jc w:val="center"/>
        </w:trPr>
        <w:tc>
          <w:tcPr>
            <w:tcW w:w="1236" w:type="pct"/>
          </w:tcPr>
          <w:p w14:paraId="79725CE6" w14:textId="77777777" w:rsidR="00230B28" w:rsidRPr="0060543D" w:rsidRDefault="00230B28" w:rsidP="0028597E">
            <w:pPr>
              <w:pStyle w:val="1GAPara"/>
              <w:spacing w:before="60" w:after="60"/>
              <w:rPr>
                <w:rFonts w:asciiTheme="minorBidi" w:hAnsiTheme="minorBidi" w:cstheme="minorBidi"/>
                <w:sz w:val="20"/>
                <w:szCs w:val="20"/>
                <w:lang w:val="fr-FR"/>
              </w:rPr>
            </w:pPr>
          </w:p>
        </w:tc>
        <w:tc>
          <w:tcPr>
            <w:tcW w:w="365" w:type="pct"/>
          </w:tcPr>
          <w:p w14:paraId="3362D752" w14:textId="77777777" w:rsidR="00230B28" w:rsidRPr="0060543D" w:rsidRDefault="00230B28" w:rsidP="0028597E">
            <w:pPr>
              <w:pStyle w:val="1GAPara"/>
              <w:spacing w:before="60" w:after="60"/>
              <w:jc w:val="right"/>
              <w:rPr>
                <w:rFonts w:asciiTheme="minorBidi" w:hAnsiTheme="minorBidi" w:cstheme="minorBidi"/>
                <w:sz w:val="20"/>
                <w:szCs w:val="20"/>
                <w:lang w:val="fr-FR"/>
              </w:rPr>
            </w:pPr>
            <w:r w:rsidRPr="0060543D">
              <w:rPr>
                <w:rFonts w:asciiTheme="minorBidi" w:hAnsiTheme="minorBidi" w:cstheme="minorBidi"/>
                <w:sz w:val="20"/>
                <w:szCs w:val="20"/>
                <w:lang w:val="fr-FR"/>
              </w:rPr>
              <w:t>2.</w:t>
            </w:r>
          </w:p>
        </w:tc>
        <w:tc>
          <w:tcPr>
            <w:tcW w:w="3399" w:type="pct"/>
            <w:gridSpan w:val="2"/>
          </w:tcPr>
          <w:p w14:paraId="71EB30B0" w14:textId="77777777" w:rsidR="00230B28" w:rsidRPr="0060543D" w:rsidRDefault="00230B28" w:rsidP="0028597E">
            <w:pPr>
              <w:pStyle w:val="1GAPara"/>
              <w:spacing w:before="60" w:after="60"/>
              <w:jc w:val="both"/>
              <w:rPr>
                <w:rFonts w:asciiTheme="minorBidi" w:hAnsiTheme="minorBidi" w:cstheme="minorBidi"/>
                <w:sz w:val="20"/>
                <w:szCs w:val="20"/>
                <w:lang w:val="fr-FR"/>
              </w:rPr>
            </w:pPr>
            <w:r w:rsidRPr="0060543D">
              <w:rPr>
                <w:rFonts w:asciiTheme="minorBidi" w:hAnsiTheme="minorBidi" w:cstheme="minorBidi"/>
                <w:sz w:val="20"/>
                <w:szCs w:val="20"/>
                <w:lang w:val="fr-FR"/>
              </w:rPr>
              <w:t>Adoption de l’ordre du jour</w:t>
            </w:r>
          </w:p>
        </w:tc>
      </w:tr>
      <w:tr w:rsidR="00230B28" w:rsidRPr="00C32BDC" w14:paraId="6E448F74" w14:textId="77777777" w:rsidTr="0028597E">
        <w:trPr>
          <w:cantSplit/>
          <w:jc w:val="center"/>
        </w:trPr>
        <w:tc>
          <w:tcPr>
            <w:tcW w:w="1236" w:type="pct"/>
          </w:tcPr>
          <w:p w14:paraId="34BBA69F" w14:textId="77777777" w:rsidR="00230B28" w:rsidRPr="0060543D" w:rsidRDefault="00230B28" w:rsidP="0028597E">
            <w:pPr>
              <w:pStyle w:val="1GAPara"/>
              <w:spacing w:before="60" w:after="60"/>
              <w:rPr>
                <w:rFonts w:asciiTheme="minorBidi" w:hAnsiTheme="minorBidi" w:cstheme="minorBidi"/>
                <w:sz w:val="20"/>
                <w:szCs w:val="20"/>
                <w:lang w:val="fr-FR"/>
              </w:rPr>
            </w:pPr>
          </w:p>
        </w:tc>
        <w:tc>
          <w:tcPr>
            <w:tcW w:w="365" w:type="pct"/>
          </w:tcPr>
          <w:p w14:paraId="1DF3F708" w14:textId="77777777" w:rsidR="00230B28" w:rsidRPr="0060543D" w:rsidRDefault="00230B28" w:rsidP="0028597E">
            <w:pPr>
              <w:pStyle w:val="1GAPara"/>
              <w:spacing w:before="60" w:after="60"/>
              <w:jc w:val="right"/>
              <w:rPr>
                <w:rFonts w:asciiTheme="minorBidi" w:hAnsiTheme="minorBidi" w:cstheme="minorBidi"/>
                <w:sz w:val="20"/>
                <w:szCs w:val="20"/>
                <w:lang w:val="fr-FR"/>
              </w:rPr>
            </w:pPr>
            <w:r w:rsidRPr="0060543D">
              <w:rPr>
                <w:rFonts w:asciiTheme="minorBidi" w:hAnsiTheme="minorBidi" w:cstheme="minorBidi"/>
                <w:sz w:val="20"/>
                <w:szCs w:val="20"/>
                <w:lang w:val="fr-FR"/>
              </w:rPr>
              <w:t>3.</w:t>
            </w:r>
          </w:p>
        </w:tc>
        <w:tc>
          <w:tcPr>
            <w:tcW w:w="3399" w:type="pct"/>
            <w:gridSpan w:val="2"/>
          </w:tcPr>
          <w:p w14:paraId="3358BC82" w14:textId="77777777" w:rsidR="00230B28" w:rsidRPr="0060543D" w:rsidRDefault="00230B28" w:rsidP="0028597E">
            <w:pPr>
              <w:pStyle w:val="1GAPara"/>
              <w:spacing w:before="60" w:after="60"/>
              <w:jc w:val="both"/>
              <w:rPr>
                <w:rFonts w:asciiTheme="minorBidi" w:hAnsiTheme="minorBidi" w:cstheme="minorBidi"/>
                <w:sz w:val="20"/>
                <w:szCs w:val="20"/>
                <w:lang w:val="fr-FR"/>
              </w:rPr>
            </w:pPr>
            <w:r w:rsidRPr="0060543D">
              <w:rPr>
                <w:rFonts w:asciiTheme="minorBidi" w:hAnsiTheme="minorBidi" w:cstheme="minorBidi"/>
                <w:sz w:val="20"/>
                <w:szCs w:val="20"/>
                <w:lang w:val="fr-FR"/>
              </w:rPr>
              <w:t>Observateurs</w:t>
            </w:r>
          </w:p>
        </w:tc>
      </w:tr>
      <w:tr w:rsidR="00230B28" w:rsidRPr="00C32BDC" w14:paraId="5E6A5AC0" w14:textId="77777777" w:rsidTr="0028597E">
        <w:trPr>
          <w:cantSplit/>
          <w:jc w:val="center"/>
        </w:trPr>
        <w:tc>
          <w:tcPr>
            <w:tcW w:w="1236" w:type="pct"/>
          </w:tcPr>
          <w:p w14:paraId="5740593D" w14:textId="77777777" w:rsidR="00230B28" w:rsidRPr="0060543D" w:rsidRDefault="00230B28" w:rsidP="0028597E">
            <w:pPr>
              <w:spacing w:before="60" w:after="60"/>
              <w:rPr>
                <w:rFonts w:asciiTheme="minorBidi" w:hAnsiTheme="minorBidi" w:cstheme="minorBidi"/>
                <w:sz w:val="20"/>
                <w:szCs w:val="20"/>
              </w:rPr>
            </w:pPr>
          </w:p>
        </w:tc>
        <w:tc>
          <w:tcPr>
            <w:tcW w:w="365" w:type="pct"/>
          </w:tcPr>
          <w:p w14:paraId="5AAC5BFD"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4.</w:t>
            </w:r>
          </w:p>
        </w:tc>
        <w:tc>
          <w:tcPr>
            <w:tcW w:w="3399" w:type="pct"/>
            <w:gridSpan w:val="2"/>
          </w:tcPr>
          <w:p w14:paraId="2151E928"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Adoption des comptes-rendus</w:t>
            </w:r>
          </w:p>
        </w:tc>
      </w:tr>
      <w:tr w:rsidR="00230B28" w:rsidRPr="00C32BDC" w14:paraId="5AD135EE" w14:textId="77777777" w:rsidTr="0028597E">
        <w:trPr>
          <w:cantSplit/>
          <w:jc w:val="center"/>
        </w:trPr>
        <w:tc>
          <w:tcPr>
            <w:tcW w:w="1236" w:type="pct"/>
          </w:tcPr>
          <w:p w14:paraId="312872EF" w14:textId="77777777" w:rsidR="00230B28" w:rsidRPr="0060543D" w:rsidRDefault="00230B28" w:rsidP="0028597E">
            <w:pPr>
              <w:spacing w:before="60" w:after="60"/>
              <w:rPr>
                <w:rFonts w:asciiTheme="minorBidi" w:hAnsiTheme="minorBidi" w:cstheme="minorBidi"/>
                <w:sz w:val="20"/>
                <w:szCs w:val="20"/>
              </w:rPr>
            </w:pPr>
          </w:p>
        </w:tc>
        <w:tc>
          <w:tcPr>
            <w:tcW w:w="365" w:type="pct"/>
          </w:tcPr>
          <w:p w14:paraId="77CE05F9"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4.a</w:t>
            </w:r>
          </w:p>
        </w:tc>
        <w:tc>
          <w:tcPr>
            <w:tcW w:w="3399" w:type="pct"/>
            <w:gridSpan w:val="2"/>
          </w:tcPr>
          <w:p w14:paraId="35C828C7"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Adoption du compte-rendu de la seizième session du Comité</w:t>
            </w:r>
          </w:p>
        </w:tc>
      </w:tr>
      <w:tr w:rsidR="00230B28" w:rsidRPr="00C32BDC" w14:paraId="556DBD50" w14:textId="77777777" w:rsidTr="0028597E">
        <w:trPr>
          <w:cantSplit/>
          <w:jc w:val="center"/>
        </w:trPr>
        <w:tc>
          <w:tcPr>
            <w:tcW w:w="1236" w:type="pct"/>
          </w:tcPr>
          <w:p w14:paraId="270ECAEC" w14:textId="77777777" w:rsidR="00230B28" w:rsidRPr="0060543D" w:rsidRDefault="00230B28" w:rsidP="0028597E">
            <w:pPr>
              <w:spacing w:before="60" w:after="60"/>
              <w:rPr>
                <w:rFonts w:asciiTheme="minorBidi" w:hAnsiTheme="minorBidi" w:cstheme="minorBidi"/>
                <w:sz w:val="20"/>
                <w:szCs w:val="20"/>
              </w:rPr>
            </w:pPr>
          </w:p>
        </w:tc>
        <w:tc>
          <w:tcPr>
            <w:tcW w:w="365" w:type="pct"/>
          </w:tcPr>
          <w:p w14:paraId="7D8B82F1"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4.b</w:t>
            </w:r>
          </w:p>
        </w:tc>
        <w:tc>
          <w:tcPr>
            <w:tcW w:w="3399" w:type="pct"/>
            <w:gridSpan w:val="2"/>
          </w:tcPr>
          <w:p w14:paraId="6C2B5521"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Adoption du compte-rendu de la cinquième session extraordinaire du Comité</w:t>
            </w:r>
          </w:p>
        </w:tc>
      </w:tr>
      <w:tr w:rsidR="00230B28" w:rsidRPr="00C32BDC" w14:paraId="1972D8E7" w14:textId="77777777" w:rsidTr="0028597E">
        <w:trPr>
          <w:cantSplit/>
          <w:jc w:val="center"/>
        </w:trPr>
        <w:tc>
          <w:tcPr>
            <w:tcW w:w="1236" w:type="pct"/>
          </w:tcPr>
          <w:p w14:paraId="6E04764F" w14:textId="77777777" w:rsidR="00230B28" w:rsidRPr="0060543D" w:rsidRDefault="00230B28" w:rsidP="0028597E">
            <w:pPr>
              <w:spacing w:before="60" w:after="60"/>
              <w:rPr>
                <w:rFonts w:asciiTheme="minorBidi" w:hAnsiTheme="minorBidi" w:cstheme="minorBidi"/>
                <w:sz w:val="20"/>
                <w:szCs w:val="20"/>
              </w:rPr>
            </w:pPr>
          </w:p>
        </w:tc>
        <w:tc>
          <w:tcPr>
            <w:tcW w:w="365" w:type="pct"/>
          </w:tcPr>
          <w:p w14:paraId="3C3BA325"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5.</w:t>
            </w:r>
          </w:p>
        </w:tc>
        <w:tc>
          <w:tcPr>
            <w:tcW w:w="3399" w:type="pct"/>
            <w:gridSpan w:val="2"/>
          </w:tcPr>
          <w:p w14:paraId="56EE9264"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eastAsiaTheme="minorEastAsia" w:hAnsiTheme="minorBidi" w:cstheme="minorBidi"/>
                <w:sz w:val="20"/>
                <w:szCs w:val="20"/>
                <w:lang w:eastAsia="ko-KR"/>
              </w:rPr>
              <w:t>Rapport du Secrétariat sur ses activités (de janvier 2022 à juin 2022)</w:t>
            </w:r>
          </w:p>
        </w:tc>
      </w:tr>
      <w:tr w:rsidR="00230B28" w:rsidRPr="00C32BDC" w14:paraId="1C13D0C6" w14:textId="77777777" w:rsidTr="0028597E">
        <w:trPr>
          <w:cantSplit/>
          <w:jc w:val="center"/>
        </w:trPr>
        <w:tc>
          <w:tcPr>
            <w:tcW w:w="1236" w:type="pct"/>
            <w:shd w:val="clear" w:color="auto" w:fill="D9D9D9"/>
          </w:tcPr>
          <w:p w14:paraId="65F7CFD6"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cPr>
          <w:p w14:paraId="6EED2E3D" w14:textId="77777777" w:rsidR="00230B28" w:rsidRPr="0060543D" w:rsidRDefault="00230B28" w:rsidP="0028597E">
            <w:pPr>
              <w:pageBreakBefore/>
              <w:tabs>
                <w:tab w:val="num" w:pos="1080"/>
              </w:tabs>
              <w:autoSpaceDE w:val="0"/>
              <w:autoSpaceDN w:val="0"/>
              <w:spacing w:before="60" w:after="60"/>
              <w:jc w:val="both"/>
              <w:rPr>
                <w:rFonts w:asciiTheme="minorBidi" w:hAnsiTheme="minorBidi" w:cstheme="minorBidi"/>
                <w:sz w:val="20"/>
                <w:szCs w:val="20"/>
              </w:rPr>
            </w:pPr>
            <w:r w:rsidRPr="0060543D">
              <w:rPr>
                <w:rFonts w:asciiTheme="minorBidi" w:hAnsiTheme="minorBidi" w:cstheme="minorBidi"/>
                <w:sz w:val="20"/>
                <w:szCs w:val="20"/>
              </w:rPr>
              <w:t>Pause</w:t>
            </w:r>
          </w:p>
        </w:tc>
      </w:tr>
      <w:tr w:rsidR="00230B28" w:rsidRPr="00C32BDC" w14:paraId="6E65A098" w14:textId="77777777" w:rsidTr="0028597E">
        <w:trPr>
          <w:cantSplit/>
          <w:jc w:val="center"/>
        </w:trPr>
        <w:tc>
          <w:tcPr>
            <w:tcW w:w="1236" w:type="pct"/>
          </w:tcPr>
          <w:p w14:paraId="3F3D0416" w14:textId="77777777" w:rsidR="00230B28" w:rsidRPr="0060543D" w:rsidRDefault="00230B28" w:rsidP="0028597E">
            <w:pPr>
              <w:spacing w:before="60" w:after="60"/>
              <w:ind w:left="567" w:hanging="567"/>
              <w:rPr>
                <w:rFonts w:asciiTheme="minorBidi" w:hAnsiTheme="minorBidi" w:cstheme="minorBidi"/>
                <w:sz w:val="20"/>
                <w:szCs w:val="20"/>
              </w:rPr>
            </w:pPr>
            <w:r w:rsidRPr="0060543D">
              <w:rPr>
                <w:rFonts w:asciiTheme="minorBidi" w:hAnsiTheme="minorBidi" w:cstheme="minorBidi"/>
                <w:sz w:val="20"/>
                <w:szCs w:val="20"/>
              </w:rPr>
              <w:t>14 h 30 – 17 h 30</w:t>
            </w:r>
          </w:p>
        </w:tc>
        <w:tc>
          <w:tcPr>
            <w:tcW w:w="365" w:type="pct"/>
          </w:tcPr>
          <w:p w14:paraId="22D296C3"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hAnsiTheme="minorBidi" w:cstheme="minorBidi"/>
                <w:sz w:val="20"/>
                <w:szCs w:val="20"/>
              </w:rPr>
              <w:t>6.</w:t>
            </w:r>
          </w:p>
        </w:tc>
        <w:tc>
          <w:tcPr>
            <w:tcW w:w="3399" w:type="pct"/>
            <w:gridSpan w:val="2"/>
          </w:tcPr>
          <w:p w14:paraId="03EE775B" w14:textId="77777777" w:rsidR="00230B28" w:rsidRPr="0060543D" w:rsidRDefault="00230B28" w:rsidP="0028597E">
            <w:pPr>
              <w:adjustRightInd w:val="0"/>
              <w:spacing w:before="60" w:after="60"/>
              <w:jc w:val="both"/>
              <w:rPr>
                <w:rFonts w:asciiTheme="minorBidi" w:eastAsiaTheme="minorEastAsia" w:hAnsiTheme="minorBidi" w:cstheme="minorBidi"/>
                <w:sz w:val="20"/>
                <w:szCs w:val="20"/>
                <w:lang w:eastAsia="ko-KR"/>
              </w:rPr>
            </w:pPr>
            <w:r w:rsidRPr="0060543D">
              <w:rPr>
                <w:rFonts w:asciiTheme="minorBidi" w:hAnsiTheme="minorBidi" w:cstheme="minorBidi"/>
                <w:bCs/>
                <w:snapToGrid w:val="0"/>
                <w:sz w:val="20"/>
                <w:szCs w:val="20"/>
                <w:lang w:eastAsia="en-US"/>
              </w:rPr>
              <w:t>Rapports des États parties</w:t>
            </w:r>
          </w:p>
        </w:tc>
      </w:tr>
      <w:tr w:rsidR="00230B28" w:rsidRPr="00C32BDC" w14:paraId="0EFDC19C" w14:textId="77777777" w:rsidTr="0028597E">
        <w:trPr>
          <w:cantSplit/>
          <w:jc w:val="center"/>
        </w:trPr>
        <w:tc>
          <w:tcPr>
            <w:tcW w:w="1236" w:type="pct"/>
          </w:tcPr>
          <w:p w14:paraId="4BCECC72" w14:textId="77777777" w:rsidR="00230B28" w:rsidRPr="0060543D" w:rsidRDefault="00230B28" w:rsidP="0028597E">
            <w:pPr>
              <w:spacing w:before="60" w:after="60"/>
              <w:ind w:left="567" w:hanging="567"/>
              <w:rPr>
                <w:rFonts w:asciiTheme="minorBidi" w:hAnsiTheme="minorBidi" w:cstheme="minorBidi"/>
                <w:sz w:val="20"/>
                <w:szCs w:val="20"/>
              </w:rPr>
            </w:pPr>
          </w:p>
        </w:tc>
        <w:tc>
          <w:tcPr>
            <w:tcW w:w="365" w:type="pct"/>
          </w:tcPr>
          <w:p w14:paraId="57861A8A"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eastAsiaTheme="minorEastAsia" w:hAnsiTheme="minorBidi" w:cstheme="minorBidi"/>
                <w:sz w:val="20"/>
                <w:szCs w:val="20"/>
                <w:lang w:eastAsia="ko-KR"/>
              </w:rPr>
              <w:t>6</w:t>
            </w:r>
            <w:r w:rsidRPr="0060543D">
              <w:rPr>
                <w:rFonts w:asciiTheme="minorBidi" w:hAnsiTheme="minorBidi" w:cstheme="minorBidi"/>
                <w:sz w:val="20"/>
                <w:szCs w:val="20"/>
              </w:rPr>
              <w:t>.a</w:t>
            </w:r>
          </w:p>
        </w:tc>
        <w:tc>
          <w:tcPr>
            <w:tcW w:w="3399" w:type="pct"/>
            <w:gridSpan w:val="2"/>
          </w:tcPr>
          <w:p w14:paraId="4EB4F3E7" w14:textId="77777777" w:rsidR="00230B28" w:rsidRPr="0060543D" w:rsidRDefault="00230B28" w:rsidP="0028597E">
            <w:pPr>
              <w:adjustRightInd w:val="0"/>
              <w:spacing w:before="60" w:after="60"/>
              <w:jc w:val="both"/>
              <w:rPr>
                <w:rFonts w:asciiTheme="minorBidi" w:eastAsiaTheme="minorEastAsia" w:hAnsiTheme="minorBidi" w:cstheme="minorBidi"/>
                <w:sz w:val="20"/>
                <w:szCs w:val="20"/>
                <w:lang w:eastAsia="ko-KR"/>
              </w:rPr>
            </w:pPr>
            <w:r w:rsidRPr="0060543D">
              <w:rPr>
                <w:rFonts w:asciiTheme="minorBidi" w:hAnsiTheme="minorBidi" w:cstheme="minorBidi"/>
                <w:sz w:val="20"/>
                <w:szCs w:val="20"/>
              </w:rPr>
              <w:t>Examen des rapports des États parties sur l’état actuel des éléments inscrits sur la Liste du patrimoine culturel immatériel nécessitant une sauvegarde urgente</w:t>
            </w:r>
          </w:p>
        </w:tc>
      </w:tr>
      <w:tr w:rsidR="00230B28" w:rsidRPr="00C32BDC" w14:paraId="5A5D1140" w14:textId="77777777" w:rsidTr="0028597E">
        <w:trPr>
          <w:cantSplit/>
          <w:jc w:val="center"/>
        </w:trPr>
        <w:tc>
          <w:tcPr>
            <w:tcW w:w="1236" w:type="pct"/>
          </w:tcPr>
          <w:p w14:paraId="37F9253C" w14:textId="77777777" w:rsidR="00230B28" w:rsidRPr="0060543D" w:rsidRDefault="00230B28" w:rsidP="0028597E">
            <w:pPr>
              <w:spacing w:before="60" w:after="60"/>
              <w:ind w:left="567" w:hanging="567"/>
              <w:rPr>
                <w:rFonts w:asciiTheme="minorBidi" w:hAnsiTheme="minorBidi" w:cstheme="minorBidi"/>
                <w:sz w:val="20"/>
                <w:szCs w:val="20"/>
              </w:rPr>
            </w:pPr>
          </w:p>
        </w:tc>
        <w:tc>
          <w:tcPr>
            <w:tcW w:w="365" w:type="pct"/>
          </w:tcPr>
          <w:p w14:paraId="6C164509"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hAnsiTheme="minorBidi" w:cstheme="minorBidi"/>
                <w:sz w:val="20"/>
                <w:szCs w:val="20"/>
              </w:rPr>
              <w:t>6.b</w:t>
            </w:r>
          </w:p>
        </w:tc>
        <w:tc>
          <w:tcPr>
            <w:tcW w:w="3399" w:type="pct"/>
            <w:gridSpan w:val="2"/>
          </w:tcPr>
          <w:p w14:paraId="2D636D19"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Examen des rapports du premier cycle de rapports périodiques sur la mise en œuvre de la Convention et sur l’état actuel des éléments inscrits sur la Liste représentative du patrimoine culturel immatériel de l’humanité des États parties d’Europe</w:t>
            </w:r>
          </w:p>
        </w:tc>
      </w:tr>
      <w:tr w:rsidR="00230B28" w:rsidRPr="00C32BDC" w14:paraId="6F11377C" w14:textId="77777777" w:rsidTr="0028597E">
        <w:trPr>
          <w:cantSplit/>
          <w:jc w:val="center"/>
        </w:trPr>
        <w:tc>
          <w:tcPr>
            <w:tcW w:w="1236" w:type="pct"/>
          </w:tcPr>
          <w:p w14:paraId="3F6BB4CB" w14:textId="77777777" w:rsidR="00230B28" w:rsidRPr="0060543D" w:rsidRDefault="00230B28" w:rsidP="0028597E">
            <w:pPr>
              <w:spacing w:before="60" w:after="60"/>
              <w:ind w:left="567" w:hanging="567"/>
              <w:rPr>
                <w:rFonts w:asciiTheme="minorBidi" w:hAnsiTheme="minorBidi" w:cstheme="minorBidi"/>
                <w:sz w:val="20"/>
                <w:szCs w:val="20"/>
              </w:rPr>
            </w:pPr>
          </w:p>
        </w:tc>
        <w:tc>
          <w:tcPr>
            <w:tcW w:w="365" w:type="pct"/>
          </w:tcPr>
          <w:p w14:paraId="2203A2D8"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6.c</w:t>
            </w:r>
          </w:p>
        </w:tc>
        <w:tc>
          <w:tcPr>
            <w:tcW w:w="3399" w:type="pct"/>
            <w:gridSpan w:val="2"/>
          </w:tcPr>
          <w:p w14:paraId="008AFCCF"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Point sur le premier cycle de rapports périodiques sur la mise en œuvre de la Convention et sur l’état actuel des éléments inscrits sur la Liste représentative du patrimoine culturel immatériel de l’humanité des États parties d’Amérique latine et des Caraïbes (cycle 2021), des États arabes (cycle 2023) et en Afrique (cycle 2024)</w:t>
            </w:r>
          </w:p>
        </w:tc>
      </w:tr>
      <w:tr w:rsidR="00230B28" w:rsidRPr="00C32BDC" w14:paraId="17C1707E" w14:textId="77777777" w:rsidTr="0028597E">
        <w:trPr>
          <w:cantSplit/>
          <w:jc w:val="center"/>
        </w:trPr>
        <w:tc>
          <w:tcPr>
            <w:tcW w:w="5000" w:type="pct"/>
            <w:gridSpan w:val="4"/>
            <w:shd w:val="clear" w:color="auto" w:fill="BFBFBF"/>
          </w:tcPr>
          <w:p w14:paraId="028A8949" w14:textId="77777777" w:rsidR="00230B28" w:rsidRPr="0060543D" w:rsidRDefault="00230B28" w:rsidP="0028597E">
            <w:pPr>
              <w:keepNext/>
              <w:spacing w:before="60" w:after="60"/>
              <w:rPr>
                <w:rFonts w:asciiTheme="minorBidi" w:eastAsiaTheme="minorEastAsia" w:hAnsiTheme="minorBidi" w:cstheme="minorBidi"/>
                <w:b/>
                <w:sz w:val="20"/>
                <w:szCs w:val="20"/>
                <w:u w:val="single"/>
                <w:lang w:eastAsia="ko-KR"/>
              </w:rPr>
            </w:pPr>
            <w:r w:rsidRPr="0060543D">
              <w:rPr>
                <w:rFonts w:asciiTheme="minorBidi" w:hAnsiTheme="minorBidi" w:cstheme="minorBidi"/>
                <w:b/>
                <w:sz w:val="20"/>
                <w:szCs w:val="20"/>
                <w:u w:val="single"/>
              </w:rPr>
              <w:t>Mardi 29 novembre 2022</w:t>
            </w:r>
          </w:p>
        </w:tc>
      </w:tr>
      <w:tr w:rsidR="00230B28" w:rsidRPr="00C32BDC" w14:paraId="331EBD37" w14:textId="77777777" w:rsidTr="0028597E">
        <w:trPr>
          <w:cantSplit/>
          <w:jc w:val="center"/>
        </w:trPr>
        <w:tc>
          <w:tcPr>
            <w:tcW w:w="1236" w:type="pct"/>
          </w:tcPr>
          <w:p w14:paraId="73054360"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00 – 9 h 30</w:t>
            </w:r>
          </w:p>
        </w:tc>
        <w:tc>
          <w:tcPr>
            <w:tcW w:w="365" w:type="pct"/>
          </w:tcPr>
          <w:p w14:paraId="2BF6B429" w14:textId="77777777" w:rsidR="00230B28" w:rsidRPr="0060543D" w:rsidRDefault="00230B28" w:rsidP="0028597E">
            <w:pPr>
              <w:keepNext/>
              <w:autoSpaceDE w:val="0"/>
              <w:autoSpaceDN w:val="0"/>
              <w:spacing w:before="60" w:after="60"/>
              <w:ind w:left="567" w:hanging="567"/>
              <w:jc w:val="center"/>
              <w:rPr>
                <w:rFonts w:asciiTheme="minorBidi" w:hAnsiTheme="minorBidi" w:cstheme="minorBidi"/>
                <w:snapToGrid w:val="0"/>
                <w:sz w:val="20"/>
                <w:szCs w:val="20"/>
              </w:rPr>
            </w:pPr>
          </w:p>
        </w:tc>
        <w:tc>
          <w:tcPr>
            <w:tcW w:w="3399" w:type="pct"/>
            <w:gridSpan w:val="2"/>
          </w:tcPr>
          <w:p w14:paraId="326A4D28" w14:textId="77777777" w:rsidR="00230B28" w:rsidRPr="0060543D" w:rsidRDefault="00230B28" w:rsidP="0028597E">
            <w:pPr>
              <w:keepNext/>
              <w:autoSpaceDE w:val="0"/>
              <w:autoSpaceDN w:val="0"/>
              <w:spacing w:before="60" w:after="60"/>
              <w:rPr>
                <w:rFonts w:asciiTheme="minorBidi" w:hAnsiTheme="minorBidi" w:cstheme="minorBidi"/>
                <w:sz w:val="20"/>
                <w:szCs w:val="20"/>
              </w:rPr>
            </w:pPr>
            <w:r w:rsidRPr="0060543D">
              <w:rPr>
                <w:rFonts w:asciiTheme="minorBidi" w:hAnsiTheme="minorBidi" w:cstheme="minorBidi"/>
                <w:sz w:val="20"/>
                <w:szCs w:val="20"/>
              </w:rPr>
              <w:t>Réunion du Bureau</w:t>
            </w:r>
          </w:p>
        </w:tc>
      </w:tr>
      <w:tr w:rsidR="00230B28" w:rsidRPr="00C32BDC" w14:paraId="0F182800" w14:textId="77777777" w:rsidTr="0028597E">
        <w:trPr>
          <w:cantSplit/>
          <w:jc w:val="center"/>
        </w:trPr>
        <w:tc>
          <w:tcPr>
            <w:tcW w:w="1236" w:type="pct"/>
          </w:tcPr>
          <w:p w14:paraId="3D4DBDF9"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30 – 12 h 30</w:t>
            </w:r>
          </w:p>
        </w:tc>
        <w:tc>
          <w:tcPr>
            <w:tcW w:w="365" w:type="pct"/>
          </w:tcPr>
          <w:p w14:paraId="6A7DCEDF" w14:textId="77777777" w:rsidR="00230B28" w:rsidRPr="0060543D" w:rsidRDefault="00230B28" w:rsidP="0028597E">
            <w:pPr>
              <w:keepNext/>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6.d</w:t>
            </w:r>
          </w:p>
        </w:tc>
        <w:tc>
          <w:tcPr>
            <w:tcW w:w="3399" w:type="pct"/>
            <w:gridSpan w:val="2"/>
          </w:tcPr>
          <w:p w14:paraId="777643E9" w14:textId="77777777" w:rsidR="00230B28" w:rsidRPr="0060543D" w:rsidRDefault="00230B28" w:rsidP="0028597E">
            <w:pPr>
              <w:keepNext/>
              <w:autoSpaceDE w:val="0"/>
              <w:autoSpaceDN w:val="0"/>
              <w:spacing w:before="60" w:after="60"/>
              <w:jc w:val="both"/>
              <w:rPr>
                <w:rFonts w:asciiTheme="minorBidi" w:hAnsiTheme="minorBidi" w:cstheme="minorBidi"/>
                <w:sz w:val="20"/>
                <w:szCs w:val="20"/>
              </w:rPr>
            </w:pPr>
            <w:r w:rsidRPr="0060543D">
              <w:rPr>
                <w:rFonts w:asciiTheme="minorBidi" w:hAnsiTheme="minorBidi" w:cstheme="minorBidi"/>
                <w:bCs/>
                <w:snapToGrid w:val="0"/>
                <w:sz w:val="20"/>
                <w:szCs w:val="20"/>
                <w:lang w:eastAsia="en-US"/>
              </w:rPr>
              <w:t>Rapports des États parties sur l’utilisation de l’assistance internationale du Fonds du patrimoine culturel immatériel</w:t>
            </w:r>
          </w:p>
        </w:tc>
      </w:tr>
      <w:tr w:rsidR="00230B28" w:rsidRPr="00C32BDC" w14:paraId="4D16C1F6" w14:textId="77777777" w:rsidTr="0028597E">
        <w:trPr>
          <w:cantSplit/>
          <w:jc w:val="center"/>
        </w:trPr>
        <w:tc>
          <w:tcPr>
            <w:tcW w:w="1236" w:type="pct"/>
          </w:tcPr>
          <w:p w14:paraId="2CC34046" w14:textId="77777777" w:rsidR="00230B28" w:rsidRPr="0060543D" w:rsidRDefault="00230B28" w:rsidP="0028597E">
            <w:pPr>
              <w:keepNext/>
              <w:spacing w:before="60" w:after="60"/>
              <w:rPr>
                <w:rFonts w:asciiTheme="minorBidi" w:hAnsiTheme="minorBidi" w:cstheme="minorBidi"/>
                <w:sz w:val="20"/>
                <w:szCs w:val="20"/>
              </w:rPr>
            </w:pPr>
          </w:p>
        </w:tc>
        <w:tc>
          <w:tcPr>
            <w:tcW w:w="365" w:type="pct"/>
          </w:tcPr>
          <w:p w14:paraId="598580B7" w14:textId="77777777" w:rsidR="00230B28" w:rsidRPr="0060543D" w:rsidRDefault="00230B28" w:rsidP="0028597E">
            <w:pPr>
              <w:keepNext/>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w:t>
            </w:r>
          </w:p>
        </w:tc>
        <w:tc>
          <w:tcPr>
            <w:tcW w:w="3399" w:type="pct"/>
            <w:gridSpan w:val="2"/>
          </w:tcPr>
          <w:p w14:paraId="71A7CAAA" w14:textId="77777777" w:rsidR="00230B28" w:rsidRPr="0060543D" w:rsidRDefault="00230B28" w:rsidP="0028597E">
            <w:pPr>
              <w:keepNext/>
              <w:autoSpaceDE w:val="0"/>
              <w:autoSpaceDN w:val="0"/>
              <w:spacing w:before="60" w:after="60"/>
              <w:jc w:val="both"/>
              <w:rPr>
                <w:rFonts w:asciiTheme="minorBidi" w:hAnsiTheme="minorBidi" w:cstheme="minorBidi"/>
                <w:bCs/>
                <w:snapToGrid w:val="0"/>
                <w:sz w:val="20"/>
                <w:szCs w:val="20"/>
                <w:lang w:eastAsia="en-US"/>
              </w:rPr>
            </w:pPr>
            <w:r w:rsidRPr="0060543D">
              <w:rPr>
                <w:rFonts w:asciiTheme="minorBidi" w:hAnsiTheme="minorBidi" w:cstheme="minorBidi"/>
                <w:bCs/>
                <w:snapToGrid w:val="0"/>
                <w:sz w:val="20"/>
                <w:szCs w:val="20"/>
                <w:lang w:eastAsia="en-US"/>
              </w:rPr>
              <w:t>Rapport de l’Organe d’évaluation sur ses travaux en 2022 (Partie I)</w:t>
            </w:r>
          </w:p>
        </w:tc>
      </w:tr>
      <w:tr w:rsidR="00230B28" w:rsidRPr="00C32BDC" w14:paraId="0EC90133" w14:textId="77777777" w:rsidTr="0028597E">
        <w:trPr>
          <w:cantSplit/>
          <w:jc w:val="center"/>
        </w:trPr>
        <w:tc>
          <w:tcPr>
            <w:tcW w:w="1236" w:type="pct"/>
            <w:shd w:val="clear" w:color="auto" w:fill="D9D9D9"/>
          </w:tcPr>
          <w:p w14:paraId="7D1BCAE9"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cPr>
          <w:p w14:paraId="2E4456F7" w14:textId="77777777" w:rsidR="00230B28" w:rsidRPr="0060543D" w:rsidRDefault="00230B28" w:rsidP="0028597E">
            <w:pPr>
              <w:pageBreakBefore/>
              <w:tabs>
                <w:tab w:val="num" w:pos="1080"/>
              </w:tabs>
              <w:autoSpaceDE w:val="0"/>
              <w:autoSpaceDN w:val="0"/>
              <w:spacing w:before="60" w:after="60"/>
              <w:jc w:val="both"/>
              <w:rPr>
                <w:rFonts w:asciiTheme="minorBidi" w:hAnsiTheme="minorBidi" w:cstheme="minorBidi"/>
                <w:sz w:val="20"/>
                <w:szCs w:val="20"/>
              </w:rPr>
            </w:pPr>
            <w:r w:rsidRPr="0060543D">
              <w:rPr>
                <w:rFonts w:asciiTheme="minorBidi" w:hAnsiTheme="minorBidi" w:cstheme="minorBidi"/>
                <w:sz w:val="20"/>
                <w:szCs w:val="20"/>
              </w:rPr>
              <w:t>Pause</w:t>
            </w:r>
          </w:p>
        </w:tc>
      </w:tr>
      <w:tr w:rsidR="00230B28" w:rsidRPr="00C32BDC" w14:paraId="6AB36D01" w14:textId="77777777" w:rsidTr="0028597E">
        <w:trPr>
          <w:cantSplit/>
          <w:jc w:val="center"/>
        </w:trPr>
        <w:tc>
          <w:tcPr>
            <w:tcW w:w="1236" w:type="pct"/>
          </w:tcPr>
          <w:p w14:paraId="503FAF3C"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14 h 30 – 17 h 30</w:t>
            </w:r>
          </w:p>
        </w:tc>
        <w:tc>
          <w:tcPr>
            <w:tcW w:w="380" w:type="pct"/>
            <w:gridSpan w:val="2"/>
          </w:tcPr>
          <w:p w14:paraId="363262FE"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7.a</w:t>
            </w:r>
          </w:p>
        </w:tc>
        <w:tc>
          <w:tcPr>
            <w:tcW w:w="3384" w:type="pct"/>
          </w:tcPr>
          <w:p w14:paraId="460C8E14" w14:textId="77777777" w:rsidR="00230B28" w:rsidRPr="0060543D" w:rsidRDefault="00230B28" w:rsidP="0028597E">
            <w:pPr>
              <w:adjustRightInd w:val="0"/>
              <w:spacing w:before="60" w:after="60"/>
              <w:jc w:val="both"/>
              <w:rPr>
                <w:rFonts w:asciiTheme="minorBidi" w:hAnsiTheme="minorBidi" w:cstheme="minorBidi"/>
                <w:bCs/>
                <w:snapToGrid w:val="0"/>
                <w:sz w:val="20"/>
                <w:szCs w:val="20"/>
                <w:lang w:eastAsia="en-US"/>
              </w:rPr>
            </w:pPr>
            <w:r w:rsidRPr="0060543D">
              <w:rPr>
                <w:rFonts w:asciiTheme="minorBidi" w:eastAsiaTheme="minorEastAsia" w:hAnsiTheme="minorBidi" w:cstheme="minorBidi"/>
                <w:bCs/>
                <w:snapToGrid w:val="0"/>
                <w:sz w:val="20"/>
                <w:szCs w:val="20"/>
                <w:lang w:eastAsia="ko-KR"/>
              </w:rPr>
              <w:t>Examen des candidatures pour inscription sur la Liste du patrimoine culturel immatériel nécessitant une sauvegarde urgente</w:t>
            </w:r>
          </w:p>
        </w:tc>
      </w:tr>
      <w:tr w:rsidR="00230B28" w:rsidRPr="00C32BDC" w14:paraId="2DCE60CC" w14:textId="77777777" w:rsidTr="0028597E">
        <w:trPr>
          <w:cantSplit/>
          <w:jc w:val="center"/>
        </w:trPr>
        <w:tc>
          <w:tcPr>
            <w:tcW w:w="1236" w:type="pct"/>
          </w:tcPr>
          <w:p w14:paraId="0069B41B"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722F2322"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7.b</w:t>
            </w:r>
          </w:p>
        </w:tc>
        <w:tc>
          <w:tcPr>
            <w:tcW w:w="3384" w:type="pct"/>
          </w:tcPr>
          <w:p w14:paraId="1563B974" w14:textId="77777777" w:rsidR="00230B28" w:rsidRPr="0060543D" w:rsidRDefault="00230B28" w:rsidP="0028597E">
            <w:pPr>
              <w:adjustRightInd w:val="0"/>
              <w:spacing w:before="60" w:after="60"/>
              <w:jc w:val="both"/>
              <w:rPr>
                <w:rFonts w:asciiTheme="minorBidi" w:hAnsiTheme="minorBidi" w:cstheme="minorBidi"/>
                <w:bCs/>
                <w:snapToGrid w:val="0"/>
                <w:sz w:val="20"/>
                <w:szCs w:val="20"/>
                <w:lang w:eastAsia="en-US"/>
              </w:rPr>
            </w:pPr>
            <w:r w:rsidRPr="0060543D">
              <w:rPr>
                <w:rFonts w:asciiTheme="minorBidi" w:hAnsiTheme="minorBidi" w:cstheme="minorBidi"/>
                <w:bCs/>
                <w:snapToGrid w:val="0"/>
                <w:sz w:val="20"/>
                <w:szCs w:val="20"/>
                <w:lang w:eastAsia="en-US"/>
              </w:rPr>
              <w:t>Examen des candidatures pour inscription sur la Liste représentative du patrimoine culturel immatériel de l’humanité</w:t>
            </w:r>
          </w:p>
        </w:tc>
      </w:tr>
      <w:tr w:rsidR="00230B28" w:rsidRPr="00C32BDC" w14:paraId="5D303890" w14:textId="77777777" w:rsidTr="0028597E">
        <w:trPr>
          <w:cantSplit/>
          <w:jc w:val="center"/>
        </w:trPr>
        <w:tc>
          <w:tcPr>
            <w:tcW w:w="5000" w:type="pct"/>
            <w:gridSpan w:val="4"/>
            <w:shd w:val="clear" w:color="auto" w:fill="BFBFBF"/>
          </w:tcPr>
          <w:p w14:paraId="61643ACA" w14:textId="77777777" w:rsidR="00230B28" w:rsidRPr="0060543D" w:rsidRDefault="00230B28" w:rsidP="0028597E">
            <w:pPr>
              <w:keepNext/>
              <w:spacing w:before="60" w:after="60"/>
              <w:rPr>
                <w:rFonts w:asciiTheme="minorBidi" w:eastAsiaTheme="minorEastAsia" w:hAnsiTheme="minorBidi" w:cstheme="minorBidi"/>
                <w:b/>
                <w:sz w:val="20"/>
                <w:szCs w:val="20"/>
                <w:u w:val="single"/>
                <w:lang w:eastAsia="ko-KR"/>
              </w:rPr>
            </w:pPr>
            <w:r w:rsidRPr="0060543D">
              <w:rPr>
                <w:rFonts w:asciiTheme="minorBidi" w:hAnsiTheme="minorBidi" w:cstheme="minorBidi"/>
                <w:b/>
                <w:sz w:val="20"/>
                <w:szCs w:val="20"/>
                <w:u w:val="single"/>
              </w:rPr>
              <w:lastRenderedPageBreak/>
              <w:t>Mercredi 30 novembre 2022</w:t>
            </w:r>
          </w:p>
        </w:tc>
      </w:tr>
      <w:tr w:rsidR="00230B28" w:rsidRPr="00C32BDC" w14:paraId="3DACDF65" w14:textId="77777777" w:rsidTr="0028597E">
        <w:trPr>
          <w:cantSplit/>
          <w:jc w:val="center"/>
        </w:trPr>
        <w:tc>
          <w:tcPr>
            <w:tcW w:w="1236" w:type="pct"/>
          </w:tcPr>
          <w:p w14:paraId="1DF6DCB5"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00 – 9 h 30</w:t>
            </w:r>
          </w:p>
        </w:tc>
        <w:tc>
          <w:tcPr>
            <w:tcW w:w="380" w:type="pct"/>
            <w:gridSpan w:val="2"/>
          </w:tcPr>
          <w:p w14:paraId="227DD0EA" w14:textId="77777777" w:rsidR="00230B28" w:rsidRPr="0060543D" w:rsidRDefault="00230B28" w:rsidP="0028597E">
            <w:pPr>
              <w:keepNext/>
              <w:autoSpaceDE w:val="0"/>
              <w:autoSpaceDN w:val="0"/>
              <w:spacing w:before="60" w:after="60"/>
              <w:ind w:left="567" w:hanging="567"/>
              <w:jc w:val="center"/>
              <w:rPr>
                <w:rFonts w:asciiTheme="minorBidi" w:hAnsiTheme="minorBidi" w:cstheme="minorBidi"/>
                <w:snapToGrid w:val="0"/>
                <w:sz w:val="20"/>
                <w:szCs w:val="20"/>
              </w:rPr>
            </w:pPr>
          </w:p>
        </w:tc>
        <w:tc>
          <w:tcPr>
            <w:tcW w:w="3384" w:type="pct"/>
          </w:tcPr>
          <w:p w14:paraId="4FC46D95" w14:textId="77777777" w:rsidR="00230B28" w:rsidRPr="0060543D" w:rsidRDefault="00230B28" w:rsidP="0028597E">
            <w:pPr>
              <w:keepNext/>
              <w:autoSpaceDE w:val="0"/>
              <w:autoSpaceDN w:val="0"/>
              <w:spacing w:before="60" w:after="60"/>
              <w:rPr>
                <w:rFonts w:asciiTheme="minorBidi" w:hAnsiTheme="minorBidi" w:cstheme="minorBidi"/>
                <w:sz w:val="20"/>
                <w:szCs w:val="20"/>
              </w:rPr>
            </w:pPr>
            <w:r w:rsidRPr="0060543D">
              <w:rPr>
                <w:rFonts w:asciiTheme="minorBidi" w:hAnsiTheme="minorBidi" w:cstheme="minorBidi"/>
                <w:sz w:val="20"/>
                <w:szCs w:val="20"/>
              </w:rPr>
              <w:t>Réunion du Bureau</w:t>
            </w:r>
          </w:p>
        </w:tc>
      </w:tr>
      <w:tr w:rsidR="00230B28" w:rsidRPr="00C32BDC" w14:paraId="0A42C976" w14:textId="77777777" w:rsidTr="0028597E">
        <w:trPr>
          <w:cantSplit/>
          <w:jc w:val="center"/>
        </w:trPr>
        <w:tc>
          <w:tcPr>
            <w:tcW w:w="1236" w:type="pct"/>
          </w:tcPr>
          <w:p w14:paraId="2C02FF9B"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30 – 12 h 30</w:t>
            </w:r>
          </w:p>
        </w:tc>
        <w:tc>
          <w:tcPr>
            <w:tcW w:w="380" w:type="pct"/>
            <w:gridSpan w:val="2"/>
          </w:tcPr>
          <w:p w14:paraId="0A14B5F4" w14:textId="77777777" w:rsidR="00230B28" w:rsidRPr="0060543D" w:rsidRDefault="00230B28" w:rsidP="0028597E">
            <w:pPr>
              <w:keepNext/>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7.b</w:t>
            </w:r>
          </w:p>
        </w:tc>
        <w:tc>
          <w:tcPr>
            <w:tcW w:w="3384" w:type="pct"/>
          </w:tcPr>
          <w:p w14:paraId="5795008B" w14:textId="77777777" w:rsidR="00230B28" w:rsidRPr="0060543D" w:rsidRDefault="00230B28" w:rsidP="0028597E">
            <w:pPr>
              <w:keepNext/>
              <w:spacing w:before="60" w:after="60"/>
              <w:jc w:val="both"/>
              <w:rPr>
                <w:rFonts w:asciiTheme="minorBidi" w:hAnsiTheme="minorBidi" w:cstheme="minorBidi"/>
                <w:sz w:val="20"/>
                <w:szCs w:val="20"/>
              </w:rPr>
            </w:pPr>
            <w:r w:rsidRPr="0060543D">
              <w:rPr>
                <w:rFonts w:asciiTheme="minorBidi" w:hAnsiTheme="minorBidi" w:cstheme="minorBidi"/>
                <w:sz w:val="20"/>
                <w:szCs w:val="20"/>
              </w:rPr>
              <w:t>Examen des candidatures pour inscription sur la Liste représentative du patrimoine culturel immatériel de l’humanité</w:t>
            </w:r>
          </w:p>
        </w:tc>
      </w:tr>
      <w:tr w:rsidR="00230B28" w:rsidRPr="00C32BDC" w14:paraId="04793CAF" w14:textId="77777777" w:rsidTr="0028597E">
        <w:trPr>
          <w:cantSplit/>
          <w:jc w:val="center"/>
        </w:trPr>
        <w:tc>
          <w:tcPr>
            <w:tcW w:w="1236" w:type="pct"/>
            <w:shd w:val="clear" w:color="auto" w:fill="D9D9D9"/>
          </w:tcPr>
          <w:p w14:paraId="3F377C19"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cPr>
          <w:p w14:paraId="4EA0A8D1" w14:textId="77777777" w:rsidR="00230B28" w:rsidRPr="0060543D" w:rsidRDefault="00230B28" w:rsidP="0028597E">
            <w:pPr>
              <w:tabs>
                <w:tab w:val="num" w:pos="1080"/>
              </w:tabs>
              <w:autoSpaceDE w:val="0"/>
              <w:autoSpaceDN w:val="0"/>
              <w:spacing w:before="60" w:after="60"/>
              <w:ind w:right="198"/>
              <w:rPr>
                <w:rFonts w:asciiTheme="minorBidi" w:hAnsiTheme="minorBidi" w:cstheme="minorBidi"/>
                <w:sz w:val="20"/>
                <w:szCs w:val="20"/>
              </w:rPr>
            </w:pPr>
            <w:r w:rsidRPr="0060543D">
              <w:rPr>
                <w:rFonts w:asciiTheme="minorBidi" w:eastAsia="SimSun" w:hAnsiTheme="minorBidi" w:cstheme="minorBidi"/>
                <w:bCs/>
                <w:sz w:val="20"/>
                <w:szCs w:val="20"/>
                <w:lang w:eastAsia="zh-CN"/>
              </w:rPr>
              <w:t>Pause</w:t>
            </w:r>
          </w:p>
        </w:tc>
      </w:tr>
      <w:tr w:rsidR="00230B28" w:rsidRPr="00C32BDC" w14:paraId="5A5F8A9F" w14:textId="77777777" w:rsidTr="0028597E">
        <w:trPr>
          <w:cantSplit/>
          <w:jc w:val="center"/>
        </w:trPr>
        <w:tc>
          <w:tcPr>
            <w:tcW w:w="1236" w:type="pct"/>
          </w:tcPr>
          <w:p w14:paraId="3A19C87C" w14:textId="77777777" w:rsidR="00230B28" w:rsidRPr="0060543D" w:rsidRDefault="00230B28" w:rsidP="0028597E">
            <w:pPr>
              <w:spacing w:before="60" w:after="60"/>
              <w:rPr>
                <w:rFonts w:asciiTheme="minorBidi" w:hAnsiTheme="minorBidi" w:cstheme="minorBidi"/>
                <w:b/>
                <w:sz w:val="20"/>
                <w:szCs w:val="20"/>
              </w:rPr>
            </w:pPr>
            <w:r w:rsidRPr="0060543D">
              <w:rPr>
                <w:rFonts w:asciiTheme="minorBidi" w:hAnsiTheme="minorBidi" w:cstheme="minorBidi"/>
                <w:sz w:val="20"/>
                <w:szCs w:val="20"/>
              </w:rPr>
              <w:t>14 h 30 – 17 h 30</w:t>
            </w:r>
          </w:p>
        </w:tc>
        <w:tc>
          <w:tcPr>
            <w:tcW w:w="380" w:type="pct"/>
            <w:gridSpan w:val="2"/>
          </w:tcPr>
          <w:p w14:paraId="0A2D1EC2"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7.b</w:t>
            </w:r>
          </w:p>
        </w:tc>
        <w:tc>
          <w:tcPr>
            <w:tcW w:w="3384" w:type="pct"/>
          </w:tcPr>
          <w:p w14:paraId="0001A690" w14:textId="77777777" w:rsidR="00230B28" w:rsidRPr="0060543D" w:rsidRDefault="00230B28" w:rsidP="0028597E">
            <w:pPr>
              <w:spacing w:before="60" w:after="60"/>
              <w:jc w:val="both"/>
              <w:rPr>
                <w:rFonts w:asciiTheme="minorBidi" w:hAnsiTheme="minorBidi" w:cstheme="minorBidi"/>
                <w:sz w:val="20"/>
                <w:szCs w:val="20"/>
              </w:rPr>
            </w:pPr>
            <w:r w:rsidRPr="0060543D">
              <w:rPr>
                <w:rFonts w:asciiTheme="minorBidi" w:hAnsiTheme="minorBidi" w:cstheme="minorBidi"/>
                <w:sz w:val="20"/>
                <w:szCs w:val="20"/>
              </w:rPr>
              <w:t>Examen des candidatures pour inscription sur la Liste représentative du patrimoine culturel immatériel de l’humanité</w:t>
            </w:r>
          </w:p>
        </w:tc>
      </w:tr>
      <w:tr w:rsidR="00230B28" w:rsidRPr="00C32BDC" w14:paraId="6131B6A0" w14:textId="77777777" w:rsidTr="0028597E">
        <w:trPr>
          <w:cantSplit/>
          <w:jc w:val="center"/>
        </w:trPr>
        <w:tc>
          <w:tcPr>
            <w:tcW w:w="5000" w:type="pct"/>
            <w:gridSpan w:val="4"/>
            <w:shd w:val="clear" w:color="auto" w:fill="BFBFBF"/>
          </w:tcPr>
          <w:p w14:paraId="1E55EB54" w14:textId="77777777" w:rsidR="00230B28" w:rsidRPr="0060543D" w:rsidRDefault="00230B28" w:rsidP="0028597E">
            <w:pPr>
              <w:keepNext/>
              <w:spacing w:before="60" w:after="60"/>
              <w:rPr>
                <w:rFonts w:asciiTheme="minorBidi" w:eastAsiaTheme="minorEastAsia" w:hAnsiTheme="minorBidi" w:cstheme="minorBidi"/>
                <w:b/>
                <w:sz w:val="20"/>
                <w:szCs w:val="20"/>
                <w:u w:val="single"/>
                <w:lang w:eastAsia="ko-KR"/>
              </w:rPr>
            </w:pPr>
            <w:r w:rsidRPr="0060543D">
              <w:rPr>
                <w:rFonts w:asciiTheme="minorBidi" w:hAnsiTheme="minorBidi" w:cstheme="minorBidi"/>
                <w:b/>
                <w:sz w:val="20"/>
                <w:szCs w:val="20"/>
                <w:u w:val="single"/>
              </w:rPr>
              <w:t>Jeudi 1 décembre 2022</w:t>
            </w:r>
          </w:p>
        </w:tc>
      </w:tr>
      <w:tr w:rsidR="00230B28" w:rsidRPr="00C32BDC" w14:paraId="19F6953A" w14:textId="77777777" w:rsidTr="0028597E">
        <w:trPr>
          <w:cantSplit/>
          <w:jc w:val="center"/>
        </w:trPr>
        <w:tc>
          <w:tcPr>
            <w:tcW w:w="1236" w:type="pct"/>
          </w:tcPr>
          <w:p w14:paraId="4B381268"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9 h 00 – 9 h 30</w:t>
            </w:r>
          </w:p>
        </w:tc>
        <w:tc>
          <w:tcPr>
            <w:tcW w:w="380" w:type="pct"/>
            <w:gridSpan w:val="2"/>
          </w:tcPr>
          <w:p w14:paraId="41270A68" w14:textId="77777777" w:rsidR="00230B28" w:rsidRPr="0060543D" w:rsidRDefault="00230B28" w:rsidP="0028597E">
            <w:pPr>
              <w:autoSpaceDE w:val="0"/>
              <w:autoSpaceDN w:val="0"/>
              <w:spacing w:before="60" w:after="60"/>
              <w:ind w:left="567" w:hanging="567"/>
              <w:jc w:val="center"/>
              <w:rPr>
                <w:rFonts w:asciiTheme="minorBidi" w:hAnsiTheme="minorBidi" w:cstheme="minorBidi"/>
                <w:sz w:val="20"/>
                <w:szCs w:val="20"/>
              </w:rPr>
            </w:pPr>
          </w:p>
        </w:tc>
        <w:tc>
          <w:tcPr>
            <w:tcW w:w="3384" w:type="pct"/>
          </w:tcPr>
          <w:p w14:paraId="11C6FD78" w14:textId="77777777" w:rsidR="00230B28" w:rsidRPr="0060543D" w:rsidRDefault="00230B28" w:rsidP="0028597E">
            <w:pPr>
              <w:adjustRightInd w:val="0"/>
              <w:spacing w:before="60" w:after="60"/>
              <w:rPr>
                <w:rFonts w:asciiTheme="minorBidi" w:hAnsiTheme="minorBidi" w:cstheme="minorBidi"/>
                <w:sz w:val="20"/>
                <w:szCs w:val="20"/>
              </w:rPr>
            </w:pPr>
            <w:r w:rsidRPr="0060543D">
              <w:rPr>
                <w:rFonts w:asciiTheme="minorBidi" w:hAnsiTheme="minorBidi" w:cstheme="minorBidi"/>
                <w:sz w:val="20"/>
                <w:szCs w:val="20"/>
              </w:rPr>
              <w:t>Réunion du Bureau</w:t>
            </w:r>
          </w:p>
        </w:tc>
      </w:tr>
      <w:tr w:rsidR="00230B28" w:rsidRPr="00C32BDC" w14:paraId="4935BB5F" w14:textId="77777777" w:rsidTr="0028597E">
        <w:trPr>
          <w:cantSplit/>
          <w:jc w:val="center"/>
        </w:trPr>
        <w:tc>
          <w:tcPr>
            <w:tcW w:w="1236" w:type="pct"/>
          </w:tcPr>
          <w:p w14:paraId="23C78121"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9 h 30 – 12 h 30</w:t>
            </w:r>
          </w:p>
        </w:tc>
        <w:tc>
          <w:tcPr>
            <w:tcW w:w="380" w:type="pct"/>
            <w:gridSpan w:val="2"/>
          </w:tcPr>
          <w:p w14:paraId="37B1852A"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7.b</w:t>
            </w:r>
          </w:p>
        </w:tc>
        <w:tc>
          <w:tcPr>
            <w:tcW w:w="3384" w:type="pct"/>
          </w:tcPr>
          <w:p w14:paraId="304E5C3F"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Examen des candidatures pour inscription sur la Liste représentative du patrimoine culturel immatériel de l’humanité</w:t>
            </w:r>
          </w:p>
        </w:tc>
      </w:tr>
      <w:tr w:rsidR="00230B28" w:rsidRPr="00C32BDC" w14:paraId="40E77B6D" w14:textId="77777777" w:rsidTr="0028597E">
        <w:trPr>
          <w:cantSplit/>
          <w:jc w:val="center"/>
        </w:trPr>
        <w:tc>
          <w:tcPr>
            <w:tcW w:w="1236" w:type="pct"/>
          </w:tcPr>
          <w:p w14:paraId="2D62073A"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24BBFC23"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7.c</w:t>
            </w:r>
          </w:p>
        </w:tc>
        <w:tc>
          <w:tcPr>
            <w:tcW w:w="3384" w:type="pct"/>
          </w:tcPr>
          <w:p w14:paraId="5AC489CE"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Examen des propositions au Registre de bonnes pratiques de sauvegarde</w:t>
            </w:r>
          </w:p>
        </w:tc>
      </w:tr>
      <w:tr w:rsidR="00230B28" w:rsidRPr="00C32BDC" w14:paraId="438771E5" w14:textId="77777777" w:rsidTr="0028597E">
        <w:trPr>
          <w:cantSplit/>
          <w:jc w:val="center"/>
        </w:trPr>
        <w:tc>
          <w:tcPr>
            <w:tcW w:w="1236" w:type="pct"/>
            <w:shd w:val="clear" w:color="auto" w:fill="D9D9D9"/>
          </w:tcPr>
          <w:p w14:paraId="0B76EB67"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cPr>
          <w:p w14:paraId="6C3189FC" w14:textId="77777777" w:rsidR="00230B28" w:rsidRPr="0060543D" w:rsidRDefault="00230B28" w:rsidP="0028597E">
            <w:pPr>
              <w:tabs>
                <w:tab w:val="num" w:pos="1080"/>
              </w:tabs>
              <w:autoSpaceDE w:val="0"/>
              <w:autoSpaceDN w:val="0"/>
              <w:spacing w:before="60" w:after="60"/>
              <w:ind w:right="-2"/>
              <w:jc w:val="both"/>
              <w:rPr>
                <w:rFonts w:asciiTheme="minorBidi" w:hAnsiTheme="minorBidi" w:cstheme="minorBidi"/>
                <w:sz w:val="20"/>
                <w:szCs w:val="20"/>
              </w:rPr>
            </w:pPr>
            <w:r w:rsidRPr="0060543D">
              <w:rPr>
                <w:rFonts w:asciiTheme="minorBidi" w:eastAsia="SimSun" w:hAnsiTheme="minorBidi" w:cstheme="minorBidi"/>
                <w:bCs/>
                <w:sz w:val="20"/>
                <w:szCs w:val="20"/>
                <w:lang w:eastAsia="zh-CN"/>
              </w:rPr>
              <w:t>Pause</w:t>
            </w:r>
          </w:p>
        </w:tc>
      </w:tr>
      <w:tr w:rsidR="00230B28" w:rsidRPr="00C32BDC" w:rsidDel="00E9344D" w14:paraId="62F83C4F" w14:textId="77777777" w:rsidTr="0028597E">
        <w:trPr>
          <w:cantSplit/>
          <w:jc w:val="center"/>
        </w:trPr>
        <w:tc>
          <w:tcPr>
            <w:tcW w:w="1236" w:type="pct"/>
          </w:tcPr>
          <w:p w14:paraId="3E294704"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14 h 30 – 17 h 30</w:t>
            </w:r>
          </w:p>
        </w:tc>
        <w:tc>
          <w:tcPr>
            <w:tcW w:w="380" w:type="pct"/>
            <w:gridSpan w:val="2"/>
          </w:tcPr>
          <w:p w14:paraId="509642B6" w14:textId="77777777" w:rsidR="00230B28" w:rsidRPr="0060543D" w:rsidDel="00E9344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7.d</w:t>
            </w:r>
          </w:p>
        </w:tc>
        <w:tc>
          <w:tcPr>
            <w:tcW w:w="3384" w:type="pct"/>
          </w:tcPr>
          <w:p w14:paraId="2F8A2D4A" w14:textId="77777777" w:rsidR="00230B28" w:rsidRPr="0060543D" w:rsidDel="00E9344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bCs/>
                <w:snapToGrid w:val="0"/>
                <w:sz w:val="20"/>
                <w:szCs w:val="20"/>
                <w:lang w:eastAsia="en-US"/>
              </w:rPr>
              <w:t>Examen des demandes d’assistance internationale</w:t>
            </w:r>
          </w:p>
        </w:tc>
      </w:tr>
      <w:tr w:rsidR="00230B28" w:rsidRPr="00C32BDC" w:rsidDel="00E9344D" w14:paraId="1BDB56AF" w14:textId="77777777" w:rsidTr="0028597E">
        <w:trPr>
          <w:cantSplit/>
          <w:jc w:val="center"/>
        </w:trPr>
        <w:tc>
          <w:tcPr>
            <w:tcW w:w="1236" w:type="pct"/>
          </w:tcPr>
          <w:p w14:paraId="682E8707"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5BFEF9B3"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7.</w:t>
            </w:r>
          </w:p>
        </w:tc>
        <w:tc>
          <w:tcPr>
            <w:tcW w:w="3384" w:type="pct"/>
          </w:tcPr>
          <w:p w14:paraId="5FBE1FEB" w14:textId="77777777" w:rsidR="00230B28" w:rsidRPr="0060543D" w:rsidRDefault="00230B28" w:rsidP="0028597E">
            <w:pPr>
              <w:adjustRightInd w:val="0"/>
              <w:spacing w:before="60" w:after="60"/>
              <w:jc w:val="both"/>
              <w:rPr>
                <w:rFonts w:asciiTheme="minorBidi" w:hAnsiTheme="minorBidi" w:cstheme="minorBidi"/>
                <w:bCs/>
                <w:snapToGrid w:val="0"/>
                <w:sz w:val="20"/>
                <w:szCs w:val="20"/>
                <w:lang w:eastAsia="en-US"/>
              </w:rPr>
            </w:pPr>
            <w:r w:rsidRPr="0060543D">
              <w:rPr>
                <w:rFonts w:asciiTheme="minorBidi" w:hAnsiTheme="minorBidi" w:cstheme="minorBidi"/>
                <w:bCs/>
                <w:snapToGrid w:val="0"/>
                <w:sz w:val="20"/>
                <w:szCs w:val="20"/>
                <w:lang w:eastAsia="en-US"/>
              </w:rPr>
              <w:t>Rapport de l’Organe d’évaluation sur ses travaux en 2022 (Partie II)</w:t>
            </w:r>
          </w:p>
        </w:tc>
      </w:tr>
      <w:tr w:rsidR="00230B28" w:rsidRPr="00C32BDC" w:rsidDel="00E9344D" w14:paraId="29C18BF6" w14:textId="77777777" w:rsidTr="0028597E">
        <w:trPr>
          <w:cantSplit/>
          <w:jc w:val="center"/>
        </w:trPr>
        <w:tc>
          <w:tcPr>
            <w:tcW w:w="1236" w:type="pct"/>
          </w:tcPr>
          <w:p w14:paraId="48994905"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3B932FAA" w14:textId="473655DB" w:rsidR="00230B28" w:rsidRPr="0060543D" w:rsidRDefault="005456B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8</w:t>
            </w:r>
            <w:r w:rsidR="00230B28" w:rsidRPr="0060543D">
              <w:rPr>
                <w:rFonts w:asciiTheme="minorBidi" w:hAnsiTheme="minorBidi" w:cstheme="minorBidi"/>
                <w:sz w:val="20"/>
                <w:szCs w:val="20"/>
              </w:rPr>
              <w:t>.</w:t>
            </w:r>
          </w:p>
        </w:tc>
        <w:tc>
          <w:tcPr>
            <w:tcW w:w="3384" w:type="pct"/>
          </w:tcPr>
          <w:p w14:paraId="18986759" w14:textId="77777777" w:rsidR="00230B28" w:rsidRPr="0060543D" w:rsidRDefault="00230B28" w:rsidP="0028597E">
            <w:pPr>
              <w:adjustRightInd w:val="0"/>
              <w:spacing w:before="60" w:after="60"/>
              <w:jc w:val="both"/>
              <w:rPr>
                <w:rFonts w:asciiTheme="minorBidi" w:hAnsiTheme="minorBidi" w:cstheme="minorBidi"/>
                <w:bCs/>
                <w:snapToGrid w:val="0"/>
                <w:sz w:val="20"/>
                <w:szCs w:val="20"/>
                <w:lang w:eastAsia="en-US"/>
              </w:rPr>
            </w:pPr>
            <w:r w:rsidRPr="0060543D">
              <w:rPr>
                <w:rFonts w:asciiTheme="minorBidi" w:hAnsiTheme="minorBidi" w:cstheme="minorBidi"/>
                <w:sz w:val="20"/>
                <w:szCs w:val="20"/>
              </w:rPr>
              <w:t>Suivi des éléments inscrits sur les listes de la Convention</w:t>
            </w:r>
          </w:p>
        </w:tc>
      </w:tr>
      <w:tr w:rsidR="00230B28" w:rsidRPr="00C32BDC" w:rsidDel="00E9344D" w14:paraId="76C7F52D" w14:textId="77777777" w:rsidTr="0028597E">
        <w:trPr>
          <w:cantSplit/>
          <w:jc w:val="center"/>
        </w:trPr>
        <w:tc>
          <w:tcPr>
            <w:tcW w:w="1236" w:type="pct"/>
          </w:tcPr>
          <w:p w14:paraId="012332EA"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3E64E69E" w14:textId="368433F0" w:rsidR="00230B28" w:rsidRPr="0060543D" w:rsidRDefault="005456B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9</w:t>
            </w:r>
            <w:r w:rsidR="00230B28" w:rsidRPr="0060543D">
              <w:rPr>
                <w:rFonts w:asciiTheme="minorBidi" w:hAnsiTheme="minorBidi" w:cstheme="minorBidi"/>
                <w:sz w:val="20"/>
                <w:szCs w:val="20"/>
              </w:rPr>
              <w:t>.</w:t>
            </w:r>
          </w:p>
        </w:tc>
        <w:tc>
          <w:tcPr>
            <w:tcW w:w="3384" w:type="pct"/>
          </w:tcPr>
          <w:p w14:paraId="3FF00A4D" w14:textId="77777777" w:rsidR="00230B28" w:rsidRPr="0060543D" w:rsidRDefault="00230B28" w:rsidP="0028597E">
            <w:pPr>
              <w:adjustRightInd w:val="0"/>
              <w:spacing w:before="60" w:after="60"/>
              <w:jc w:val="both"/>
              <w:rPr>
                <w:rFonts w:asciiTheme="minorBidi" w:hAnsiTheme="minorBidi" w:cstheme="minorBidi"/>
                <w:bCs/>
                <w:snapToGrid w:val="0"/>
                <w:sz w:val="20"/>
                <w:szCs w:val="20"/>
                <w:lang w:eastAsia="en-US"/>
              </w:rPr>
            </w:pPr>
            <w:r w:rsidRPr="0060543D">
              <w:rPr>
                <w:rFonts w:asciiTheme="minorBidi" w:eastAsiaTheme="minorEastAsia" w:hAnsiTheme="minorBidi" w:cstheme="minorBidi"/>
                <w:sz w:val="20"/>
                <w:szCs w:val="20"/>
                <w:lang w:eastAsia="ko-KR"/>
              </w:rPr>
              <w:t>Rapport du forum des organisations non gouvernementales</w:t>
            </w:r>
          </w:p>
        </w:tc>
      </w:tr>
      <w:tr w:rsidR="00230B28" w:rsidRPr="00C32BDC" w14:paraId="0A4BD976" w14:textId="77777777" w:rsidTr="0028597E">
        <w:trPr>
          <w:cantSplit/>
          <w:jc w:val="center"/>
        </w:trPr>
        <w:tc>
          <w:tcPr>
            <w:tcW w:w="5000" w:type="pct"/>
            <w:gridSpan w:val="4"/>
            <w:shd w:val="clear" w:color="auto" w:fill="BFBFBF"/>
          </w:tcPr>
          <w:p w14:paraId="7015AAF1" w14:textId="77777777" w:rsidR="00230B28" w:rsidRPr="0060543D" w:rsidRDefault="00230B28" w:rsidP="0028597E">
            <w:pPr>
              <w:spacing w:before="60" w:after="60"/>
              <w:rPr>
                <w:rFonts w:asciiTheme="minorBidi" w:eastAsiaTheme="minorEastAsia" w:hAnsiTheme="minorBidi" w:cstheme="minorBidi"/>
                <w:b/>
                <w:sz w:val="20"/>
                <w:szCs w:val="20"/>
                <w:u w:val="single"/>
                <w:lang w:eastAsia="ko-KR"/>
              </w:rPr>
            </w:pPr>
            <w:r w:rsidRPr="0060543D">
              <w:rPr>
                <w:rFonts w:asciiTheme="minorBidi" w:hAnsiTheme="minorBidi" w:cstheme="minorBidi"/>
                <w:b/>
                <w:sz w:val="20"/>
                <w:szCs w:val="20"/>
                <w:u w:val="single"/>
              </w:rPr>
              <w:t>Vendredi 2 décembre 2022</w:t>
            </w:r>
          </w:p>
        </w:tc>
      </w:tr>
      <w:tr w:rsidR="00230B28" w:rsidRPr="00C32BDC" w14:paraId="5672478C" w14:textId="77777777" w:rsidTr="0028597E">
        <w:trPr>
          <w:cantSplit/>
          <w:jc w:val="center"/>
        </w:trPr>
        <w:tc>
          <w:tcPr>
            <w:tcW w:w="1236" w:type="pct"/>
          </w:tcPr>
          <w:p w14:paraId="1AE24BBA"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9 h 00 – 9 h 30</w:t>
            </w:r>
          </w:p>
        </w:tc>
        <w:tc>
          <w:tcPr>
            <w:tcW w:w="380" w:type="pct"/>
            <w:gridSpan w:val="2"/>
          </w:tcPr>
          <w:p w14:paraId="767FD976" w14:textId="77777777" w:rsidR="00230B28" w:rsidRPr="0060543D" w:rsidRDefault="00230B28" w:rsidP="0028597E">
            <w:pPr>
              <w:autoSpaceDE w:val="0"/>
              <w:autoSpaceDN w:val="0"/>
              <w:spacing w:before="60" w:after="60"/>
              <w:ind w:left="567" w:hanging="567"/>
              <w:jc w:val="center"/>
              <w:rPr>
                <w:rFonts w:asciiTheme="minorBidi" w:hAnsiTheme="minorBidi" w:cstheme="minorBidi"/>
                <w:sz w:val="20"/>
                <w:szCs w:val="20"/>
              </w:rPr>
            </w:pPr>
          </w:p>
        </w:tc>
        <w:tc>
          <w:tcPr>
            <w:tcW w:w="3384" w:type="pct"/>
          </w:tcPr>
          <w:p w14:paraId="21C67B3B" w14:textId="77777777" w:rsidR="00230B28" w:rsidRPr="0060543D" w:rsidRDefault="00230B28" w:rsidP="0028597E">
            <w:pPr>
              <w:adjustRightInd w:val="0"/>
              <w:spacing w:before="60" w:after="60"/>
              <w:rPr>
                <w:rFonts w:asciiTheme="minorBidi" w:hAnsiTheme="minorBidi" w:cstheme="minorBidi"/>
                <w:sz w:val="20"/>
                <w:szCs w:val="20"/>
              </w:rPr>
            </w:pPr>
            <w:r w:rsidRPr="0060543D">
              <w:rPr>
                <w:rFonts w:asciiTheme="minorBidi" w:hAnsiTheme="minorBidi" w:cstheme="minorBidi"/>
                <w:sz w:val="20"/>
                <w:szCs w:val="20"/>
              </w:rPr>
              <w:t>Réunion du Bureau</w:t>
            </w:r>
          </w:p>
        </w:tc>
      </w:tr>
      <w:tr w:rsidR="00230B28" w:rsidRPr="00C32BDC" w14:paraId="68DE51F2" w14:textId="77777777" w:rsidTr="0028597E">
        <w:trPr>
          <w:cantSplit/>
          <w:jc w:val="center"/>
        </w:trPr>
        <w:tc>
          <w:tcPr>
            <w:tcW w:w="1236" w:type="pct"/>
          </w:tcPr>
          <w:p w14:paraId="792F99C7"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9 h 30 – 12 h 30</w:t>
            </w:r>
          </w:p>
        </w:tc>
        <w:tc>
          <w:tcPr>
            <w:tcW w:w="380" w:type="pct"/>
            <w:gridSpan w:val="2"/>
          </w:tcPr>
          <w:p w14:paraId="322B51EB" w14:textId="2FC9F023" w:rsidR="00230B28" w:rsidRPr="0060543D" w:rsidRDefault="00230B28" w:rsidP="0028597E">
            <w:pPr>
              <w:autoSpaceDE w:val="0"/>
              <w:autoSpaceDN w:val="0"/>
              <w:spacing w:before="60" w:after="60"/>
              <w:ind w:left="567" w:hanging="567"/>
              <w:jc w:val="right"/>
              <w:rPr>
                <w:rFonts w:asciiTheme="minorBidi" w:hAnsiTheme="minorBidi" w:cstheme="minorBidi"/>
                <w:sz w:val="20"/>
                <w:szCs w:val="20"/>
              </w:rPr>
            </w:pPr>
            <w:r w:rsidRPr="0060543D">
              <w:rPr>
                <w:rFonts w:asciiTheme="minorBidi" w:hAnsiTheme="minorBidi" w:cstheme="minorBidi"/>
                <w:sz w:val="20"/>
                <w:szCs w:val="20"/>
              </w:rPr>
              <w:t>1</w:t>
            </w:r>
            <w:r w:rsidR="005456B8" w:rsidRPr="0060543D">
              <w:rPr>
                <w:rFonts w:asciiTheme="minorBidi" w:hAnsiTheme="minorBidi" w:cstheme="minorBidi"/>
                <w:sz w:val="20"/>
                <w:szCs w:val="20"/>
              </w:rPr>
              <w:t>0</w:t>
            </w:r>
            <w:r w:rsidRPr="0060543D">
              <w:rPr>
                <w:rFonts w:asciiTheme="minorBidi" w:hAnsiTheme="minorBidi" w:cstheme="minorBidi"/>
                <w:sz w:val="20"/>
                <w:szCs w:val="20"/>
              </w:rPr>
              <w:t>.</w:t>
            </w:r>
          </w:p>
        </w:tc>
        <w:tc>
          <w:tcPr>
            <w:tcW w:w="3384" w:type="pct"/>
          </w:tcPr>
          <w:p w14:paraId="42F26A21"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Point sur la réflexion sur la mise en œuvre plus large de l’article 18 de la Convention</w:t>
            </w:r>
          </w:p>
        </w:tc>
      </w:tr>
      <w:tr w:rsidR="00230B28" w:rsidRPr="00C32BDC" w14:paraId="20306A13" w14:textId="77777777" w:rsidTr="0028597E">
        <w:trPr>
          <w:cantSplit/>
          <w:jc w:val="center"/>
        </w:trPr>
        <w:tc>
          <w:tcPr>
            <w:tcW w:w="1236" w:type="pct"/>
          </w:tcPr>
          <w:p w14:paraId="33FAA893"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3221EC51" w14:textId="330787D5" w:rsidR="00230B28" w:rsidRPr="0060543D" w:rsidRDefault="005456B8" w:rsidP="0028597E">
            <w:pPr>
              <w:autoSpaceDE w:val="0"/>
              <w:autoSpaceDN w:val="0"/>
              <w:spacing w:before="60" w:after="60"/>
              <w:ind w:left="567" w:hanging="567"/>
              <w:jc w:val="right"/>
              <w:rPr>
                <w:rFonts w:asciiTheme="minorBidi" w:hAnsiTheme="minorBidi" w:cstheme="minorBidi"/>
                <w:sz w:val="20"/>
                <w:szCs w:val="20"/>
              </w:rPr>
            </w:pPr>
            <w:r w:rsidRPr="0060543D">
              <w:rPr>
                <w:rFonts w:asciiTheme="minorBidi" w:hAnsiTheme="minorBidi" w:cstheme="minorBidi"/>
                <w:sz w:val="20"/>
                <w:szCs w:val="20"/>
              </w:rPr>
              <w:t>11</w:t>
            </w:r>
            <w:r w:rsidR="00230B28" w:rsidRPr="0060543D">
              <w:rPr>
                <w:rFonts w:asciiTheme="minorBidi" w:hAnsiTheme="minorBidi" w:cstheme="minorBidi"/>
                <w:sz w:val="20"/>
                <w:szCs w:val="20"/>
              </w:rPr>
              <w:t>.</w:t>
            </w:r>
          </w:p>
        </w:tc>
        <w:tc>
          <w:tcPr>
            <w:tcW w:w="3384" w:type="pct"/>
          </w:tcPr>
          <w:p w14:paraId="5A739BE4"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eastAsiaTheme="minorEastAsia" w:hAnsiTheme="minorBidi" w:cstheme="minorBidi"/>
                <w:sz w:val="20"/>
                <w:szCs w:val="20"/>
                <w:lang w:eastAsia="ko-KR"/>
              </w:rPr>
              <w:t>Stratégie pour le suivi, l’évaluation et l’identification des enseignements tirés des projets d’assistance internationale</w:t>
            </w:r>
          </w:p>
        </w:tc>
      </w:tr>
      <w:tr w:rsidR="00230B28" w:rsidRPr="00C32BDC" w14:paraId="0C8F2292" w14:textId="77777777" w:rsidTr="0028597E">
        <w:trPr>
          <w:cantSplit/>
          <w:jc w:val="center"/>
        </w:trPr>
        <w:tc>
          <w:tcPr>
            <w:tcW w:w="1236" w:type="pct"/>
            <w:shd w:val="clear" w:color="auto" w:fill="D9D9D9"/>
          </w:tcPr>
          <w:p w14:paraId="7C62121F"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hemeFill="background1" w:themeFillShade="D9"/>
          </w:tcPr>
          <w:p w14:paraId="595E2A71" w14:textId="77777777" w:rsidR="00230B28" w:rsidRPr="0060543D" w:rsidRDefault="00230B28" w:rsidP="0028597E">
            <w:pPr>
              <w:tabs>
                <w:tab w:val="num" w:pos="1080"/>
              </w:tabs>
              <w:autoSpaceDE w:val="0"/>
              <w:autoSpaceDN w:val="0"/>
              <w:spacing w:before="60" w:after="60"/>
              <w:ind w:right="-2"/>
              <w:jc w:val="both"/>
              <w:rPr>
                <w:rFonts w:asciiTheme="minorBidi" w:hAnsiTheme="minorBidi" w:cstheme="minorBidi"/>
                <w:sz w:val="20"/>
                <w:szCs w:val="20"/>
              </w:rPr>
            </w:pPr>
            <w:r w:rsidRPr="0060543D">
              <w:rPr>
                <w:rFonts w:asciiTheme="minorBidi" w:eastAsia="SimSun" w:hAnsiTheme="minorBidi" w:cstheme="minorBidi"/>
                <w:bCs/>
                <w:sz w:val="20"/>
                <w:szCs w:val="20"/>
                <w:lang w:eastAsia="zh-CN"/>
              </w:rPr>
              <w:t>Pause</w:t>
            </w:r>
          </w:p>
        </w:tc>
      </w:tr>
      <w:tr w:rsidR="00230B28" w:rsidRPr="00C32BDC" w14:paraId="4B87C771" w14:textId="77777777" w:rsidTr="0028597E">
        <w:trPr>
          <w:cantSplit/>
          <w:jc w:val="center"/>
        </w:trPr>
        <w:tc>
          <w:tcPr>
            <w:tcW w:w="1236" w:type="pct"/>
          </w:tcPr>
          <w:p w14:paraId="6A2DF5A1"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14 h 30 – 17 h 30</w:t>
            </w:r>
          </w:p>
        </w:tc>
        <w:tc>
          <w:tcPr>
            <w:tcW w:w="365" w:type="pct"/>
          </w:tcPr>
          <w:p w14:paraId="00352358" w14:textId="224B9E92" w:rsidR="00230B28" w:rsidRPr="0060543D" w:rsidRDefault="005456B8" w:rsidP="0028597E">
            <w:pPr>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12</w:t>
            </w:r>
            <w:r w:rsidR="00230B28" w:rsidRPr="0060543D">
              <w:rPr>
                <w:rFonts w:asciiTheme="minorBidi" w:hAnsiTheme="minorBidi" w:cstheme="minorBidi"/>
                <w:sz w:val="20"/>
                <w:szCs w:val="20"/>
              </w:rPr>
              <w:t>.</w:t>
            </w:r>
          </w:p>
        </w:tc>
        <w:tc>
          <w:tcPr>
            <w:tcW w:w="3399" w:type="pct"/>
            <w:gridSpan w:val="2"/>
          </w:tcPr>
          <w:p w14:paraId="11999221" w14:textId="77777777" w:rsidR="00230B28" w:rsidRPr="0060543D" w:rsidRDefault="00230B28" w:rsidP="0028597E">
            <w:pPr>
              <w:spacing w:before="60" w:after="60"/>
              <w:jc w:val="both"/>
              <w:rPr>
                <w:rFonts w:asciiTheme="minorBidi" w:hAnsiTheme="minorBidi" w:cstheme="minorBidi"/>
                <w:bCs/>
                <w:snapToGrid w:val="0"/>
                <w:sz w:val="20"/>
                <w:szCs w:val="20"/>
                <w:lang w:eastAsia="en-US"/>
              </w:rPr>
            </w:pPr>
            <w:r w:rsidRPr="0060543D">
              <w:rPr>
                <w:rFonts w:asciiTheme="minorBidi" w:eastAsiaTheme="minorEastAsia" w:hAnsiTheme="minorBidi" w:cstheme="minorBidi"/>
                <w:sz w:val="20"/>
                <w:szCs w:val="20"/>
                <w:lang w:eastAsia="ko-KR"/>
              </w:rPr>
              <w:t>Fonds du patrimoine culturel immatériel : contributions volontaires supplémentaires et autres questions</w:t>
            </w:r>
          </w:p>
        </w:tc>
      </w:tr>
      <w:tr w:rsidR="00230B28" w:rsidRPr="00C32BDC" w14:paraId="711B5347" w14:textId="77777777" w:rsidTr="0028597E">
        <w:trPr>
          <w:cantSplit/>
          <w:jc w:val="center"/>
        </w:trPr>
        <w:tc>
          <w:tcPr>
            <w:tcW w:w="1236" w:type="pct"/>
          </w:tcPr>
          <w:p w14:paraId="32FB1EE3" w14:textId="77777777" w:rsidR="00230B28" w:rsidRPr="0060543D" w:rsidRDefault="00230B28" w:rsidP="0028597E">
            <w:pPr>
              <w:spacing w:before="60" w:after="60"/>
              <w:rPr>
                <w:rFonts w:asciiTheme="minorBidi" w:hAnsiTheme="minorBidi" w:cstheme="minorBidi"/>
                <w:sz w:val="20"/>
                <w:szCs w:val="20"/>
              </w:rPr>
            </w:pPr>
          </w:p>
        </w:tc>
        <w:tc>
          <w:tcPr>
            <w:tcW w:w="365" w:type="pct"/>
          </w:tcPr>
          <w:p w14:paraId="66DCB88A"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hAnsiTheme="minorBidi" w:cstheme="minorBidi"/>
                <w:sz w:val="20"/>
                <w:szCs w:val="20"/>
              </w:rPr>
              <w:t>13.</w:t>
            </w:r>
          </w:p>
        </w:tc>
        <w:tc>
          <w:tcPr>
            <w:tcW w:w="3399" w:type="pct"/>
            <w:gridSpan w:val="2"/>
          </w:tcPr>
          <w:p w14:paraId="3CA06A50" w14:textId="77777777" w:rsidR="00230B28" w:rsidRPr="0060543D" w:rsidRDefault="00230B28" w:rsidP="0028597E">
            <w:pPr>
              <w:spacing w:before="60" w:after="60"/>
              <w:jc w:val="both"/>
              <w:rPr>
                <w:rFonts w:asciiTheme="minorBidi" w:eastAsiaTheme="minorEastAsia" w:hAnsiTheme="minorBidi" w:cstheme="minorBidi"/>
                <w:bCs/>
                <w:snapToGrid w:val="0"/>
                <w:sz w:val="20"/>
                <w:szCs w:val="20"/>
                <w:lang w:eastAsia="ko-KR"/>
              </w:rPr>
            </w:pPr>
            <w:r w:rsidRPr="0060543D">
              <w:rPr>
                <w:rFonts w:asciiTheme="minorBidi" w:hAnsiTheme="minorBidi" w:cstheme="minorBidi"/>
                <w:sz w:val="20"/>
                <w:szCs w:val="20"/>
              </w:rPr>
              <w:t>Initiatives thématiques sur le patrimoine vivant et le développement durable</w:t>
            </w:r>
          </w:p>
        </w:tc>
      </w:tr>
      <w:tr w:rsidR="00230B28" w:rsidRPr="00C32BDC" w14:paraId="5DA7DF85" w14:textId="77777777" w:rsidTr="0028597E">
        <w:trPr>
          <w:cantSplit/>
          <w:jc w:val="center"/>
        </w:trPr>
        <w:tc>
          <w:tcPr>
            <w:tcW w:w="5000" w:type="pct"/>
            <w:gridSpan w:val="4"/>
            <w:shd w:val="clear" w:color="auto" w:fill="BFBFBF"/>
          </w:tcPr>
          <w:p w14:paraId="4056D14A" w14:textId="77777777" w:rsidR="00230B28" w:rsidRPr="0060543D" w:rsidRDefault="00230B28" w:rsidP="0028597E">
            <w:pPr>
              <w:keepNext/>
              <w:spacing w:before="60" w:after="60"/>
              <w:rPr>
                <w:rFonts w:asciiTheme="minorBidi" w:eastAsiaTheme="minorEastAsia" w:hAnsiTheme="minorBidi" w:cstheme="minorBidi"/>
                <w:b/>
                <w:sz w:val="20"/>
                <w:szCs w:val="20"/>
                <w:u w:val="single"/>
                <w:lang w:eastAsia="ko-KR"/>
              </w:rPr>
            </w:pPr>
            <w:r w:rsidRPr="0060543D">
              <w:rPr>
                <w:rFonts w:asciiTheme="minorBidi" w:hAnsiTheme="minorBidi" w:cstheme="minorBidi"/>
                <w:b/>
                <w:sz w:val="20"/>
                <w:szCs w:val="20"/>
                <w:u w:val="single"/>
              </w:rPr>
              <w:t>Samedi 3 décembre 2022</w:t>
            </w:r>
          </w:p>
        </w:tc>
      </w:tr>
      <w:tr w:rsidR="00230B28" w:rsidRPr="00C32BDC" w14:paraId="2B49F297" w14:textId="77777777" w:rsidTr="0028597E">
        <w:trPr>
          <w:cantSplit/>
          <w:jc w:val="center"/>
        </w:trPr>
        <w:tc>
          <w:tcPr>
            <w:tcW w:w="1236" w:type="pct"/>
          </w:tcPr>
          <w:p w14:paraId="0C36D0C7"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00 – 9 h 30</w:t>
            </w:r>
          </w:p>
        </w:tc>
        <w:tc>
          <w:tcPr>
            <w:tcW w:w="380" w:type="pct"/>
            <w:gridSpan w:val="2"/>
          </w:tcPr>
          <w:p w14:paraId="2DF42581" w14:textId="77777777" w:rsidR="00230B28" w:rsidRPr="0060543D" w:rsidRDefault="00230B28" w:rsidP="0028597E">
            <w:pPr>
              <w:keepNext/>
              <w:autoSpaceDE w:val="0"/>
              <w:autoSpaceDN w:val="0"/>
              <w:spacing w:before="60" w:after="60"/>
              <w:ind w:left="567" w:hanging="567"/>
              <w:jc w:val="center"/>
              <w:rPr>
                <w:rFonts w:asciiTheme="minorBidi" w:hAnsiTheme="minorBidi" w:cstheme="minorBidi"/>
                <w:sz w:val="20"/>
                <w:szCs w:val="20"/>
              </w:rPr>
            </w:pPr>
          </w:p>
        </w:tc>
        <w:tc>
          <w:tcPr>
            <w:tcW w:w="3384" w:type="pct"/>
          </w:tcPr>
          <w:p w14:paraId="0A4F9D15" w14:textId="77777777" w:rsidR="00230B28" w:rsidRPr="0060543D" w:rsidRDefault="00230B28" w:rsidP="0028597E">
            <w:pPr>
              <w:keepNext/>
              <w:adjustRightInd w:val="0"/>
              <w:spacing w:before="60" w:after="60"/>
              <w:rPr>
                <w:rFonts w:asciiTheme="minorBidi" w:hAnsiTheme="minorBidi" w:cstheme="minorBidi"/>
                <w:sz w:val="20"/>
                <w:szCs w:val="20"/>
              </w:rPr>
            </w:pPr>
            <w:r w:rsidRPr="0060543D">
              <w:rPr>
                <w:rFonts w:asciiTheme="minorBidi" w:hAnsiTheme="minorBidi" w:cstheme="minorBidi"/>
                <w:sz w:val="20"/>
                <w:szCs w:val="20"/>
              </w:rPr>
              <w:t>Réunion du Bureau</w:t>
            </w:r>
          </w:p>
        </w:tc>
      </w:tr>
      <w:tr w:rsidR="00230B28" w:rsidRPr="00C32BDC" w14:paraId="3CB7D8EC" w14:textId="77777777" w:rsidTr="0028597E">
        <w:trPr>
          <w:cantSplit/>
          <w:jc w:val="center"/>
        </w:trPr>
        <w:tc>
          <w:tcPr>
            <w:tcW w:w="1236" w:type="pct"/>
          </w:tcPr>
          <w:p w14:paraId="4EEC5B07" w14:textId="77777777" w:rsidR="00230B28" w:rsidRPr="0060543D" w:rsidRDefault="00230B28" w:rsidP="0028597E">
            <w:pPr>
              <w:keepNext/>
              <w:spacing w:before="60" w:after="60"/>
              <w:rPr>
                <w:rFonts w:asciiTheme="minorBidi" w:hAnsiTheme="minorBidi" w:cstheme="minorBidi"/>
                <w:sz w:val="20"/>
                <w:szCs w:val="20"/>
              </w:rPr>
            </w:pPr>
            <w:r w:rsidRPr="0060543D">
              <w:rPr>
                <w:rFonts w:asciiTheme="minorBidi" w:hAnsiTheme="minorBidi" w:cstheme="minorBidi"/>
                <w:sz w:val="20"/>
                <w:szCs w:val="20"/>
              </w:rPr>
              <w:t>9 h 30 – 12 h 30</w:t>
            </w:r>
          </w:p>
        </w:tc>
        <w:tc>
          <w:tcPr>
            <w:tcW w:w="380" w:type="pct"/>
            <w:gridSpan w:val="2"/>
          </w:tcPr>
          <w:p w14:paraId="5C6D0304" w14:textId="77777777" w:rsidR="00230B28" w:rsidRPr="0060543D" w:rsidRDefault="00230B28" w:rsidP="0028597E">
            <w:pPr>
              <w:keepNext/>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hAnsiTheme="minorBidi" w:cstheme="minorBidi"/>
                <w:sz w:val="20"/>
                <w:szCs w:val="20"/>
              </w:rPr>
              <w:t>14.</w:t>
            </w:r>
          </w:p>
        </w:tc>
        <w:tc>
          <w:tcPr>
            <w:tcW w:w="3384" w:type="pct"/>
          </w:tcPr>
          <w:p w14:paraId="5D19AABC" w14:textId="77777777" w:rsidR="00230B28" w:rsidRPr="0060543D" w:rsidRDefault="00230B28" w:rsidP="0028597E">
            <w:pPr>
              <w:keepNext/>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Établissement de l’Organe d’évaluation pour le cycle 2023 (Partie I)</w:t>
            </w:r>
          </w:p>
        </w:tc>
      </w:tr>
      <w:tr w:rsidR="00230B28" w:rsidRPr="00C32BDC" w14:paraId="4E841ACC" w14:textId="77777777" w:rsidTr="0028597E">
        <w:trPr>
          <w:cantSplit/>
          <w:jc w:val="center"/>
        </w:trPr>
        <w:tc>
          <w:tcPr>
            <w:tcW w:w="1236" w:type="pct"/>
          </w:tcPr>
          <w:p w14:paraId="74099B6A" w14:textId="77777777" w:rsidR="00230B28" w:rsidRPr="0060543D" w:rsidRDefault="00230B28" w:rsidP="0028597E">
            <w:pPr>
              <w:keepNext/>
              <w:spacing w:before="60" w:after="60"/>
              <w:rPr>
                <w:rFonts w:asciiTheme="minorBidi" w:hAnsiTheme="minorBidi" w:cstheme="minorBidi"/>
                <w:sz w:val="20"/>
                <w:szCs w:val="20"/>
              </w:rPr>
            </w:pPr>
          </w:p>
        </w:tc>
        <w:tc>
          <w:tcPr>
            <w:tcW w:w="380" w:type="pct"/>
            <w:gridSpan w:val="2"/>
          </w:tcPr>
          <w:p w14:paraId="2F9C2EDD" w14:textId="77777777" w:rsidR="00230B28" w:rsidRPr="0060543D" w:rsidRDefault="00230B28" w:rsidP="0028597E">
            <w:pPr>
              <w:keepNext/>
              <w:tabs>
                <w:tab w:val="decimal" w:pos="284"/>
              </w:tabs>
              <w:spacing w:before="60" w:after="60"/>
              <w:jc w:val="right"/>
              <w:rPr>
                <w:rFonts w:asciiTheme="minorBidi" w:hAnsiTheme="minorBidi" w:cstheme="minorBidi"/>
                <w:sz w:val="20"/>
                <w:szCs w:val="20"/>
              </w:rPr>
            </w:pPr>
            <w:r w:rsidRPr="0060543D">
              <w:rPr>
                <w:rFonts w:asciiTheme="minorBidi" w:hAnsiTheme="minorBidi" w:cstheme="minorBidi"/>
                <w:sz w:val="20"/>
                <w:szCs w:val="20"/>
              </w:rPr>
              <w:t>15.</w:t>
            </w:r>
          </w:p>
        </w:tc>
        <w:tc>
          <w:tcPr>
            <w:tcW w:w="3384" w:type="pct"/>
          </w:tcPr>
          <w:p w14:paraId="15BEA9C8" w14:textId="77777777" w:rsidR="00230B28" w:rsidRPr="0060543D" w:rsidRDefault="00230B28" w:rsidP="0028597E">
            <w:pPr>
              <w:keepNext/>
              <w:adjustRightInd w:val="0"/>
              <w:spacing w:before="60" w:after="60"/>
              <w:jc w:val="both"/>
              <w:rPr>
                <w:rFonts w:asciiTheme="minorBidi" w:hAnsiTheme="minorBidi" w:cstheme="minorBidi"/>
                <w:sz w:val="20"/>
                <w:szCs w:val="20"/>
              </w:rPr>
            </w:pPr>
            <w:r w:rsidRPr="0060543D">
              <w:rPr>
                <w:rFonts w:asciiTheme="minorBidi" w:eastAsiaTheme="minorEastAsia" w:hAnsiTheme="minorBidi" w:cstheme="minorBidi"/>
                <w:bCs/>
                <w:snapToGrid w:val="0"/>
                <w:sz w:val="20"/>
                <w:szCs w:val="20"/>
                <w:lang w:eastAsia="ko-KR"/>
              </w:rPr>
              <w:t>Nombre de dossiers soumis pour les cycles 2022 et 2023 et nombre de dossiers pouvant être traités pour les cycles 2024 et 2025</w:t>
            </w:r>
          </w:p>
        </w:tc>
      </w:tr>
      <w:tr w:rsidR="00230B28" w:rsidRPr="00C32BDC" w14:paraId="1957800F" w14:textId="77777777" w:rsidTr="0028597E">
        <w:trPr>
          <w:cantSplit/>
          <w:jc w:val="center"/>
        </w:trPr>
        <w:tc>
          <w:tcPr>
            <w:tcW w:w="1236" w:type="pct"/>
          </w:tcPr>
          <w:p w14:paraId="3D04E657" w14:textId="77777777" w:rsidR="00230B28" w:rsidRPr="0060543D" w:rsidRDefault="00230B28" w:rsidP="005456B8">
            <w:pPr>
              <w:spacing w:before="60" w:after="60"/>
              <w:rPr>
                <w:rFonts w:asciiTheme="minorBidi" w:hAnsiTheme="minorBidi" w:cstheme="minorBidi"/>
                <w:sz w:val="20"/>
                <w:szCs w:val="20"/>
              </w:rPr>
            </w:pPr>
          </w:p>
        </w:tc>
        <w:tc>
          <w:tcPr>
            <w:tcW w:w="380" w:type="pct"/>
            <w:gridSpan w:val="2"/>
          </w:tcPr>
          <w:p w14:paraId="00057678" w14:textId="77777777" w:rsidR="00230B28" w:rsidRPr="0060543D" w:rsidRDefault="00230B28" w:rsidP="005456B8">
            <w:pPr>
              <w:tabs>
                <w:tab w:val="decimal" w:pos="284"/>
              </w:tabs>
              <w:spacing w:before="60" w:after="60"/>
              <w:jc w:val="right"/>
              <w:rPr>
                <w:rFonts w:asciiTheme="minorBidi" w:hAnsiTheme="minorBidi" w:cstheme="minorBidi"/>
                <w:sz w:val="20"/>
                <w:szCs w:val="20"/>
              </w:rPr>
            </w:pPr>
            <w:r w:rsidRPr="0060543D">
              <w:rPr>
                <w:rFonts w:asciiTheme="minorBidi" w:eastAsiaTheme="minorEastAsia" w:hAnsiTheme="minorBidi" w:cstheme="minorBidi"/>
                <w:sz w:val="20"/>
                <w:szCs w:val="20"/>
                <w:lang w:eastAsia="ko-KR"/>
              </w:rPr>
              <w:t>16.</w:t>
            </w:r>
          </w:p>
        </w:tc>
        <w:tc>
          <w:tcPr>
            <w:tcW w:w="3384" w:type="pct"/>
          </w:tcPr>
          <w:p w14:paraId="6C9E8B6B" w14:textId="77777777" w:rsidR="00230B28" w:rsidRPr="0060543D" w:rsidRDefault="00230B28" w:rsidP="005456B8">
            <w:pPr>
              <w:adjustRightInd w:val="0"/>
              <w:spacing w:before="60" w:after="60"/>
              <w:jc w:val="both"/>
              <w:rPr>
                <w:rFonts w:asciiTheme="minorBidi" w:hAnsiTheme="minorBidi" w:cstheme="minorBidi"/>
                <w:sz w:val="20"/>
                <w:szCs w:val="20"/>
              </w:rPr>
            </w:pPr>
            <w:r w:rsidRPr="0060543D">
              <w:rPr>
                <w:rFonts w:asciiTheme="minorBidi" w:eastAsiaTheme="minorEastAsia" w:hAnsiTheme="minorBidi" w:cstheme="minorBidi"/>
                <w:bCs/>
                <w:snapToGrid w:val="0"/>
                <w:sz w:val="20"/>
                <w:szCs w:val="20"/>
                <w:lang w:eastAsia="ko-KR"/>
              </w:rPr>
              <w:t>Date et lieu de la dix-huitième session du Comité</w:t>
            </w:r>
          </w:p>
        </w:tc>
      </w:tr>
      <w:tr w:rsidR="00230B28" w:rsidRPr="00C32BDC" w14:paraId="011E25F1" w14:textId="77777777" w:rsidTr="0028597E">
        <w:trPr>
          <w:cantSplit/>
          <w:jc w:val="center"/>
        </w:trPr>
        <w:tc>
          <w:tcPr>
            <w:tcW w:w="1236" w:type="pct"/>
            <w:shd w:val="clear" w:color="auto" w:fill="D9D9D9" w:themeFill="background1" w:themeFillShade="D9"/>
          </w:tcPr>
          <w:p w14:paraId="4CD88E59"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12 h 30 – 14 h 30</w:t>
            </w:r>
          </w:p>
        </w:tc>
        <w:tc>
          <w:tcPr>
            <w:tcW w:w="3764" w:type="pct"/>
            <w:gridSpan w:val="3"/>
            <w:shd w:val="clear" w:color="auto" w:fill="D9D9D9" w:themeFill="background1" w:themeFillShade="D9"/>
          </w:tcPr>
          <w:p w14:paraId="2AD9D070"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hAnsiTheme="minorBidi" w:cstheme="minorBidi"/>
                <w:sz w:val="20"/>
                <w:szCs w:val="20"/>
              </w:rPr>
              <w:t>Pause</w:t>
            </w:r>
          </w:p>
        </w:tc>
      </w:tr>
      <w:tr w:rsidR="00230B28" w:rsidRPr="00C32BDC" w14:paraId="14E015F4" w14:textId="77777777" w:rsidTr="0028597E">
        <w:trPr>
          <w:cantSplit/>
          <w:jc w:val="center"/>
        </w:trPr>
        <w:tc>
          <w:tcPr>
            <w:tcW w:w="1236" w:type="pct"/>
          </w:tcPr>
          <w:p w14:paraId="7CA24C70" w14:textId="77777777" w:rsidR="00230B28" w:rsidRPr="0060543D" w:rsidRDefault="00230B28" w:rsidP="0028597E">
            <w:pPr>
              <w:spacing w:before="60" w:after="60"/>
              <w:rPr>
                <w:rFonts w:asciiTheme="minorBidi" w:hAnsiTheme="minorBidi" w:cstheme="minorBidi"/>
                <w:sz w:val="20"/>
                <w:szCs w:val="20"/>
              </w:rPr>
            </w:pPr>
            <w:r w:rsidRPr="0060543D">
              <w:rPr>
                <w:rFonts w:asciiTheme="minorBidi" w:hAnsiTheme="minorBidi" w:cstheme="minorBidi"/>
                <w:sz w:val="20"/>
                <w:szCs w:val="20"/>
              </w:rPr>
              <w:t>14 h 30 – 17 h 30</w:t>
            </w:r>
          </w:p>
        </w:tc>
        <w:tc>
          <w:tcPr>
            <w:tcW w:w="380" w:type="pct"/>
            <w:gridSpan w:val="2"/>
          </w:tcPr>
          <w:p w14:paraId="795B663D" w14:textId="77777777" w:rsidR="00230B28" w:rsidRPr="0060543D" w:rsidRDefault="00230B28" w:rsidP="0028597E">
            <w:pPr>
              <w:tabs>
                <w:tab w:val="decimal" w:pos="284"/>
              </w:tabs>
              <w:spacing w:before="60" w:after="60"/>
              <w:jc w:val="right"/>
              <w:rPr>
                <w:rFonts w:asciiTheme="minorBidi" w:hAnsiTheme="minorBidi" w:cstheme="minorBidi"/>
                <w:sz w:val="20"/>
                <w:szCs w:val="20"/>
              </w:rPr>
            </w:pPr>
            <w:r w:rsidRPr="0060543D">
              <w:rPr>
                <w:rFonts w:asciiTheme="minorBidi" w:eastAsiaTheme="minorEastAsia" w:hAnsiTheme="minorBidi" w:cstheme="minorBidi"/>
                <w:sz w:val="20"/>
                <w:szCs w:val="20"/>
                <w:lang w:eastAsia="ko-KR"/>
              </w:rPr>
              <w:t>17.</w:t>
            </w:r>
          </w:p>
        </w:tc>
        <w:tc>
          <w:tcPr>
            <w:tcW w:w="3384" w:type="pct"/>
          </w:tcPr>
          <w:p w14:paraId="426E19C9" w14:textId="77777777" w:rsidR="00230B28" w:rsidRPr="0060543D" w:rsidRDefault="00230B28" w:rsidP="0028597E">
            <w:pPr>
              <w:adjustRightInd w:val="0"/>
              <w:spacing w:before="60" w:after="60"/>
              <w:jc w:val="both"/>
              <w:rPr>
                <w:rFonts w:asciiTheme="minorBidi" w:hAnsiTheme="minorBidi" w:cstheme="minorBidi"/>
                <w:sz w:val="20"/>
                <w:szCs w:val="20"/>
              </w:rPr>
            </w:pPr>
            <w:r w:rsidRPr="0060543D">
              <w:rPr>
                <w:rFonts w:asciiTheme="minorBidi" w:eastAsiaTheme="minorEastAsia" w:hAnsiTheme="minorBidi" w:cstheme="minorBidi"/>
                <w:bCs/>
                <w:snapToGrid w:val="0"/>
                <w:sz w:val="20"/>
                <w:szCs w:val="20"/>
                <w:lang w:eastAsia="ko-KR"/>
              </w:rPr>
              <w:t>Élection des membres du Bureau de la dix-huitième session du Comité</w:t>
            </w:r>
          </w:p>
        </w:tc>
      </w:tr>
      <w:tr w:rsidR="00230B28" w:rsidRPr="00C32BDC" w14:paraId="6630DF07" w14:textId="77777777" w:rsidTr="0028597E">
        <w:trPr>
          <w:cantSplit/>
          <w:jc w:val="center"/>
        </w:trPr>
        <w:tc>
          <w:tcPr>
            <w:tcW w:w="1236" w:type="pct"/>
          </w:tcPr>
          <w:p w14:paraId="73B6F4A0"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4CD386CD"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eastAsiaTheme="minorEastAsia" w:hAnsiTheme="minorBidi" w:cstheme="minorBidi"/>
                <w:sz w:val="20"/>
                <w:szCs w:val="20"/>
                <w:lang w:eastAsia="ko-KR"/>
              </w:rPr>
              <w:t>14.</w:t>
            </w:r>
          </w:p>
        </w:tc>
        <w:tc>
          <w:tcPr>
            <w:tcW w:w="3384" w:type="pct"/>
          </w:tcPr>
          <w:p w14:paraId="69E736DE" w14:textId="77777777" w:rsidR="00230B28" w:rsidRPr="0060543D" w:rsidRDefault="00230B28" w:rsidP="0028597E">
            <w:pPr>
              <w:adjustRightInd w:val="0"/>
              <w:spacing w:before="60" w:after="60"/>
              <w:jc w:val="both"/>
              <w:rPr>
                <w:rFonts w:asciiTheme="minorBidi" w:eastAsiaTheme="minorEastAsia" w:hAnsiTheme="minorBidi" w:cstheme="minorBidi"/>
                <w:bCs/>
                <w:snapToGrid w:val="0"/>
                <w:sz w:val="20"/>
                <w:szCs w:val="20"/>
                <w:lang w:eastAsia="ko-KR"/>
              </w:rPr>
            </w:pPr>
            <w:r w:rsidRPr="0060543D">
              <w:rPr>
                <w:rFonts w:asciiTheme="minorBidi" w:hAnsiTheme="minorBidi" w:cstheme="minorBidi"/>
                <w:sz w:val="20"/>
                <w:szCs w:val="20"/>
              </w:rPr>
              <w:t>Établissement de l’Organe d’évaluation pour le cycle 2023 (Partie II)</w:t>
            </w:r>
          </w:p>
        </w:tc>
      </w:tr>
      <w:tr w:rsidR="00230B28" w:rsidRPr="00C32BDC" w14:paraId="1FBE1099" w14:textId="77777777" w:rsidTr="0028597E">
        <w:trPr>
          <w:cantSplit/>
          <w:jc w:val="center"/>
        </w:trPr>
        <w:tc>
          <w:tcPr>
            <w:tcW w:w="1236" w:type="pct"/>
          </w:tcPr>
          <w:p w14:paraId="7BE8FD76"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3450839D"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eastAsiaTheme="minorEastAsia" w:hAnsiTheme="minorBidi" w:cstheme="minorBidi"/>
                <w:sz w:val="20"/>
                <w:szCs w:val="20"/>
                <w:lang w:eastAsia="ko-KR"/>
              </w:rPr>
              <w:t>18.</w:t>
            </w:r>
          </w:p>
        </w:tc>
        <w:tc>
          <w:tcPr>
            <w:tcW w:w="3384" w:type="pct"/>
          </w:tcPr>
          <w:p w14:paraId="0FD5FFAC" w14:textId="77777777" w:rsidR="00230B28" w:rsidRPr="0060543D" w:rsidRDefault="00230B28" w:rsidP="0028597E">
            <w:pPr>
              <w:adjustRightInd w:val="0"/>
              <w:spacing w:before="60" w:after="60"/>
              <w:jc w:val="both"/>
              <w:rPr>
                <w:rFonts w:asciiTheme="minorBidi" w:eastAsiaTheme="minorEastAsia" w:hAnsiTheme="minorBidi" w:cstheme="minorBidi"/>
                <w:bCs/>
                <w:snapToGrid w:val="0"/>
                <w:sz w:val="20"/>
                <w:szCs w:val="20"/>
                <w:lang w:eastAsia="ko-KR"/>
              </w:rPr>
            </w:pPr>
            <w:r w:rsidRPr="0060543D">
              <w:rPr>
                <w:rFonts w:asciiTheme="minorBidi" w:hAnsiTheme="minorBidi" w:cstheme="minorBidi"/>
                <w:sz w:val="20"/>
                <w:szCs w:val="20"/>
              </w:rPr>
              <w:t>Questions diverses</w:t>
            </w:r>
          </w:p>
        </w:tc>
      </w:tr>
      <w:tr w:rsidR="00230B28" w:rsidRPr="00C32BDC" w14:paraId="6C461DB9" w14:textId="77777777" w:rsidTr="0028597E">
        <w:trPr>
          <w:cantSplit/>
          <w:jc w:val="center"/>
        </w:trPr>
        <w:tc>
          <w:tcPr>
            <w:tcW w:w="1236" w:type="pct"/>
          </w:tcPr>
          <w:p w14:paraId="598F9060"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73A2A80F"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eastAsiaTheme="minorEastAsia" w:hAnsiTheme="minorBidi" w:cstheme="minorBidi"/>
                <w:sz w:val="20"/>
                <w:szCs w:val="20"/>
                <w:lang w:eastAsia="ko-KR"/>
              </w:rPr>
              <w:t>19.</w:t>
            </w:r>
          </w:p>
        </w:tc>
        <w:tc>
          <w:tcPr>
            <w:tcW w:w="3384" w:type="pct"/>
          </w:tcPr>
          <w:p w14:paraId="42164AF3" w14:textId="77777777" w:rsidR="00230B28" w:rsidRPr="0060543D" w:rsidRDefault="00230B28" w:rsidP="0028597E">
            <w:pPr>
              <w:adjustRightInd w:val="0"/>
              <w:spacing w:before="60" w:after="60"/>
              <w:jc w:val="both"/>
              <w:rPr>
                <w:rFonts w:asciiTheme="minorBidi" w:eastAsiaTheme="minorEastAsia" w:hAnsiTheme="minorBidi" w:cstheme="minorBidi"/>
                <w:bCs/>
                <w:snapToGrid w:val="0"/>
                <w:sz w:val="20"/>
                <w:szCs w:val="20"/>
                <w:lang w:eastAsia="ko-KR"/>
              </w:rPr>
            </w:pPr>
            <w:r w:rsidRPr="0060543D">
              <w:rPr>
                <w:rFonts w:asciiTheme="minorBidi" w:hAnsiTheme="minorBidi" w:cstheme="minorBidi"/>
                <w:sz w:val="20"/>
                <w:szCs w:val="20"/>
              </w:rPr>
              <w:t>Adoption de la liste des décisions</w:t>
            </w:r>
          </w:p>
        </w:tc>
      </w:tr>
      <w:tr w:rsidR="00230B28" w:rsidRPr="00C32BDC" w14:paraId="57DE19A5" w14:textId="77777777" w:rsidTr="0028597E">
        <w:trPr>
          <w:cantSplit/>
          <w:jc w:val="center"/>
        </w:trPr>
        <w:tc>
          <w:tcPr>
            <w:tcW w:w="1236" w:type="pct"/>
          </w:tcPr>
          <w:p w14:paraId="58EF2D0E" w14:textId="77777777" w:rsidR="00230B28" w:rsidRPr="0060543D" w:rsidRDefault="00230B28" w:rsidP="0028597E">
            <w:pPr>
              <w:spacing w:before="60" w:after="60"/>
              <w:rPr>
                <w:rFonts w:asciiTheme="minorBidi" w:hAnsiTheme="minorBidi" w:cstheme="minorBidi"/>
                <w:sz w:val="20"/>
                <w:szCs w:val="20"/>
              </w:rPr>
            </w:pPr>
          </w:p>
        </w:tc>
        <w:tc>
          <w:tcPr>
            <w:tcW w:w="380" w:type="pct"/>
            <w:gridSpan w:val="2"/>
          </w:tcPr>
          <w:p w14:paraId="6AA04CD2" w14:textId="77777777" w:rsidR="00230B28" w:rsidRPr="0060543D" w:rsidRDefault="00230B28" w:rsidP="0028597E">
            <w:pPr>
              <w:tabs>
                <w:tab w:val="decimal" w:pos="284"/>
              </w:tabs>
              <w:spacing w:before="60" w:after="60"/>
              <w:jc w:val="right"/>
              <w:rPr>
                <w:rFonts w:asciiTheme="minorBidi" w:eastAsiaTheme="minorEastAsia" w:hAnsiTheme="minorBidi" w:cstheme="minorBidi"/>
                <w:sz w:val="20"/>
                <w:szCs w:val="20"/>
                <w:lang w:eastAsia="ko-KR"/>
              </w:rPr>
            </w:pPr>
            <w:r w:rsidRPr="0060543D">
              <w:rPr>
                <w:rFonts w:asciiTheme="minorBidi" w:eastAsiaTheme="minorEastAsia" w:hAnsiTheme="minorBidi" w:cstheme="minorBidi"/>
                <w:sz w:val="20"/>
                <w:szCs w:val="20"/>
                <w:lang w:eastAsia="ko-KR"/>
              </w:rPr>
              <w:t>20.</w:t>
            </w:r>
          </w:p>
        </w:tc>
        <w:tc>
          <w:tcPr>
            <w:tcW w:w="3384" w:type="pct"/>
          </w:tcPr>
          <w:p w14:paraId="22B01338" w14:textId="77777777" w:rsidR="00230B28" w:rsidRPr="0060543D" w:rsidRDefault="00230B28" w:rsidP="0028597E">
            <w:pPr>
              <w:adjustRightInd w:val="0"/>
              <w:spacing w:before="60" w:after="60"/>
              <w:jc w:val="both"/>
              <w:rPr>
                <w:rFonts w:asciiTheme="minorBidi" w:eastAsiaTheme="minorEastAsia" w:hAnsiTheme="minorBidi" w:cstheme="minorBidi"/>
                <w:bCs/>
                <w:snapToGrid w:val="0"/>
                <w:sz w:val="20"/>
                <w:szCs w:val="20"/>
                <w:lang w:eastAsia="ko-KR"/>
              </w:rPr>
            </w:pPr>
            <w:r w:rsidRPr="0060543D">
              <w:rPr>
                <w:rFonts w:asciiTheme="minorBidi" w:eastAsiaTheme="minorEastAsia" w:hAnsiTheme="minorBidi" w:cstheme="minorBidi"/>
                <w:bCs/>
                <w:snapToGrid w:val="0"/>
                <w:sz w:val="20"/>
                <w:szCs w:val="20"/>
                <w:lang w:eastAsia="ko-KR"/>
              </w:rPr>
              <w:t>Clôture</w:t>
            </w:r>
          </w:p>
        </w:tc>
      </w:tr>
    </w:tbl>
    <w:p w14:paraId="57FC2198" w14:textId="520220E2" w:rsidR="00E16598" w:rsidRPr="003B6955" w:rsidRDefault="00E16598" w:rsidP="00E16598">
      <w:pPr>
        <w:pStyle w:val="COMTitleDecision"/>
        <w:ind w:left="0"/>
        <w:rPr>
          <w:rFonts w:eastAsia="SimSun"/>
        </w:rPr>
      </w:pPr>
      <w:r w:rsidRPr="00FA450F">
        <w:rPr>
          <w:bCs/>
        </w:rPr>
        <w:lastRenderedPageBreak/>
        <w:t>DÉCISION 17.COM 5.BUR 5</w:t>
      </w:r>
    </w:p>
    <w:p w14:paraId="7EA1A1BA" w14:textId="77777777" w:rsidR="00E16598" w:rsidRPr="00FA450F" w:rsidRDefault="00E16598" w:rsidP="00E16598">
      <w:pPr>
        <w:pStyle w:val="COMPreambulaDecisions"/>
        <w:ind w:left="0"/>
        <w:rPr>
          <w:rFonts w:eastAsia="SimSun"/>
        </w:rPr>
      </w:pPr>
      <w:r w:rsidRPr="00FA450F">
        <w:t>Le Bureau,</w:t>
      </w:r>
    </w:p>
    <w:p w14:paraId="19C650C9" w14:textId="77777777" w:rsidR="00E16598" w:rsidRPr="003B6955" w:rsidRDefault="00E16598" w:rsidP="00AD3C02">
      <w:pPr>
        <w:pStyle w:val="COMParaDecision"/>
        <w:numPr>
          <w:ilvl w:val="0"/>
          <w:numId w:val="27"/>
        </w:numPr>
        <w:ind w:left="567" w:hanging="567"/>
      </w:pPr>
      <w:r w:rsidRPr="00FA450F">
        <w:t>Ayant examiné</w:t>
      </w:r>
      <w:r w:rsidRPr="001D29E7">
        <w:rPr>
          <w:u w:val="none"/>
        </w:rPr>
        <w:t xml:space="preserve"> le document LHE/22/17.COM 5.BUR/5 et ses annexes (I à III),</w:t>
      </w:r>
    </w:p>
    <w:p w14:paraId="6815FE5E" w14:textId="77777777" w:rsidR="00E16598" w:rsidRPr="003B6955" w:rsidRDefault="00E16598" w:rsidP="00AD3C02">
      <w:pPr>
        <w:pStyle w:val="COMParaDecision"/>
        <w:ind w:left="567" w:hanging="567"/>
      </w:pPr>
      <w:r w:rsidRPr="00FA450F">
        <w:t>Rappelant</w:t>
      </w:r>
      <w:r w:rsidRPr="00FA450F">
        <w:rPr>
          <w:u w:val="none"/>
        </w:rPr>
        <w:t xml:space="preserve"> les décisions 3.COM 1, 13.COM 9, 14.COM 14, </w:t>
      </w:r>
      <w:r>
        <w:rPr>
          <w:u w:val="none"/>
        </w:rPr>
        <w:t xml:space="preserve">16.COM 11, </w:t>
      </w:r>
      <w:r w:rsidRPr="00FA450F">
        <w:rPr>
          <w:u w:val="none"/>
        </w:rPr>
        <w:t>la résolution 9.GA</w:t>
      </w:r>
      <w:r>
        <w:rPr>
          <w:u w:val="none"/>
        </w:rPr>
        <w:t xml:space="preserve"> </w:t>
      </w:r>
      <w:r w:rsidRPr="00FA450F">
        <w:rPr>
          <w:u w:val="none"/>
        </w:rPr>
        <w:t xml:space="preserve">9 et les paragraphes 40.1 </w:t>
      </w:r>
      <w:r>
        <w:rPr>
          <w:u w:val="none"/>
        </w:rPr>
        <w:t>à</w:t>
      </w:r>
      <w:r w:rsidRPr="00FA450F">
        <w:rPr>
          <w:u w:val="none"/>
        </w:rPr>
        <w:t xml:space="preserve"> 40.</w:t>
      </w:r>
      <w:r>
        <w:rPr>
          <w:u w:val="none"/>
        </w:rPr>
        <w:t>3</w:t>
      </w:r>
      <w:r w:rsidRPr="00FA450F">
        <w:rPr>
          <w:u w:val="none"/>
        </w:rPr>
        <w:t xml:space="preserve"> des Directives opérationnelles,</w:t>
      </w:r>
    </w:p>
    <w:p w14:paraId="2ECC43B3" w14:textId="77777777" w:rsidR="00E16598" w:rsidRPr="00FA450F" w:rsidRDefault="00E16598" w:rsidP="00AD3C02">
      <w:pPr>
        <w:pStyle w:val="COMParaDecision"/>
        <w:ind w:left="567" w:hanging="567"/>
      </w:pPr>
      <w:r w:rsidRPr="00FA450F">
        <w:t>Rappelant en outre</w:t>
      </w:r>
      <w:r w:rsidRPr="00FA450F">
        <w:rPr>
          <w:u w:val="none"/>
        </w:rPr>
        <w:t xml:space="preserve"> que les « Géants et dragons processionnels de Belgique et de France » (Belgique et France) ont été incorporés en 2008 dans la Liste représentative du patrimoine culturel immatériel de l’humanité,</w:t>
      </w:r>
    </w:p>
    <w:p w14:paraId="6D4E04EA" w14:textId="77777777" w:rsidR="00E16598" w:rsidRPr="00FA450F" w:rsidRDefault="00E16598" w:rsidP="00AD3C02">
      <w:pPr>
        <w:pStyle w:val="COMParaDecision"/>
        <w:ind w:left="567" w:hanging="567"/>
      </w:pPr>
      <w:r w:rsidRPr="00FA450F">
        <w:t>Prend note</w:t>
      </w:r>
      <w:r w:rsidRPr="00FA450F">
        <w:rPr>
          <w:u w:val="none"/>
        </w:rPr>
        <w:t xml:space="preserve"> qu’en 2022, le Secrétariat a enregistré une série de correspondances </w:t>
      </w:r>
      <w:r>
        <w:rPr>
          <w:u w:val="none"/>
        </w:rPr>
        <w:t>de tierces parties</w:t>
      </w:r>
      <w:r w:rsidRPr="00FA450F">
        <w:rPr>
          <w:u w:val="none"/>
        </w:rPr>
        <w:t xml:space="preserve"> condamnant le personnage du « Sauvage » dans </w:t>
      </w:r>
      <w:r>
        <w:rPr>
          <w:u w:val="none"/>
        </w:rPr>
        <w:t>la procession</w:t>
      </w:r>
      <w:r w:rsidRPr="00FA450F">
        <w:rPr>
          <w:u w:val="none"/>
        </w:rPr>
        <w:t xml:space="preserve"> qui a lieu dans la ville d’Ath, en Belgique, comme représentant une forme de racisme et de discrimination, et demandant le retrait de la Ducasse d’Ath de la Liste représentative, et que le Secrétariat a transmis les demandes de retrait à l’</w:t>
      </w:r>
      <w:r w:rsidRPr="00FA450F">
        <w:rPr>
          <w:rFonts w:hint="cs"/>
          <w:u w:val="none"/>
          <w:rtl/>
          <w:lang w:bidi="he-IL"/>
        </w:rPr>
        <w:t>֤</w:t>
      </w:r>
      <w:r w:rsidRPr="00FA450F">
        <w:rPr>
          <w:u w:val="none"/>
        </w:rPr>
        <w:t>État partie de la Belgique ;</w:t>
      </w:r>
    </w:p>
    <w:p w14:paraId="651F6B82" w14:textId="77777777" w:rsidR="00E16598" w:rsidRPr="003B6955" w:rsidRDefault="00E16598" w:rsidP="00AD3C02">
      <w:pPr>
        <w:pStyle w:val="COMParaDecision"/>
        <w:ind w:left="567" w:hanging="567"/>
      </w:pPr>
      <w:r w:rsidRPr="003B6955">
        <w:t>Prend note en outre</w:t>
      </w:r>
      <w:r w:rsidRPr="00FA450F">
        <w:rPr>
          <w:u w:val="none"/>
        </w:rPr>
        <w:t xml:space="preserve"> que l’État partie de la Belgique a répondu aux demandes de retrait et a fourni des informations sur le processus de réflexion initié au niveau de la communauté afin de répondre aux préoccupations soulevées ; </w:t>
      </w:r>
    </w:p>
    <w:p w14:paraId="016C46A7" w14:textId="77777777" w:rsidR="00E16598" w:rsidRPr="00FA450F" w:rsidRDefault="00E16598" w:rsidP="00AD3C02">
      <w:pPr>
        <w:pStyle w:val="COMParaDecision"/>
        <w:ind w:left="567" w:hanging="567"/>
      </w:pPr>
      <w:r w:rsidRPr="00FA450F">
        <w:t>Considère</w:t>
      </w:r>
      <w:r w:rsidRPr="00FA450F">
        <w:rPr>
          <w:u w:val="none"/>
        </w:rPr>
        <w:t xml:space="preserve"> que les allégations de racisme et de discrimination sont une question extrêmement grave qui renvoie aux principes fondateurs de l’UNESCO que sont la dignité, l’égalité et le respect mutuel entre les peuples, tels que reflétés dans le préambule de l’Acte constitutif de l’Organisation, ainsi que l’exigence du respect mutuel entre communautés, groupes et individus, telle que stipulée dans l’article 2 de la Convention ;</w:t>
      </w:r>
    </w:p>
    <w:p w14:paraId="0BB4787E" w14:textId="1BE65855" w:rsidR="00E16598" w:rsidRDefault="00E16598" w:rsidP="00AD3C02">
      <w:pPr>
        <w:pStyle w:val="COMParaDecision"/>
        <w:ind w:left="567" w:hanging="567"/>
        <w:rPr>
          <w:u w:val="none"/>
        </w:rPr>
      </w:pPr>
      <w:r w:rsidRPr="00FA450F">
        <w:t>Recommande</w:t>
      </w:r>
      <w:r w:rsidRPr="00FA450F">
        <w:rPr>
          <w:u w:val="none"/>
        </w:rPr>
        <w:t xml:space="preserve"> que, conformément au paragraphe 40.2 (e) des Directives opérationnelles, les demandes de retrait concernant la Ducasse d’Ath soient incluses à l’ordre du jour provisoire de la dix-septième session du Comité</w:t>
      </w:r>
      <w:r>
        <w:rPr>
          <w:u w:val="none"/>
        </w:rPr>
        <w:t>.</w:t>
      </w:r>
    </w:p>
    <w:p w14:paraId="1E0B5E7D" w14:textId="446A2778" w:rsidR="00E16598" w:rsidRDefault="00E16598">
      <w:pPr>
        <w:rPr>
          <w:rFonts w:ascii="Arial" w:hAnsi="Arial" w:cs="Arial"/>
          <w:sz w:val="22"/>
          <w:szCs w:val="22"/>
        </w:rPr>
      </w:pPr>
    </w:p>
    <w:sectPr w:rsidR="00E16598"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71D164D9"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AE3322" w:rsidRPr="00AC4027">
      <w:rPr>
        <w:rFonts w:ascii="Arial" w:hAnsi="Arial" w:cs="Arial"/>
        <w:sz w:val="20"/>
        <w:szCs w:val="20"/>
      </w:rPr>
      <w:t>2</w:t>
    </w:r>
    <w:r w:rsidRPr="00AC4027">
      <w:rPr>
        <w:rFonts w:ascii="Arial" w:hAnsi="Arial" w:cs="Arial"/>
        <w:sz w:val="20"/>
        <w:szCs w:val="20"/>
      </w:rPr>
      <w:t>/1</w:t>
    </w:r>
    <w:r w:rsidR="00AE3322" w:rsidRPr="00AC4027">
      <w:rPr>
        <w:rFonts w:ascii="Arial" w:hAnsi="Arial" w:cs="Arial"/>
        <w:sz w:val="20"/>
        <w:szCs w:val="20"/>
      </w:rPr>
      <w:t>7</w:t>
    </w:r>
    <w:r w:rsidRPr="00AC4027">
      <w:rPr>
        <w:rFonts w:ascii="Arial" w:hAnsi="Arial" w:cs="Arial"/>
        <w:sz w:val="20"/>
        <w:szCs w:val="20"/>
      </w:rPr>
      <w:t>.</w:t>
    </w:r>
    <w:r w:rsidR="00AC4027">
      <w:rPr>
        <w:rFonts w:ascii="Arial" w:hAnsi="Arial" w:cs="Arial"/>
        <w:sz w:val="20"/>
        <w:szCs w:val="20"/>
      </w:rPr>
      <w:t>COM </w:t>
    </w:r>
    <w:r w:rsidR="009E50A2">
      <w:rPr>
        <w:rFonts w:ascii="Arial" w:hAnsi="Arial" w:cs="Arial"/>
        <w:sz w:val="20"/>
        <w:szCs w:val="20"/>
      </w:rPr>
      <w:t>5</w:t>
    </w:r>
    <w:r w:rsidR="00AC4027" w:rsidRPr="0036787A">
      <w:rPr>
        <w:rFonts w:ascii="Arial" w:hAnsi="Arial" w:cs="Arial"/>
        <w:sz w:val="20"/>
        <w:szCs w:val="20"/>
      </w:rPr>
      <w:t>.BUR/</w:t>
    </w:r>
    <w:r w:rsidR="006A75FD">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36DEAF93" w:rsidR="006B5001" w:rsidRPr="00BC3420" w:rsidRDefault="00162864" w:rsidP="00461168">
    <w:pPr>
      <w:pStyle w:val="Header"/>
      <w:jc w:val="right"/>
      <w:rPr>
        <w:rFonts w:ascii="Arial" w:hAnsi="Arial" w:cs="Arial"/>
        <w:lang w:val="en-US"/>
      </w:rPr>
    </w:pPr>
    <w:r w:rsidRPr="00AC4027">
      <w:rPr>
        <w:rFonts w:ascii="Arial" w:hAnsi="Arial" w:cs="Arial"/>
        <w:sz w:val="20"/>
        <w:szCs w:val="20"/>
      </w:rPr>
      <w:t>LHE/22/17.</w:t>
    </w:r>
    <w:r>
      <w:rPr>
        <w:rFonts w:ascii="Arial" w:hAnsi="Arial" w:cs="Arial"/>
        <w:sz w:val="20"/>
        <w:szCs w:val="20"/>
      </w:rPr>
      <w:t>COM </w:t>
    </w:r>
    <w:r w:rsidR="009E50A2">
      <w:rPr>
        <w:rFonts w:ascii="Arial" w:hAnsi="Arial" w:cs="Arial"/>
        <w:sz w:val="20"/>
        <w:szCs w:val="20"/>
      </w:rPr>
      <w:t>5</w:t>
    </w:r>
    <w:r w:rsidRPr="0036787A">
      <w:rPr>
        <w:rFonts w:ascii="Arial" w:hAnsi="Arial" w:cs="Arial"/>
        <w:sz w:val="20"/>
        <w:szCs w:val="20"/>
      </w:rPr>
      <w:t>.BUR/</w:t>
    </w:r>
    <w:r w:rsidR="00235EAC">
      <w:rPr>
        <w:rFonts w:ascii="Arial" w:hAnsi="Arial" w:cs="Arial"/>
        <w:sz w:val="20"/>
        <w:szCs w:val="20"/>
      </w:rPr>
      <w:t>Décisions</w:t>
    </w:r>
    <w:r>
      <w:rPr>
        <w:rFonts w:ascii="Arial" w:hAnsi="Arial" w:cs="Arial"/>
        <w:sz w:val="20"/>
        <w:szCs w:val="20"/>
      </w:rPr>
      <w:t xml:space="preserve"> </w:t>
    </w:r>
    <w:r w:rsidR="002C0D14" w:rsidRPr="00EF563B">
      <w:rPr>
        <w:rFonts w:ascii="Arial" w:hAnsi="Arial" w:cs="Arial"/>
        <w:sz w:val="20"/>
        <w:szCs w:val="20"/>
        <w:lang w:val="en-US"/>
      </w:rPr>
      <w:t xml:space="preserve">–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1356E12D"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00533799">
      <w:rPr>
        <w:rFonts w:ascii="Arial" w:hAnsi="Arial" w:cs="Arial"/>
        <w:b/>
        <w:sz w:val="44"/>
        <w:szCs w:val="44"/>
        <w:lang w:val="pt-PT"/>
      </w:rPr>
      <w:t> </w:t>
    </w:r>
    <w:r w:rsidRPr="00232D65">
      <w:rPr>
        <w:rFonts w:ascii="Arial" w:hAnsi="Arial" w:cs="Arial"/>
        <w:b/>
        <w:sz w:val="44"/>
        <w:szCs w:val="44"/>
        <w:lang w:val="pt-PT"/>
      </w:rPr>
      <w:t>COM</w:t>
    </w:r>
    <w:r w:rsidR="00533799">
      <w:rPr>
        <w:rFonts w:ascii="Arial" w:hAnsi="Arial" w:cs="Arial"/>
        <w:b/>
        <w:sz w:val="44"/>
        <w:szCs w:val="44"/>
        <w:lang w:val="pt-PT"/>
      </w:rPr>
      <w:t> </w:t>
    </w:r>
    <w:r w:rsidR="009E50A2">
      <w:rPr>
        <w:rFonts w:ascii="Arial" w:hAnsi="Arial" w:cs="Arial"/>
        <w:b/>
        <w:sz w:val="44"/>
        <w:szCs w:val="44"/>
        <w:lang w:val="pt-PT"/>
      </w:rPr>
      <w:t>5</w:t>
    </w:r>
    <w:r w:rsidR="00533799">
      <w:rPr>
        <w:rFonts w:ascii="Arial" w:hAnsi="Arial" w:cs="Arial"/>
        <w:b/>
        <w:sz w:val="44"/>
        <w:szCs w:val="44"/>
        <w:lang w:val="pt-PT"/>
      </w:rPr>
      <w:t> </w:t>
    </w:r>
    <w:r w:rsidRPr="00232D65">
      <w:rPr>
        <w:rFonts w:ascii="Arial" w:hAnsi="Arial" w:cs="Arial"/>
        <w:b/>
        <w:sz w:val="44"/>
        <w:szCs w:val="44"/>
        <w:lang w:val="pt-PT"/>
      </w:rPr>
      <w:t>BUR</w:t>
    </w:r>
  </w:p>
  <w:p w14:paraId="4AD38C3D" w14:textId="4A3672C4"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AE3322">
      <w:rPr>
        <w:rFonts w:ascii="Arial" w:hAnsi="Arial" w:cs="Arial"/>
        <w:b/>
        <w:sz w:val="22"/>
        <w:szCs w:val="22"/>
        <w:lang w:val="pt-PT"/>
      </w:rPr>
      <w:t>2</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AE3322">
      <w:rPr>
        <w:rFonts w:ascii="Arial" w:hAnsi="Arial" w:cs="Arial"/>
        <w:b/>
        <w:sz w:val="22"/>
        <w:szCs w:val="22"/>
        <w:lang w:val="pt-PT"/>
      </w:rPr>
      <w:t>7</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9E50A2">
      <w:rPr>
        <w:rFonts w:ascii="Arial" w:hAnsi="Arial" w:cs="Arial"/>
        <w:b/>
        <w:sz w:val="22"/>
        <w:szCs w:val="22"/>
        <w:lang w:val="pt-PT"/>
      </w:rPr>
      <w:t>5</w:t>
    </w:r>
    <w:r w:rsidR="00AC4027" w:rsidRPr="00F72876">
      <w:rPr>
        <w:rFonts w:ascii="Arial" w:hAnsi="Arial" w:cs="Arial"/>
        <w:b/>
        <w:sz w:val="22"/>
        <w:szCs w:val="22"/>
        <w:lang w:val="pt-PT"/>
      </w:rPr>
      <w:t>.</w:t>
    </w:r>
    <w:r w:rsidR="00AC4027" w:rsidRPr="000D1130">
      <w:rPr>
        <w:rFonts w:ascii="Arial" w:hAnsi="Arial" w:cs="Arial"/>
        <w:b/>
        <w:sz w:val="22"/>
        <w:szCs w:val="22"/>
        <w:lang w:val="pt-PT"/>
      </w:rPr>
      <w:t>BUR/</w:t>
    </w:r>
    <w:r w:rsidR="000D1130" w:rsidRPr="000D1130">
      <w:rPr>
        <w:rFonts w:ascii="Arial" w:hAnsi="Arial" w:cs="Arial"/>
        <w:b/>
        <w:sz w:val="22"/>
        <w:szCs w:val="22"/>
        <w:lang w:val="pt-PT"/>
      </w:rPr>
      <w:t>Décisions</w:t>
    </w:r>
  </w:p>
  <w:p w14:paraId="30B7DEB9" w14:textId="4183E80C"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5456B8">
      <w:rPr>
        <w:rFonts w:ascii="Arial" w:hAnsi="Arial" w:cs="Arial"/>
        <w:b/>
        <w:sz w:val="22"/>
        <w:szCs w:val="22"/>
        <w:lang w:val="pt-PT"/>
      </w:rPr>
      <w:t>5</w:t>
    </w:r>
    <w:r w:rsidR="000D1130">
      <w:rPr>
        <w:rFonts w:ascii="Arial" w:hAnsi="Arial" w:cs="Arial"/>
        <w:b/>
        <w:sz w:val="22"/>
        <w:szCs w:val="22"/>
        <w:lang w:val="pt-PT"/>
      </w:rPr>
      <w:t xml:space="preserve"> octobre </w:t>
    </w:r>
    <w:r w:rsidR="00495C25" w:rsidRPr="00C318BF">
      <w:rPr>
        <w:rFonts w:ascii="Arial" w:hAnsi="Arial" w:cs="Arial"/>
        <w:b/>
        <w:sz w:val="22"/>
        <w:szCs w:val="22"/>
        <w:lang w:val="pt-PT"/>
      </w:rPr>
      <w:t>20</w:t>
    </w:r>
    <w:r w:rsidR="00D520C1">
      <w:rPr>
        <w:rFonts w:ascii="Arial" w:hAnsi="Arial" w:cs="Arial"/>
        <w:b/>
        <w:sz w:val="22"/>
        <w:szCs w:val="22"/>
        <w:lang w:val="pt-PT"/>
      </w:rPr>
      <w:t>2</w:t>
    </w:r>
    <w:r w:rsidR="00AE3322">
      <w:rPr>
        <w:rFonts w:ascii="Arial" w:hAnsi="Arial" w:cs="Arial"/>
        <w:b/>
        <w:sz w:val="22"/>
        <w:szCs w:val="22"/>
        <w:lang w:val="pt-PT"/>
      </w:rPr>
      <w:t>2</w:t>
    </w:r>
  </w:p>
  <w:p w14:paraId="18E81B87" w14:textId="15C8E03A" w:rsidR="00E9376C" w:rsidRPr="0020150F" w:rsidRDefault="00E9376C" w:rsidP="00F84A0B">
    <w:pPr>
      <w:spacing w:after="240"/>
      <w:jc w:val="right"/>
      <w:rPr>
        <w:rFonts w:ascii="Arial" w:hAnsi="Arial" w:cs="Arial"/>
        <w:b/>
        <w:sz w:val="22"/>
        <w:szCs w:val="22"/>
      </w:rPr>
    </w:pPr>
    <w:r w:rsidRPr="000D1130">
      <w:rPr>
        <w:rFonts w:ascii="Arial" w:hAnsi="Arial" w:cs="Arial"/>
        <w:b/>
        <w:sz w:val="22"/>
        <w:szCs w:val="22"/>
      </w:rPr>
      <w:t>Original</w:t>
    </w:r>
    <w:r w:rsidR="003E2A08" w:rsidRPr="000D1130">
      <w:rPr>
        <w:rFonts w:ascii="Arial" w:hAnsi="Arial" w:cs="Arial"/>
        <w:b/>
        <w:sz w:val="22"/>
        <w:szCs w:val="22"/>
      </w:rPr>
      <w:t> </w:t>
    </w:r>
    <w:r w:rsidRPr="000D1130">
      <w:rPr>
        <w:rFonts w:ascii="Arial" w:hAnsi="Arial" w:cs="Arial"/>
        <w:b/>
        <w:sz w:val="22"/>
        <w:szCs w:val="22"/>
      </w:rPr>
      <w:t xml:space="preserve">: </w:t>
    </w:r>
    <w:r w:rsidR="003C22BE" w:rsidRPr="000D1130">
      <w:rPr>
        <w:rFonts w:ascii="Arial" w:hAnsi="Arial" w:cs="Arial"/>
        <w:b/>
        <w:sz w:val="22"/>
        <w:szCs w:val="22"/>
      </w:rPr>
      <w:t>anglais</w:t>
    </w:r>
    <w:r w:rsidR="000D1130" w:rsidRPr="000D1130">
      <w:rPr>
        <w:rFonts w:ascii="Arial" w:hAnsi="Arial" w:cs="Arial"/>
        <w:b/>
        <w:sz w:val="22"/>
        <w:szCs w:val="22"/>
      </w:rPr>
      <w:t xml:space="preserve"> / français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7FD69F9"/>
    <w:multiLevelType w:val="hybridMultilevel"/>
    <w:tmpl w:val="382ECBAE"/>
    <w:lvl w:ilvl="0" w:tplc="F19A628E">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41360434"/>
    <w:lvl w:ilvl="0" w:tplc="B35A244C">
      <w:start w:val="1"/>
      <w:numFmt w:val="decimal"/>
      <w:pStyle w:val="COMParaDecision"/>
      <w:lvlText w:val="%1."/>
      <w:lvlJc w:val="left"/>
      <w:pPr>
        <w:ind w:left="-66" w:hanging="360"/>
      </w:p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9521BE1"/>
    <w:multiLevelType w:val="hybridMultilevel"/>
    <w:tmpl w:val="B3E257C4"/>
    <w:lvl w:ilvl="0" w:tplc="040C000F">
      <w:start w:val="1"/>
      <w:numFmt w:val="decimal"/>
      <w:lvlText w:val="%1."/>
      <w:lvlJc w:val="left"/>
      <w:pPr>
        <w:ind w:left="1413"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2"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3" w15:restartNumberingAfterBreak="0">
    <w:nsid w:val="4F843384"/>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14"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1BF2710"/>
    <w:multiLevelType w:val="hybridMultilevel"/>
    <w:tmpl w:val="BAD8A6EE"/>
    <w:lvl w:ilvl="0" w:tplc="74E29F06">
      <w:start w:val="1"/>
      <w:numFmt w:val="lowerRoman"/>
      <w:lvlText w:val="%1)"/>
      <w:lvlJc w:val="left"/>
      <w:pPr>
        <w:ind w:left="360" w:hanging="360"/>
      </w:pPr>
      <w:rPr>
        <w:rFonts w:ascii="Arial" w:eastAsia="SimSun"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2"/>
  </w:num>
  <w:num w:numId="4">
    <w:abstractNumId w:val="21"/>
  </w:num>
  <w:num w:numId="5">
    <w:abstractNumId w:val="18"/>
  </w:num>
  <w:num w:numId="6">
    <w:abstractNumId w:val="0"/>
  </w:num>
  <w:num w:numId="7">
    <w:abstractNumId w:val="3"/>
  </w:num>
  <w:num w:numId="8">
    <w:abstractNumId w:val="10"/>
  </w:num>
  <w:num w:numId="9">
    <w:abstractNumId w:val="7"/>
  </w:num>
  <w:num w:numId="10">
    <w:abstractNumId w:val="9"/>
  </w:num>
  <w:num w:numId="11">
    <w:abstractNumId w:val="6"/>
  </w:num>
  <w:num w:numId="12">
    <w:abstractNumId w:val="5"/>
  </w:num>
  <w:num w:numId="13">
    <w:abstractNumId w:val="15"/>
  </w:num>
  <w:num w:numId="14">
    <w:abstractNumId w:val="4"/>
  </w:num>
  <w:num w:numId="15">
    <w:abstractNumId w:val="19"/>
  </w:num>
  <w:num w:numId="16">
    <w:abstractNumId w:val="14"/>
  </w:num>
  <w:num w:numId="17">
    <w:abstractNumId w:val="9"/>
    <w:lvlOverride w:ilvl="0">
      <w:startOverride w:val="1"/>
    </w:lvlOverride>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3"/>
  </w:num>
  <w:num w:numId="23">
    <w:abstractNumId w:val="12"/>
  </w:num>
  <w:num w:numId="24">
    <w:abstractNumId w:val="1"/>
  </w:num>
  <w:num w:numId="25">
    <w:abstractNumId w:val="9"/>
    <w:lvlOverride w:ilvl="0">
      <w:startOverride w:val="1"/>
    </w:lvlOverride>
  </w:num>
  <w:num w:numId="26">
    <w:abstractNumId w:val="9"/>
  </w:num>
  <w:num w:numId="27">
    <w:abstractNumId w:val="9"/>
    <w:lvlOverride w:ilvl="0">
      <w:startOverride w:val="1"/>
    </w:lvlOverride>
  </w:num>
  <w:num w:numId="2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31BF"/>
    <w:rsid w:val="00020BFC"/>
    <w:rsid w:val="00022428"/>
    <w:rsid w:val="000263BA"/>
    <w:rsid w:val="0003530D"/>
    <w:rsid w:val="0005176E"/>
    <w:rsid w:val="00077AB7"/>
    <w:rsid w:val="00081CD8"/>
    <w:rsid w:val="0008329C"/>
    <w:rsid w:val="000968FB"/>
    <w:rsid w:val="000A7F0E"/>
    <w:rsid w:val="000D1130"/>
    <w:rsid w:val="000E6CD7"/>
    <w:rsid w:val="000F3A3F"/>
    <w:rsid w:val="00162864"/>
    <w:rsid w:val="00164D56"/>
    <w:rsid w:val="00165170"/>
    <w:rsid w:val="00167B10"/>
    <w:rsid w:val="0019264E"/>
    <w:rsid w:val="00196C1B"/>
    <w:rsid w:val="001A766C"/>
    <w:rsid w:val="001B0F73"/>
    <w:rsid w:val="001D29E7"/>
    <w:rsid w:val="0020150F"/>
    <w:rsid w:val="00222A2D"/>
    <w:rsid w:val="00230B28"/>
    <w:rsid w:val="00235EAC"/>
    <w:rsid w:val="002407AF"/>
    <w:rsid w:val="00280D62"/>
    <w:rsid w:val="002A6C11"/>
    <w:rsid w:val="002A6F73"/>
    <w:rsid w:val="002C0D14"/>
    <w:rsid w:val="002E2F53"/>
    <w:rsid w:val="002E3D25"/>
    <w:rsid w:val="002E58D4"/>
    <w:rsid w:val="003000A9"/>
    <w:rsid w:val="0032583C"/>
    <w:rsid w:val="003732E4"/>
    <w:rsid w:val="003845BE"/>
    <w:rsid w:val="003C1678"/>
    <w:rsid w:val="003C22BE"/>
    <w:rsid w:val="003D069C"/>
    <w:rsid w:val="003E07D8"/>
    <w:rsid w:val="003E2A08"/>
    <w:rsid w:val="003F113A"/>
    <w:rsid w:val="004239C7"/>
    <w:rsid w:val="00440F9B"/>
    <w:rsid w:val="004421E5"/>
    <w:rsid w:val="00443880"/>
    <w:rsid w:val="00452284"/>
    <w:rsid w:val="00461168"/>
    <w:rsid w:val="00467FBE"/>
    <w:rsid w:val="00486948"/>
    <w:rsid w:val="00495C25"/>
    <w:rsid w:val="0049705E"/>
    <w:rsid w:val="005158FF"/>
    <w:rsid w:val="00526B7B"/>
    <w:rsid w:val="005308CE"/>
    <w:rsid w:val="00533799"/>
    <w:rsid w:val="005456B8"/>
    <w:rsid w:val="005678AF"/>
    <w:rsid w:val="0057439C"/>
    <w:rsid w:val="005964D9"/>
    <w:rsid w:val="005B0127"/>
    <w:rsid w:val="005C094D"/>
    <w:rsid w:val="005C4B73"/>
    <w:rsid w:val="00600D93"/>
    <w:rsid w:val="0060543D"/>
    <w:rsid w:val="00616C7B"/>
    <w:rsid w:val="00627C5C"/>
    <w:rsid w:val="00655736"/>
    <w:rsid w:val="00663B8D"/>
    <w:rsid w:val="00690C30"/>
    <w:rsid w:val="006923BD"/>
    <w:rsid w:val="00694FEA"/>
    <w:rsid w:val="00696C8D"/>
    <w:rsid w:val="006A2AC2"/>
    <w:rsid w:val="006A3317"/>
    <w:rsid w:val="006A3617"/>
    <w:rsid w:val="006A75FD"/>
    <w:rsid w:val="006B5001"/>
    <w:rsid w:val="006D21D9"/>
    <w:rsid w:val="006D2536"/>
    <w:rsid w:val="006E46E4"/>
    <w:rsid w:val="00717AAB"/>
    <w:rsid w:val="00717DBD"/>
    <w:rsid w:val="00741016"/>
    <w:rsid w:val="0075485F"/>
    <w:rsid w:val="00764CF9"/>
    <w:rsid w:val="00784B8C"/>
    <w:rsid w:val="007A000F"/>
    <w:rsid w:val="007C354B"/>
    <w:rsid w:val="007E60C6"/>
    <w:rsid w:val="00805DD3"/>
    <w:rsid w:val="008064F0"/>
    <w:rsid w:val="008176D5"/>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E67D8"/>
    <w:rsid w:val="008F09EC"/>
    <w:rsid w:val="00913D86"/>
    <w:rsid w:val="009163A7"/>
    <w:rsid w:val="00922E3E"/>
    <w:rsid w:val="00933C6B"/>
    <w:rsid w:val="00950F68"/>
    <w:rsid w:val="00962119"/>
    <w:rsid w:val="00970BB5"/>
    <w:rsid w:val="00974249"/>
    <w:rsid w:val="00993211"/>
    <w:rsid w:val="009A18CD"/>
    <w:rsid w:val="009B223B"/>
    <w:rsid w:val="009B5302"/>
    <w:rsid w:val="009C4B94"/>
    <w:rsid w:val="009E1B50"/>
    <w:rsid w:val="009E50A2"/>
    <w:rsid w:val="00A12558"/>
    <w:rsid w:val="00A13903"/>
    <w:rsid w:val="00A22951"/>
    <w:rsid w:val="00A34ED5"/>
    <w:rsid w:val="00A45DBF"/>
    <w:rsid w:val="00A61C6E"/>
    <w:rsid w:val="00A755A2"/>
    <w:rsid w:val="00A755FA"/>
    <w:rsid w:val="00A90761"/>
    <w:rsid w:val="00AB2C36"/>
    <w:rsid w:val="00AC4027"/>
    <w:rsid w:val="00AD1A86"/>
    <w:rsid w:val="00AD3C02"/>
    <w:rsid w:val="00AE103E"/>
    <w:rsid w:val="00AE3322"/>
    <w:rsid w:val="00AF0A07"/>
    <w:rsid w:val="00AF5AE5"/>
    <w:rsid w:val="00AF625E"/>
    <w:rsid w:val="00AF721B"/>
    <w:rsid w:val="00B152B1"/>
    <w:rsid w:val="00B43974"/>
    <w:rsid w:val="00B45750"/>
    <w:rsid w:val="00B90701"/>
    <w:rsid w:val="00B94DA2"/>
    <w:rsid w:val="00BC3420"/>
    <w:rsid w:val="00BD52C9"/>
    <w:rsid w:val="00BE6354"/>
    <w:rsid w:val="00C06C42"/>
    <w:rsid w:val="00C318BF"/>
    <w:rsid w:val="00C358C4"/>
    <w:rsid w:val="00C377F5"/>
    <w:rsid w:val="00C70EA7"/>
    <w:rsid w:val="00C7516E"/>
    <w:rsid w:val="00CC70DC"/>
    <w:rsid w:val="00D02494"/>
    <w:rsid w:val="00D137D0"/>
    <w:rsid w:val="00D24877"/>
    <w:rsid w:val="00D520C1"/>
    <w:rsid w:val="00D74F02"/>
    <w:rsid w:val="00D75D42"/>
    <w:rsid w:val="00D7772A"/>
    <w:rsid w:val="00DA36ED"/>
    <w:rsid w:val="00DB4A84"/>
    <w:rsid w:val="00DC0F3C"/>
    <w:rsid w:val="00DE34F1"/>
    <w:rsid w:val="00DF4942"/>
    <w:rsid w:val="00E16598"/>
    <w:rsid w:val="00E22288"/>
    <w:rsid w:val="00E30A31"/>
    <w:rsid w:val="00E60B9D"/>
    <w:rsid w:val="00E627B1"/>
    <w:rsid w:val="00E62B4C"/>
    <w:rsid w:val="00E86828"/>
    <w:rsid w:val="00E9376C"/>
    <w:rsid w:val="00EA602C"/>
    <w:rsid w:val="00ED3691"/>
    <w:rsid w:val="00EE6DF5"/>
    <w:rsid w:val="00EF0DCC"/>
    <w:rsid w:val="00EF74E3"/>
    <w:rsid w:val="00F1156F"/>
    <w:rsid w:val="00F134B7"/>
    <w:rsid w:val="00F36C64"/>
    <w:rsid w:val="00F4581D"/>
    <w:rsid w:val="00F576CB"/>
    <w:rsid w:val="00F62B05"/>
    <w:rsid w:val="00F84A0B"/>
    <w:rsid w:val="00FC2940"/>
    <w:rsid w:val="00FC4715"/>
    <w:rsid w:val="00FD1226"/>
    <w:rsid w:val="00FE61A5"/>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3000A9"/>
    <w:pPr>
      <w:spacing w:after="120"/>
      <w:ind w:left="720" w:hanging="360"/>
    </w:pPr>
    <w:rPr>
      <w:rFonts w:ascii="Arial" w:eastAsia="Times New Roman" w:hAnsi="Arial" w:cs="Arial"/>
      <w:snapToGrid w:val="0"/>
      <w:sz w:val="22"/>
      <w:szCs w:val="22"/>
      <w:lang w:val="en-GB" w:eastAsia="en-GB"/>
    </w:rPr>
  </w:style>
  <w:style w:type="character" w:customStyle="1" w:styleId="MargeChar">
    <w:name w:val="Marge Char"/>
    <w:link w:val="Marge"/>
    <w:rsid w:val="003000A9"/>
    <w:rPr>
      <w:rFonts w:ascii="Arial" w:eastAsia="Times New Roman" w:hAnsi="Arial"/>
      <w:snapToGrid w:val="0"/>
      <w:sz w:val="22"/>
      <w:szCs w:val="24"/>
      <w:lang w:eastAsia="en-US"/>
    </w:rPr>
  </w:style>
  <w:style w:type="paragraph" w:customStyle="1" w:styleId="NoSpacing1">
    <w:name w:val="No Spacing1"/>
    <w:uiPriority w:val="99"/>
    <w:qFormat/>
    <w:rsid w:val="003000A9"/>
    <w:rPr>
      <w:sz w:val="22"/>
      <w:szCs w:val="22"/>
      <w:lang w:val="en-GB" w:eastAsia="en-GB"/>
    </w:rPr>
  </w:style>
  <w:style w:type="paragraph" w:customStyle="1" w:styleId="ListParagraph1">
    <w:name w:val="List Paragraph1"/>
    <w:basedOn w:val="Normal"/>
    <w:uiPriority w:val="34"/>
    <w:qFormat/>
    <w:rsid w:val="003000A9"/>
    <w:pPr>
      <w:ind w:left="708"/>
    </w:pPr>
    <w:rPr>
      <w:rFonts w:eastAsia="SimSun"/>
      <w:lang w:val="en-GB" w:eastAsia="en-US"/>
    </w:rPr>
  </w:style>
  <w:style w:type="paragraph" w:customStyle="1" w:styleId="1GAPara">
    <w:name w:val="1. GA Para"/>
    <w:qFormat/>
    <w:rsid w:val="00230B28"/>
    <w:pPr>
      <w:spacing w:after="120"/>
      <w:ind w:left="567" w:hanging="567"/>
    </w:pPr>
    <w:rPr>
      <w:rFonts w:ascii="Arial" w:eastAsia="Times New Roman" w:hAnsi="Arial" w:cs="Arial"/>
      <w:snapToGrid w:val="0"/>
      <w:sz w:val="22"/>
      <w:szCs w:val="22"/>
      <w:lang w:val="en-GB" w:eastAsia="en-US"/>
    </w:rPr>
  </w:style>
  <w:style w:type="character" w:styleId="FootnoteReference">
    <w:name w:val="footnote reference"/>
    <w:basedOn w:val="DefaultParagraphFont"/>
    <w:uiPriority w:val="99"/>
    <w:unhideWhenUsed/>
    <w:rsid w:val="00E16598"/>
    <w:rPr>
      <w:vertAlign w:val="superscript"/>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locked/>
    <w:rsid w:val="00E16598"/>
    <w:rPr>
      <w:rFonts w:ascii="Times New Roman" w:eastAsia="Times New Roman" w:hAnsi="Times New Roman"/>
      <w:sz w:val="24"/>
      <w:szCs w:val="24"/>
    </w:rPr>
  </w:style>
  <w:style w:type="table" w:customStyle="1" w:styleId="Grilledutableau2">
    <w:name w:val="Grille du tableau2"/>
    <w:basedOn w:val="TableNormal"/>
    <w:next w:val="TableGrid"/>
    <w:uiPriority w:val="39"/>
    <w:rsid w:val="00E16598"/>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151</TotalTime>
  <Pages>11</Pages>
  <Words>4738</Words>
  <Characters>27011</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Kim, Dain</cp:lastModifiedBy>
  <cp:revision>48</cp:revision>
  <cp:lastPrinted>2011-08-06T10:22:00Z</cp:lastPrinted>
  <dcterms:created xsi:type="dcterms:W3CDTF">2021-07-19T09:20:00Z</dcterms:created>
  <dcterms:modified xsi:type="dcterms:W3CDTF">2022-10-05T15:32:00Z</dcterms:modified>
</cp:coreProperties>
</file>