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861A" w14:textId="3D6EF5BB" w:rsidR="002938F2" w:rsidRDefault="00F75E18" w:rsidP="00C13665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6A1A5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6A1A52">
        <w:rPr>
          <w:rFonts w:ascii="Arial" w:hAnsi="Arial" w:cs="Arial"/>
          <w:b/>
          <w:sz w:val="22"/>
          <w:szCs w:val="22"/>
          <w:lang w:val="fr-FR"/>
        </w:rPr>
        <w:br/>
        <w:t>PATRIMOINE CULTUREL IMMATÉRIEL</w:t>
      </w:r>
    </w:p>
    <w:p w14:paraId="7A999EE0" w14:textId="6BF8E4E4" w:rsidR="00FD6F6D" w:rsidRPr="00FD6F6D" w:rsidRDefault="00FD6F6D" w:rsidP="00FD6F6D">
      <w:pPr>
        <w:spacing w:before="1200"/>
        <w:jc w:val="center"/>
        <w:rPr>
          <w:rFonts w:ascii="Arial" w:hAnsi="Arial" w:cs="Arial"/>
          <w:b/>
          <w:noProof/>
          <w:sz w:val="22"/>
          <w:szCs w:val="22"/>
          <w:lang w:val="fr-FR"/>
        </w:rPr>
      </w:pPr>
      <w:r w:rsidRPr="00FD6F6D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FD6F6D">
        <w:rPr>
          <w:rFonts w:ascii="Arial" w:hAnsi="Arial" w:cs="Arial"/>
          <w:b/>
          <w:sz w:val="22"/>
          <w:szCs w:val="22"/>
          <w:lang w:val="fr-FR"/>
        </w:rPr>
        <w:br/>
        <w:t>DU PATRIMOINE CULTUREL IMMATÉRIEL</w:t>
      </w:r>
    </w:p>
    <w:p w14:paraId="4EE4A769" w14:textId="17D89C82" w:rsidR="00FD6F6D" w:rsidRDefault="00FD6F6D" w:rsidP="001D261B">
      <w:pPr>
        <w:spacing w:before="960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Cinquième session extraordinaire</w:t>
      </w:r>
    </w:p>
    <w:p w14:paraId="3AC80E10" w14:textId="520424E8" w:rsidR="00102CFD" w:rsidRPr="002C7804" w:rsidRDefault="00ED13E8" w:rsidP="00FD6F6D">
      <w:pPr>
        <w:jc w:val="center"/>
        <w:rPr>
          <w:rFonts w:ascii="Arial" w:hAnsi="Arial"/>
          <w:b/>
          <w:sz w:val="22"/>
          <w:lang w:val="fr-FR"/>
        </w:rPr>
      </w:pPr>
      <w:r w:rsidRPr="002C7804">
        <w:rPr>
          <w:rFonts w:ascii="Arial" w:hAnsi="Arial"/>
          <w:b/>
          <w:sz w:val="22"/>
          <w:lang w:val="fr-FR"/>
        </w:rPr>
        <w:t>En ligne</w:t>
      </w:r>
    </w:p>
    <w:p w14:paraId="021700DA" w14:textId="6C9A28B0" w:rsidR="002B776B" w:rsidRPr="002C7804" w:rsidRDefault="002C7804" w:rsidP="002B776B">
      <w:pPr>
        <w:jc w:val="center"/>
        <w:rPr>
          <w:rFonts w:ascii="Arial" w:hAnsi="Arial"/>
          <w:b/>
          <w:sz w:val="22"/>
          <w:lang w:val="fr-FR"/>
        </w:rPr>
      </w:pPr>
      <w:r w:rsidRPr="002C7804">
        <w:rPr>
          <w:rFonts w:ascii="Arial" w:hAnsi="Arial"/>
          <w:b/>
          <w:sz w:val="22"/>
          <w:lang w:val="fr-FR"/>
        </w:rPr>
        <w:t xml:space="preserve">1 </w:t>
      </w:r>
      <w:r w:rsidR="000D3F3D">
        <w:rPr>
          <w:rFonts w:ascii="Arial" w:hAnsi="Arial"/>
          <w:b/>
          <w:sz w:val="22"/>
          <w:lang w:val="fr-FR"/>
        </w:rPr>
        <w:t>juillet</w:t>
      </w:r>
      <w:r w:rsidRPr="002C7804">
        <w:rPr>
          <w:rFonts w:ascii="Arial" w:hAnsi="Arial"/>
          <w:b/>
          <w:sz w:val="22"/>
          <w:lang w:val="fr-FR"/>
        </w:rPr>
        <w:t xml:space="preserve"> </w:t>
      </w:r>
      <w:r w:rsidR="0022663D" w:rsidRPr="002C7804">
        <w:rPr>
          <w:rFonts w:ascii="Arial" w:hAnsi="Arial"/>
          <w:b/>
          <w:sz w:val="22"/>
          <w:lang w:val="fr-FR"/>
        </w:rPr>
        <w:t>2</w:t>
      </w:r>
      <w:r w:rsidR="00D50EE4" w:rsidRPr="002C7804">
        <w:rPr>
          <w:rFonts w:ascii="Arial" w:hAnsi="Arial"/>
          <w:b/>
          <w:sz w:val="22"/>
          <w:lang w:val="fr-FR"/>
        </w:rPr>
        <w:t>022</w:t>
      </w:r>
    </w:p>
    <w:p w14:paraId="3D3CC138" w14:textId="157ACCB6" w:rsidR="00C42FA9" w:rsidRDefault="00C42FA9" w:rsidP="00ED13E8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2C780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37522D" w:rsidRPr="002C7804">
        <w:rPr>
          <w:rFonts w:ascii="Arial" w:hAnsi="Arial" w:cs="Arial"/>
          <w:b/>
          <w:sz w:val="22"/>
          <w:szCs w:val="22"/>
          <w:u w:val="single"/>
        </w:rPr>
        <w:t>3</w:t>
      </w:r>
      <w:r w:rsidRPr="002C7804">
        <w:rPr>
          <w:rFonts w:ascii="Arial" w:hAnsi="Arial" w:cs="Arial"/>
          <w:b/>
          <w:sz w:val="22"/>
          <w:szCs w:val="22"/>
          <w:u w:val="single"/>
        </w:rPr>
        <w:t xml:space="preserve"> de l</w:t>
      </w:r>
      <w:r w:rsidR="0069664C">
        <w:rPr>
          <w:rFonts w:ascii="Arial" w:hAnsi="Arial" w:cs="Arial"/>
          <w:b/>
          <w:sz w:val="22"/>
          <w:szCs w:val="22"/>
          <w:u w:val="single"/>
        </w:rPr>
        <w:t>’</w:t>
      </w:r>
      <w:r w:rsidRPr="002C7804">
        <w:rPr>
          <w:rFonts w:ascii="Arial" w:hAnsi="Arial" w:cs="Arial"/>
          <w:b/>
          <w:sz w:val="22"/>
          <w:szCs w:val="22"/>
          <w:u w:val="single"/>
        </w:rPr>
        <w:t>ordre du jour</w:t>
      </w:r>
      <w:r w:rsidR="001D2896" w:rsidRPr="002C7804">
        <w:rPr>
          <w:rFonts w:ascii="Arial" w:hAnsi="Arial" w:cs="Arial"/>
          <w:b/>
          <w:sz w:val="22"/>
          <w:szCs w:val="22"/>
          <w:u w:val="single"/>
        </w:rPr>
        <w:t xml:space="preserve"> provisoire</w:t>
      </w:r>
      <w:r w:rsidR="00B310A5" w:rsidRPr="00B310A5">
        <w:rPr>
          <w:rFonts w:ascii="Arial" w:hAnsi="Arial" w:cs="Arial"/>
          <w:b/>
          <w:sz w:val="22"/>
          <w:szCs w:val="22"/>
        </w:rPr>
        <w:t> :</w:t>
      </w:r>
    </w:p>
    <w:p w14:paraId="493BEC9E" w14:textId="254B6FDD" w:rsidR="00ED13E8" w:rsidRPr="00E443E5" w:rsidRDefault="00E443E5" w:rsidP="00ED13E8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43E5">
        <w:rPr>
          <w:rFonts w:ascii="Arial" w:hAnsi="Arial" w:cs="Arial"/>
          <w:b/>
          <w:sz w:val="22"/>
          <w:szCs w:val="22"/>
        </w:rPr>
        <w:t>Adoption de l</w:t>
      </w:r>
      <w:r w:rsidR="0069664C">
        <w:rPr>
          <w:rFonts w:ascii="Arial" w:hAnsi="Arial" w:cs="Arial"/>
          <w:b/>
          <w:sz w:val="22"/>
          <w:szCs w:val="22"/>
        </w:rPr>
        <w:t>’</w:t>
      </w:r>
      <w:r w:rsidRPr="00E443E5">
        <w:rPr>
          <w:rFonts w:ascii="Arial" w:hAnsi="Arial" w:cs="Arial"/>
          <w:b/>
          <w:sz w:val="22"/>
          <w:szCs w:val="22"/>
        </w:rPr>
        <w:t>ordre du jour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C42FA9" w:rsidRPr="0037522D" w14:paraId="30671EBB" w14:textId="77777777" w:rsidTr="00093C45">
        <w:trPr>
          <w:jc w:val="center"/>
        </w:trPr>
        <w:tc>
          <w:tcPr>
            <w:tcW w:w="5670" w:type="dxa"/>
            <w:vAlign w:val="center"/>
          </w:tcPr>
          <w:p w14:paraId="0DA93BC8" w14:textId="280351B7" w:rsidR="00C42FA9" w:rsidRPr="00AF53DA" w:rsidRDefault="00ED13E8" w:rsidP="00ED13E8">
            <w:pPr>
              <w:pStyle w:val="Sansinterligne2"/>
              <w:spacing w:before="20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 xml:space="preserve">paragraphe </w:t>
            </w:r>
            <w:r w:rsidR="002B4C1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4BEA8DE7" w14:textId="77777777" w:rsidR="009F4072" w:rsidRDefault="009F4072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6B87001" w14:textId="12723979" w:rsidR="00ED13E8" w:rsidRPr="00022428" w:rsidRDefault="00E443E5" w:rsidP="002E2ACF">
      <w:pPr>
        <w:pStyle w:val="1GAParabodytext"/>
      </w:pPr>
      <w:r w:rsidRPr="00E443E5">
        <w:lastRenderedPageBreak/>
        <w:t>Conformément à l</w:t>
      </w:r>
      <w:r w:rsidR="0069664C">
        <w:t>’</w:t>
      </w:r>
      <w:r w:rsidRPr="00E443E5">
        <w:t xml:space="preserve">article 9.3 du </w:t>
      </w:r>
      <w:r w:rsidR="0069664C">
        <w:t>R</w:t>
      </w:r>
      <w:r w:rsidRPr="00E443E5">
        <w:t>èglement intérieur du Comité,</w:t>
      </w:r>
      <w:r>
        <w:t xml:space="preserve"> l</w:t>
      </w:r>
      <w:r w:rsidR="0069664C">
        <w:t>’</w:t>
      </w:r>
      <w:r>
        <w:t>ordre du jour provisoire d</w:t>
      </w:r>
      <w:r w:rsidR="0069664C">
        <w:t>’</w:t>
      </w:r>
      <w:r>
        <w:t>une session extraordinaire comprend uniquement les questions pour l</w:t>
      </w:r>
      <w:r w:rsidR="0069664C">
        <w:t>’</w:t>
      </w:r>
      <w:r>
        <w:t>examen desquelles la session extraordinaire a été convoquée.</w:t>
      </w:r>
    </w:p>
    <w:p w14:paraId="216C457E" w14:textId="79A2FDD7" w:rsidR="00E9143C" w:rsidRDefault="0089376C" w:rsidP="002E2ACF">
      <w:pPr>
        <w:pStyle w:val="1GAParabodytext"/>
      </w:pPr>
      <w:r>
        <w:t>L</w:t>
      </w:r>
      <w:r w:rsidRPr="0089376C">
        <w:t>ors de sa seizième session</w:t>
      </w:r>
      <w:r>
        <w:t>,</w:t>
      </w:r>
      <w:r w:rsidR="003321A6">
        <w:t xml:space="preserve"> le</w:t>
      </w:r>
      <w:r w:rsidR="003321A6" w:rsidRPr="003321A6">
        <w:t xml:space="preserve"> Comité intergouvernemental </w:t>
      </w:r>
      <w:r w:rsidR="003321A6">
        <w:t xml:space="preserve">a décidé </w:t>
      </w:r>
      <w:r w:rsidR="00E9143C">
        <w:t>de prolonger le mandat du groupe de travail intergouvernemental à composition non limitée (ci-après « le groupe de travail ») établi dans le cadre de la réflexion globale sur les mécanismes d</w:t>
      </w:r>
      <w:r w:rsidR="0069664C">
        <w:t>’</w:t>
      </w:r>
      <w:r w:rsidR="00E9143C">
        <w:t>inscription</w:t>
      </w:r>
      <w:r w:rsidR="002E61D1">
        <w:t xml:space="preserve"> sur les listes</w:t>
      </w:r>
      <w:r w:rsidR="00E9143C">
        <w:t xml:space="preserve"> de la Convention, </w:t>
      </w:r>
      <w:r w:rsidR="00B110BB" w:rsidRPr="00B110BB">
        <w:t>pour achever les discussions sur les autres questions soulevées par le groupe de travail</w:t>
      </w:r>
      <w:r w:rsidR="00E9143C">
        <w:t>, en convoquant une réunion (Partie III) en avril 2022 (</w:t>
      </w:r>
      <w:r w:rsidR="002E61D1">
        <w:t>d</w:t>
      </w:r>
      <w:r w:rsidR="00E9143C">
        <w:t xml:space="preserve">écision </w:t>
      </w:r>
      <w:hyperlink r:id="rId8" w:history="1">
        <w:r w:rsidR="00E9143C" w:rsidRPr="002E61D1">
          <w:rPr>
            <w:rStyle w:val="Hyperlink"/>
          </w:rPr>
          <w:t>16.COM</w:t>
        </w:r>
        <w:r w:rsidR="002E61D1">
          <w:rPr>
            <w:rStyle w:val="Hyperlink"/>
          </w:rPr>
          <w:t> </w:t>
        </w:r>
        <w:r w:rsidR="00E9143C" w:rsidRPr="002E61D1">
          <w:rPr>
            <w:rStyle w:val="Hyperlink"/>
          </w:rPr>
          <w:t>14</w:t>
        </w:r>
      </w:hyperlink>
      <w:r w:rsidR="00E9143C">
        <w:t xml:space="preserve">, paragraphe 10). La présente session extraordinaire fait suite à la </w:t>
      </w:r>
      <w:r w:rsidR="0069664C">
        <w:t>p</w:t>
      </w:r>
      <w:r w:rsidR="00E9143C">
        <w:t>artie III</w:t>
      </w:r>
      <w:r w:rsidR="0069664C">
        <w:t xml:space="preserve"> de la réunion</w:t>
      </w:r>
      <w:r w:rsidR="00E9143C">
        <w:t xml:space="preserve"> qui a eu lieu les 25 et 26 avril 2022, au cours de laquelle le groupe de travail a </w:t>
      </w:r>
      <w:r w:rsidR="0069664C">
        <w:t>émis</w:t>
      </w:r>
      <w:r w:rsidR="00E9143C">
        <w:t xml:space="preserve"> une série de recommandations (document </w:t>
      </w:r>
      <w:hyperlink r:id="rId9" w:history="1">
        <w:r w:rsidR="00E9143C" w:rsidRPr="009D2CB2">
          <w:rPr>
            <w:rStyle w:val="Hyperlink"/>
          </w:rPr>
          <w:t>LHE/22/17.COM</w:t>
        </w:r>
        <w:r w:rsidR="009D2CB2">
          <w:rPr>
            <w:rStyle w:val="Hyperlink"/>
          </w:rPr>
          <w:t> </w:t>
        </w:r>
        <w:r w:rsidR="00E9143C" w:rsidRPr="009D2CB2">
          <w:rPr>
            <w:rStyle w:val="Hyperlink"/>
          </w:rPr>
          <w:t>WG/Recommandations</w:t>
        </w:r>
      </w:hyperlink>
      <w:r w:rsidR="00E9143C">
        <w:t xml:space="preserve">) qui nécessiteraient des révisions des </w:t>
      </w:r>
      <w:r w:rsidR="0069664C">
        <w:t>d</w:t>
      </w:r>
      <w:r w:rsidR="00E9143C">
        <w:t xml:space="preserve">irectives opérationnelles (voir </w:t>
      </w:r>
      <w:hyperlink r:id="rId10" w:history="1">
        <w:r w:rsidR="00E9143C" w:rsidRPr="00CB4B73">
          <w:rPr>
            <w:rStyle w:val="Hyperlink"/>
          </w:rPr>
          <w:t>LHE/22/5.EXT.COM/4</w:t>
        </w:r>
      </w:hyperlink>
      <w:r w:rsidR="00E9143C">
        <w:t xml:space="preserve"> pour plus de détails).</w:t>
      </w:r>
    </w:p>
    <w:p w14:paraId="0CDF6E77" w14:textId="7C39C141" w:rsidR="00DF114B" w:rsidRDefault="00DF114B" w:rsidP="00DF114B">
      <w:pPr>
        <w:pStyle w:val="1GAParabodytext"/>
      </w:pPr>
      <w:r>
        <w:t>Conformément à l</w:t>
      </w:r>
      <w:r w:rsidR="0069664C">
        <w:t>’</w:t>
      </w:r>
      <w:r>
        <w:t>article 7(e) de la Convention, l</w:t>
      </w:r>
      <w:r w:rsidR="0069664C">
        <w:t>’</w:t>
      </w:r>
      <w:r>
        <w:t xml:space="preserve">une des fonctions du Comité est de </w:t>
      </w:r>
      <w:r w:rsidR="00275B92" w:rsidRPr="00275B92">
        <w:t>préparer et soumettre à l</w:t>
      </w:r>
      <w:r w:rsidR="0069664C">
        <w:t>’</w:t>
      </w:r>
      <w:r w:rsidR="00275B92" w:rsidRPr="00275B92">
        <w:t>approbation de l</w:t>
      </w:r>
      <w:r w:rsidR="0069664C">
        <w:t>’</w:t>
      </w:r>
      <w:r w:rsidR="00275B92" w:rsidRPr="00275B92">
        <w:t>Assemblée générale des directives opérationnelles pour la mise en œuvre de la Convention</w:t>
      </w:r>
      <w:r>
        <w:t>. En outre, la date de la présente session extraordinaire a été fixée, comme prévu par la seizième session du Comité, de manière à permettre</w:t>
      </w:r>
      <w:r w:rsidR="0069664C">
        <w:t xml:space="preserve"> à</w:t>
      </w:r>
      <w:r>
        <w:t xml:space="preserve"> </w:t>
      </w:r>
      <w:r w:rsidR="00275B92">
        <w:t>« </w:t>
      </w:r>
      <w:r>
        <w:t>la</w:t>
      </w:r>
      <w:r w:rsidR="001749B1" w:rsidRPr="001749B1">
        <w:t xml:space="preserve"> session extraordinaire du Comité qui se tiendra après la réunion du groupe de travail prolongé</w:t>
      </w:r>
      <w:r w:rsidR="00F15629">
        <w:t>…</w:t>
      </w:r>
      <w:r w:rsidR="001749B1" w:rsidRPr="001749B1">
        <w:t>d</w:t>
      </w:r>
      <w:r w:rsidR="0069664C">
        <w:t>’</w:t>
      </w:r>
      <w:r w:rsidR="001749B1" w:rsidRPr="001749B1">
        <w:t>examiner toute autre proposition du groupe de travail</w:t>
      </w:r>
      <w:r w:rsidR="00AA680F">
        <w:t>…</w:t>
      </w:r>
      <w:r w:rsidR="001749B1" w:rsidRPr="001749B1">
        <w:t>en vue d</w:t>
      </w:r>
      <w:r w:rsidR="0069664C">
        <w:t>’</w:t>
      </w:r>
      <w:r w:rsidR="001749B1" w:rsidRPr="001749B1">
        <w:t>une</w:t>
      </w:r>
      <w:r w:rsidR="00AA680F">
        <w:t>…</w:t>
      </w:r>
      <w:r w:rsidR="001749B1" w:rsidRPr="001749B1">
        <w:t>présentation à la neuvième session de l</w:t>
      </w:r>
      <w:r w:rsidR="0069664C">
        <w:t>’</w:t>
      </w:r>
      <w:r w:rsidR="001749B1" w:rsidRPr="001749B1">
        <w:t>Assemblée générale</w:t>
      </w:r>
      <w:r w:rsidR="001749B1">
        <w:t> »</w:t>
      </w:r>
      <w:r>
        <w:t>, qui doit se tenir au siège de l</w:t>
      </w:r>
      <w:r w:rsidR="0069664C">
        <w:t>’</w:t>
      </w:r>
      <w:r>
        <w:t xml:space="preserve">UNESCO du 5 au 7 juillet 2022 (décision </w:t>
      </w:r>
      <w:hyperlink r:id="rId11" w:history="1">
        <w:r w:rsidRPr="001749B1">
          <w:rPr>
            <w:rStyle w:val="Hyperlink"/>
          </w:rPr>
          <w:t>16.COM</w:t>
        </w:r>
        <w:r w:rsidR="001749B1">
          <w:rPr>
            <w:rStyle w:val="Hyperlink"/>
          </w:rPr>
          <w:t> </w:t>
        </w:r>
        <w:r w:rsidRPr="001749B1">
          <w:rPr>
            <w:rStyle w:val="Hyperlink"/>
          </w:rPr>
          <w:t>14</w:t>
        </w:r>
      </w:hyperlink>
      <w:r>
        <w:t>, paragraphe 12).</w:t>
      </w:r>
    </w:p>
    <w:p w14:paraId="7E5D8F02" w14:textId="12694137" w:rsidR="00ED13E8" w:rsidRPr="00022428" w:rsidRDefault="00ED13E8" w:rsidP="003321A6">
      <w:pPr>
        <w:pStyle w:val="COMParabodytext"/>
        <w:numPr>
          <w:ilvl w:val="0"/>
          <w:numId w:val="8"/>
        </w:numPr>
        <w:ind w:left="567" w:hanging="567"/>
        <w:rPr>
          <w:lang w:val="fr-FR"/>
        </w:rPr>
      </w:pPr>
      <w:r w:rsidRPr="00022428">
        <w:rPr>
          <w:rFonts w:eastAsia="SimSun"/>
          <w:lang w:val="fr-FR"/>
        </w:rPr>
        <w:t>Le Comité souhaitera peut-être adopter la décision suivante :</w:t>
      </w:r>
    </w:p>
    <w:p w14:paraId="6644489E" w14:textId="4353B51D" w:rsidR="00ED13E8" w:rsidRPr="00C51697" w:rsidRDefault="00ED13E8" w:rsidP="0069664C">
      <w:pPr>
        <w:spacing w:before="360" w:after="240"/>
        <w:ind w:left="1134" w:hanging="567"/>
        <w:jc w:val="both"/>
        <w:rPr>
          <w:rFonts w:asciiTheme="minorBidi" w:hAnsiTheme="minorBidi" w:cstheme="minorBidi"/>
          <w:b/>
          <w:sz w:val="22"/>
          <w:szCs w:val="22"/>
          <w:lang w:val="fr-FR"/>
        </w:rPr>
      </w:pPr>
      <w:r w:rsidRPr="00C51697">
        <w:rPr>
          <w:rFonts w:asciiTheme="minorBidi" w:hAnsiTheme="minorBidi" w:cstheme="minorBidi"/>
          <w:b/>
          <w:noProof/>
          <w:sz w:val="22"/>
          <w:szCs w:val="22"/>
          <w:lang w:val="fr-FR"/>
        </w:rPr>
        <w:t>PROJET</w:t>
      </w:r>
      <w:r w:rsidRPr="00C51697">
        <w:rPr>
          <w:rFonts w:asciiTheme="minorBidi" w:hAnsiTheme="minorBidi" w:cstheme="minorBidi"/>
          <w:b/>
          <w:sz w:val="22"/>
          <w:szCs w:val="22"/>
          <w:lang w:val="fr-FR"/>
        </w:rPr>
        <w:t xml:space="preserve"> DE DÉCISION </w:t>
      </w:r>
      <w:r w:rsidR="00BA35D7" w:rsidRPr="00C51697">
        <w:rPr>
          <w:rFonts w:asciiTheme="minorBidi" w:hAnsiTheme="minorBidi" w:cstheme="minorBidi"/>
          <w:b/>
          <w:sz w:val="22"/>
          <w:szCs w:val="22"/>
          <w:lang w:val="fr-FR"/>
        </w:rPr>
        <w:t>5</w:t>
      </w:r>
      <w:r w:rsidRPr="00C51697">
        <w:rPr>
          <w:rFonts w:asciiTheme="minorBidi" w:hAnsiTheme="minorBidi" w:cstheme="minorBidi"/>
          <w:b/>
          <w:sz w:val="22"/>
          <w:szCs w:val="22"/>
          <w:lang w:val="fr-FR"/>
        </w:rPr>
        <w:t>.</w:t>
      </w:r>
      <w:r w:rsidR="00BA35D7" w:rsidRPr="00C51697">
        <w:rPr>
          <w:rFonts w:asciiTheme="minorBidi" w:hAnsiTheme="minorBidi" w:cstheme="minorBidi"/>
          <w:b/>
          <w:sz w:val="22"/>
          <w:szCs w:val="22"/>
          <w:lang w:val="fr-FR"/>
        </w:rPr>
        <w:t>EXT.</w:t>
      </w:r>
      <w:r w:rsidRPr="00C51697">
        <w:rPr>
          <w:rFonts w:asciiTheme="minorBidi" w:hAnsiTheme="minorBidi" w:cstheme="minorBidi"/>
          <w:b/>
          <w:sz w:val="22"/>
          <w:szCs w:val="22"/>
          <w:lang w:val="fr-FR"/>
        </w:rPr>
        <w:t xml:space="preserve">COM </w:t>
      </w:r>
      <w:r w:rsidR="0037522D" w:rsidRPr="00C51697">
        <w:rPr>
          <w:rFonts w:asciiTheme="minorBidi" w:hAnsiTheme="minorBidi" w:cstheme="minorBidi"/>
          <w:b/>
          <w:sz w:val="22"/>
          <w:szCs w:val="22"/>
          <w:lang w:val="fr-FR"/>
        </w:rPr>
        <w:t>3</w:t>
      </w:r>
    </w:p>
    <w:p w14:paraId="64A2D034" w14:textId="77777777" w:rsidR="00ED13E8" w:rsidRPr="00B43974" w:rsidRDefault="00ED13E8" w:rsidP="00ED13E8">
      <w:pPr>
        <w:pStyle w:val="COMPreambulaDecision"/>
      </w:pPr>
      <w:r w:rsidRPr="00B43974">
        <w:t>Le Comité,</w:t>
      </w:r>
    </w:p>
    <w:p w14:paraId="551A4FED" w14:textId="1791C687" w:rsidR="00ED13E8" w:rsidRPr="00C37317" w:rsidRDefault="00ED13E8" w:rsidP="002F5274">
      <w:pPr>
        <w:pStyle w:val="COMParaDecision"/>
        <w:ind w:left="1134" w:hanging="567"/>
      </w:pPr>
      <w:r w:rsidRPr="00B43974">
        <w:t>Ayant examiné</w:t>
      </w:r>
      <w:r w:rsidRPr="00B43974">
        <w:rPr>
          <w:u w:val="none"/>
        </w:rPr>
        <w:t xml:space="preserve"> </w:t>
      </w:r>
      <w:r w:rsidR="00F54C36">
        <w:rPr>
          <w:u w:val="none"/>
        </w:rPr>
        <w:t>le</w:t>
      </w:r>
      <w:r w:rsidR="007F3FBF">
        <w:rPr>
          <w:u w:val="none"/>
        </w:rPr>
        <w:t>s</w:t>
      </w:r>
      <w:r w:rsidR="00F54C36">
        <w:rPr>
          <w:u w:val="none"/>
        </w:rPr>
        <w:t xml:space="preserve"> </w:t>
      </w:r>
      <w:r w:rsidR="00F54C36" w:rsidRPr="00F54C36">
        <w:rPr>
          <w:u w:val="none"/>
        </w:rPr>
        <w:t>document</w:t>
      </w:r>
      <w:r w:rsidR="007F3FBF">
        <w:rPr>
          <w:u w:val="none"/>
        </w:rPr>
        <w:t>s</w:t>
      </w:r>
      <w:r w:rsidR="00F54C36" w:rsidRPr="00F54C36">
        <w:rPr>
          <w:u w:val="none"/>
        </w:rPr>
        <w:t xml:space="preserve"> </w:t>
      </w:r>
      <w:hyperlink r:id="rId12" w:history="1">
        <w:r w:rsidR="00F54C36" w:rsidRPr="001A2CCF">
          <w:rPr>
            <w:rStyle w:val="Hyperlink"/>
          </w:rPr>
          <w:t>LHE/22/17.COM</w:t>
        </w:r>
        <w:r w:rsidR="0069664C" w:rsidRPr="001A2CCF">
          <w:rPr>
            <w:rStyle w:val="Hyperlink"/>
          </w:rPr>
          <w:t> </w:t>
        </w:r>
        <w:r w:rsidR="00F54C36" w:rsidRPr="001A2CCF">
          <w:rPr>
            <w:rStyle w:val="Hyperlink"/>
          </w:rPr>
          <w:t>WG/Recommandations</w:t>
        </w:r>
      </w:hyperlink>
      <w:r w:rsidR="00F54C36">
        <w:rPr>
          <w:u w:val="none"/>
        </w:rPr>
        <w:t xml:space="preserve"> et</w:t>
      </w:r>
      <w:r>
        <w:rPr>
          <w:u w:val="none"/>
        </w:rPr>
        <w:t xml:space="preserve"> </w:t>
      </w:r>
      <w:r w:rsidR="00BA35D7">
        <w:rPr>
          <w:u w:val="none"/>
        </w:rPr>
        <w:t>LHE/22/5.EXT</w:t>
      </w:r>
      <w:r w:rsidR="00BA35D7" w:rsidRPr="00F32C23">
        <w:rPr>
          <w:u w:val="none"/>
        </w:rPr>
        <w:t>.COM/</w:t>
      </w:r>
      <w:r w:rsidR="00E443E5">
        <w:rPr>
          <w:u w:val="none"/>
        </w:rPr>
        <w:t>3</w:t>
      </w:r>
      <w:r w:rsidR="002F5274">
        <w:rPr>
          <w:u w:val="none"/>
        </w:rPr>
        <w:t xml:space="preserve"> Rev.</w:t>
      </w:r>
      <w:r>
        <w:rPr>
          <w:u w:val="none"/>
        </w:rPr>
        <w:t>,</w:t>
      </w:r>
    </w:p>
    <w:p w14:paraId="22859C68" w14:textId="549F340B" w:rsidR="00C37317" w:rsidRPr="00022428" w:rsidRDefault="00C37317" w:rsidP="002F5274">
      <w:pPr>
        <w:pStyle w:val="COMParaDecision"/>
        <w:ind w:left="1134" w:hanging="567"/>
      </w:pPr>
      <w:r w:rsidRPr="00022428">
        <w:t>Rappelant</w:t>
      </w:r>
      <w:r w:rsidRPr="0069664C">
        <w:rPr>
          <w:u w:val="none"/>
        </w:rPr>
        <w:t xml:space="preserve"> </w:t>
      </w:r>
      <w:r w:rsidRPr="00C37317">
        <w:rPr>
          <w:u w:val="none"/>
        </w:rPr>
        <w:t>l</w:t>
      </w:r>
      <w:r w:rsidR="0069664C">
        <w:rPr>
          <w:u w:val="none"/>
        </w:rPr>
        <w:t>’</w:t>
      </w:r>
      <w:r w:rsidRPr="00C37317">
        <w:rPr>
          <w:u w:val="none"/>
        </w:rPr>
        <w:t>a</w:t>
      </w:r>
      <w:r w:rsidR="0069664C">
        <w:rPr>
          <w:u w:val="none"/>
        </w:rPr>
        <w:t>rticle</w:t>
      </w:r>
      <w:r w:rsidRPr="00C37317">
        <w:rPr>
          <w:u w:val="none"/>
        </w:rPr>
        <w:t xml:space="preserve"> 9.3 </w:t>
      </w:r>
      <w:r w:rsidR="007F3FBF">
        <w:rPr>
          <w:u w:val="none"/>
        </w:rPr>
        <w:t>d</w:t>
      </w:r>
      <w:r w:rsidR="0069664C">
        <w:rPr>
          <w:u w:val="none"/>
        </w:rPr>
        <w:t>e son</w:t>
      </w:r>
      <w:r w:rsidRPr="00C37317">
        <w:rPr>
          <w:u w:val="none"/>
        </w:rPr>
        <w:t xml:space="preserve"> </w:t>
      </w:r>
      <w:r w:rsidR="0069664C">
        <w:rPr>
          <w:u w:val="none"/>
        </w:rPr>
        <w:t>R</w:t>
      </w:r>
      <w:r w:rsidRPr="00C37317">
        <w:rPr>
          <w:u w:val="none"/>
        </w:rPr>
        <w:t>èglement intérieur ainsi que l</w:t>
      </w:r>
      <w:r w:rsidR="0069664C">
        <w:rPr>
          <w:u w:val="none"/>
        </w:rPr>
        <w:t>’</w:t>
      </w:r>
      <w:r w:rsidRPr="00C37317">
        <w:rPr>
          <w:u w:val="none"/>
        </w:rPr>
        <w:t>article 7(e) de la Convention,</w:t>
      </w:r>
    </w:p>
    <w:p w14:paraId="6D792CA8" w14:textId="48F08539" w:rsidR="00ED13E8" w:rsidRPr="00855B13" w:rsidRDefault="00ED13E8" w:rsidP="002F5274">
      <w:pPr>
        <w:pStyle w:val="COMParaDecision"/>
        <w:ind w:left="1134" w:hanging="567"/>
        <w:rPr>
          <w:u w:val="none"/>
        </w:rPr>
      </w:pPr>
      <w:r w:rsidRPr="00022428">
        <w:t>Rappelant</w:t>
      </w:r>
      <w:r w:rsidR="00556AAC">
        <w:t xml:space="preserve"> en outre</w:t>
      </w:r>
      <w:r w:rsidRPr="00B43974">
        <w:rPr>
          <w:u w:val="none"/>
        </w:rPr>
        <w:t xml:space="preserve"> </w:t>
      </w:r>
      <w:r w:rsidR="0069664C">
        <w:rPr>
          <w:u w:val="none"/>
        </w:rPr>
        <w:t xml:space="preserve">la </w:t>
      </w:r>
      <w:r w:rsidR="00AE32BE" w:rsidRPr="00AE32BE">
        <w:rPr>
          <w:u w:val="none"/>
        </w:rPr>
        <w:t xml:space="preserve">décision </w:t>
      </w:r>
      <w:hyperlink r:id="rId13" w:history="1">
        <w:r w:rsidR="00AE32BE" w:rsidRPr="0069664C">
          <w:rPr>
            <w:rStyle w:val="Hyperlink"/>
          </w:rPr>
          <w:t>16.COM</w:t>
        </w:r>
        <w:r w:rsidR="00C51697">
          <w:rPr>
            <w:rStyle w:val="Hyperlink"/>
          </w:rPr>
          <w:t> </w:t>
        </w:r>
        <w:r w:rsidR="00AE32BE" w:rsidRPr="0069664C">
          <w:rPr>
            <w:rStyle w:val="Hyperlink"/>
          </w:rPr>
          <w:t>14</w:t>
        </w:r>
      </w:hyperlink>
      <w:r w:rsidR="00AE32BE">
        <w:rPr>
          <w:u w:val="none"/>
        </w:rPr>
        <w:t>,</w:t>
      </w:r>
    </w:p>
    <w:p w14:paraId="34978092" w14:textId="283FF70D" w:rsidR="0040329B" w:rsidRPr="0040329B" w:rsidRDefault="0040329B" w:rsidP="002F5274">
      <w:pPr>
        <w:pStyle w:val="COMParaDecision"/>
        <w:ind w:left="1134" w:hanging="567"/>
      </w:pPr>
      <w:r w:rsidRPr="005C0A49">
        <w:t>Adopte</w:t>
      </w:r>
      <w:r w:rsidRPr="005C0A49">
        <w:rPr>
          <w:u w:val="none"/>
        </w:rPr>
        <w:t xml:space="preserve"> l</w:t>
      </w:r>
      <w:r w:rsidR="0069664C">
        <w:rPr>
          <w:u w:val="none"/>
        </w:rPr>
        <w:t>’</w:t>
      </w:r>
      <w:r w:rsidRPr="005C0A49">
        <w:rPr>
          <w:u w:val="none"/>
        </w:rPr>
        <w:t xml:space="preserve">ordre du jour </w:t>
      </w:r>
      <w:r w:rsidRPr="0040329B">
        <w:rPr>
          <w:u w:val="none"/>
        </w:rPr>
        <w:t xml:space="preserve">de </w:t>
      </w:r>
      <w:r w:rsidR="0069664C">
        <w:rPr>
          <w:u w:val="none"/>
        </w:rPr>
        <w:t>s</w:t>
      </w:r>
      <w:r w:rsidRPr="0040329B">
        <w:rPr>
          <w:u w:val="none"/>
        </w:rPr>
        <w:t>a cinquième session extraordinaire</w:t>
      </w:r>
      <w:r>
        <w:rPr>
          <w:u w:val="none"/>
        </w:rPr>
        <w:t xml:space="preserve"> (en ligne,</w:t>
      </w:r>
      <w:r w:rsidR="00653397">
        <w:rPr>
          <w:u w:val="none"/>
        </w:rPr>
        <w:t xml:space="preserve"> 1 juillet </w:t>
      </w:r>
      <w:r>
        <w:rPr>
          <w:u w:val="none"/>
        </w:rPr>
        <w:t>2022) tel que figurant ci-dessous :</w:t>
      </w:r>
    </w:p>
    <w:p w14:paraId="549CE198" w14:textId="77777777" w:rsidR="0040329B" w:rsidRPr="0040329B" w:rsidRDefault="0040329B" w:rsidP="0069664C">
      <w:pPr>
        <w:tabs>
          <w:tab w:val="left" w:pos="1134"/>
        </w:tabs>
        <w:spacing w:before="360" w:after="240"/>
        <w:ind w:left="1134"/>
        <w:outlineLvl w:val="0"/>
        <w:rPr>
          <w:rFonts w:ascii="Arial" w:eastAsia="SimSun" w:hAnsi="Arial" w:cs="Arial"/>
          <w:b/>
          <w:sz w:val="22"/>
          <w:szCs w:val="22"/>
        </w:rPr>
      </w:pPr>
      <w:r w:rsidRPr="0040329B">
        <w:rPr>
          <w:rFonts w:ascii="Arial" w:eastAsia="SimSun" w:hAnsi="Arial" w:cs="Arial"/>
          <w:b/>
          <w:sz w:val="22"/>
          <w:szCs w:val="22"/>
        </w:rPr>
        <w:t>Ordre du jour</w:t>
      </w:r>
    </w:p>
    <w:p w14:paraId="653418DA" w14:textId="080B0EBA" w:rsidR="0040329B" w:rsidRDefault="0040329B" w:rsidP="0069664C">
      <w:pPr>
        <w:pStyle w:val="COMParaDecision"/>
        <w:numPr>
          <w:ilvl w:val="0"/>
          <w:numId w:val="18"/>
        </w:numPr>
        <w:spacing w:after="160"/>
        <w:ind w:left="1701" w:hanging="567"/>
        <w:rPr>
          <w:noProof/>
          <w:u w:val="none"/>
        </w:rPr>
      </w:pPr>
      <w:r>
        <w:rPr>
          <w:noProof/>
          <w:u w:val="none"/>
        </w:rPr>
        <w:t>Ouverture</w:t>
      </w:r>
    </w:p>
    <w:p w14:paraId="54234551" w14:textId="373D69F6" w:rsidR="000F338C" w:rsidRPr="004C4757" w:rsidRDefault="000F338C" w:rsidP="0069664C">
      <w:pPr>
        <w:pStyle w:val="COMParaDecision"/>
        <w:numPr>
          <w:ilvl w:val="0"/>
          <w:numId w:val="18"/>
        </w:numPr>
        <w:spacing w:after="160"/>
        <w:ind w:left="1701" w:hanging="567"/>
        <w:rPr>
          <w:noProof/>
          <w:u w:val="none"/>
        </w:rPr>
      </w:pPr>
      <w:r w:rsidRPr="000F338C">
        <w:rPr>
          <w:noProof/>
          <w:u w:val="none"/>
        </w:rPr>
        <w:t>Élection du Bureau</w:t>
      </w:r>
    </w:p>
    <w:p w14:paraId="1DBDA25E" w14:textId="4056ED5F" w:rsidR="000F338C" w:rsidRPr="004C4757" w:rsidRDefault="0040329B" w:rsidP="0069664C">
      <w:pPr>
        <w:pStyle w:val="COMParaDecision"/>
        <w:numPr>
          <w:ilvl w:val="0"/>
          <w:numId w:val="18"/>
        </w:numPr>
        <w:spacing w:after="160"/>
        <w:ind w:left="1701" w:hanging="567"/>
        <w:rPr>
          <w:noProof/>
          <w:u w:val="none"/>
        </w:rPr>
      </w:pPr>
      <w:r>
        <w:rPr>
          <w:noProof/>
          <w:u w:val="none"/>
        </w:rPr>
        <w:t>Adoption de l</w:t>
      </w:r>
      <w:r w:rsidR="0069664C">
        <w:rPr>
          <w:noProof/>
          <w:u w:val="none"/>
        </w:rPr>
        <w:t>’</w:t>
      </w:r>
      <w:r>
        <w:rPr>
          <w:noProof/>
          <w:u w:val="none"/>
        </w:rPr>
        <w:t>ordre du jour</w:t>
      </w:r>
    </w:p>
    <w:p w14:paraId="508DD6BB" w14:textId="6FA91FAA" w:rsidR="0040329B" w:rsidRDefault="0069664C" w:rsidP="0069664C">
      <w:pPr>
        <w:pStyle w:val="COMParaDecision"/>
        <w:numPr>
          <w:ilvl w:val="0"/>
          <w:numId w:val="18"/>
        </w:numPr>
        <w:spacing w:after="160"/>
        <w:ind w:left="1701" w:hanging="567"/>
        <w:rPr>
          <w:noProof/>
          <w:u w:val="none"/>
        </w:rPr>
      </w:pPr>
      <w:r w:rsidRPr="0069664C">
        <w:rPr>
          <w:noProof/>
          <w:u w:val="none"/>
        </w:rPr>
        <w:t>La réflexion globale sur les mécanismes d’inscription sur les listes de la Convention et révisions proposées aux directives opérationnelles</w:t>
      </w:r>
    </w:p>
    <w:p w14:paraId="4630AB34" w14:textId="32B7C1E5" w:rsidR="002F5274" w:rsidRPr="002F5274" w:rsidRDefault="002F5274" w:rsidP="003B1265">
      <w:pPr>
        <w:pStyle w:val="COMParaDecision"/>
        <w:numPr>
          <w:ilvl w:val="0"/>
          <w:numId w:val="18"/>
        </w:numPr>
        <w:spacing w:after="160"/>
        <w:ind w:left="1701" w:hanging="567"/>
        <w:rPr>
          <w:noProof/>
          <w:u w:val="none"/>
        </w:rPr>
      </w:pPr>
      <w:r w:rsidRPr="002F5274">
        <w:rPr>
          <w:noProof/>
          <w:u w:val="none"/>
        </w:rPr>
        <w:t>Demande d’examen de la candidature de « La culture de la préparation du bortsch ukrainien » par l’Ukraine pour la Liste de sauvegarde urgente, en tant que cas d’extrême urgence</w:t>
      </w:r>
    </w:p>
    <w:p w14:paraId="272BF481" w14:textId="06969779" w:rsidR="000F338C" w:rsidRPr="0040329B" w:rsidRDefault="000F338C" w:rsidP="0069664C">
      <w:pPr>
        <w:pStyle w:val="COMParaDecision"/>
        <w:numPr>
          <w:ilvl w:val="0"/>
          <w:numId w:val="18"/>
        </w:numPr>
        <w:spacing w:after="160"/>
        <w:ind w:left="1701" w:hanging="567"/>
        <w:rPr>
          <w:noProof/>
          <w:u w:val="none"/>
        </w:rPr>
      </w:pPr>
      <w:r>
        <w:rPr>
          <w:noProof/>
          <w:u w:val="none"/>
        </w:rPr>
        <w:t>Clôture</w:t>
      </w:r>
    </w:p>
    <w:sectPr w:rsidR="000F338C" w:rsidRPr="0040329B" w:rsidSect="002938F2">
      <w:headerReference w:type="even" r:id="rId14"/>
      <w:headerReference w:type="default" r:id="rId15"/>
      <w:headerReference w:type="first" r:id="rId16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C182" w14:textId="77777777" w:rsidR="00BA3560" w:rsidRDefault="00BA3560" w:rsidP="002938F2">
      <w:r>
        <w:separator/>
      </w:r>
    </w:p>
  </w:endnote>
  <w:endnote w:type="continuationSeparator" w:id="0">
    <w:p w14:paraId="693EC5B8" w14:textId="77777777" w:rsidR="00BA3560" w:rsidRDefault="00BA3560" w:rsidP="002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2C53" w14:textId="77777777" w:rsidR="00BA3560" w:rsidRDefault="00BA3560" w:rsidP="002938F2">
      <w:r>
        <w:separator/>
      </w:r>
    </w:p>
  </w:footnote>
  <w:footnote w:type="continuationSeparator" w:id="0">
    <w:p w14:paraId="29C63978" w14:textId="77777777" w:rsidR="00BA3560" w:rsidRDefault="00BA3560" w:rsidP="0029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5F17" w14:textId="5F910D8E" w:rsidR="00210652" w:rsidRPr="0022663D" w:rsidRDefault="002B776B" w:rsidP="00374593">
    <w:pPr>
      <w:pStyle w:val="Header"/>
      <w:rPr>
        <w:rFonts w:ascii="Arial" w:hAnsi="Arial" w:cs="Arial"/>
        <w:lang w:val="pt-PT"/>
      </w:rPr>
    </w:pPr>
    <w:r w:rsidRPr="0022663D">
      <w:rPr>
        <w:rFonts w:ascii="Arial" w:hAnsi="Arial" w:cs="Arial"/>
        <w:sz w:val="20"/>
        <w:szCs w:val="20"/>
        <w:lang w:val="pt-PT"/>
      </w:rPr>
      <w:t>LHE/2</w:t>
    </w:r>
    <w:r w:rsidR="0022663D" w:rsidRPr="0022663D">
      <w:rPr>
        <w:rFonts w:ascii="Arial" w:hAnsi="Arial" w:cs="Arial"/>
        <w:sz w:val="20"/>
        <w:szCs w:val="20"/>
        <w:lang w:val="pt-PT"/>
      </w:rPr>
      <w:t>2</w:t>
    </w:r>
    <w:r w:rsidRPr="0022663D">
      <w:rPr>
        <w:rFonts w:ascii="Arial" w:hAnsi="Arial" w:cs="Arial"/>
        <w:sz w:val="20"/>
        <w:szCs w:val="20"/>
        <w:lang w:val="pt-PT"/>
      </w:rPr>
      <w:t>/</w:t>
    </w:r>
    <w:r w:rsidR="00FD6F6D">
      <w:rPr>
        <w:rFonts w:ascii="Arial" w:hAnsi="Arial" w:cs="Arial"/>
        <w:sz w:val="20"/>
        <w:szCs w:val="20"/>
        <w:lang w:val="pt-PT"/>
      </w:rPr>
      <w:t>5</w:t>
    </w:r>
    <w:r w:rsidR="00210652" w:rsidRPr="0022663D">
      <w:rPr>
        <w:rFonts w:ascii="Arial" w:hAnsi="Arial" w:cs="Arial"/>
        <w:sz w:val="20"/>
        <w:szCs w:val="20"/>
        <w:lang w:val="pt-PT"/>
      </w:rPr>
      <w:t>.</w:t>
    </w:r>
    <w:r w:rsidR="00FD6F6D">
      <w:rPr>
        <w:rFonts w:ascii="Arial" w:hAnsi="Arial" w:cs="Arial"/>
        <w:sz w:val="20"/>
        <w:szCs w:val="20"/>
        <w:lang w:val="pt-PT"/>
      </w:rPr>
      <w:t>EXT.</w:t>
    </w:r>
    <w:r w:rsidR="00074CE1" w:rsidRPr="0022663D">
      <w:rPr>
        <w:rFonts w:ascii="Arial" w:hAnsi="Arial" w:cs="Arial"/>
        <w:sz w:val="20"/>
        <w:szCs w:val="20"/>
        <w:lang w:val="pt-PT"/>
      </w:rPr>
      <w:t>COM</w:t>
    </w:r>
    <w:r w:rsidR="00210652" w:rsidRPr="0022663D">
      <w:rPr>
        <w:rFonts w:ascii="Arial" w:hAnsi="Arial" w:cs="Arial"/>
        <w:sz w:val="20"/>
        <w:szCs w:val="20"/>
        <w:lang w:val="pt-PT"/>
      </w:rPr>
      <w:t>/</w:t>
    </w:r>
    <w:r w:rsidR="0037522D">
      <w:rPr>
        <w:rFonts w:ascii="Arial" w:hAnsi="Arial" w:cs="Arial"/>
        <w:sz w:val="20"/>
        <w:szCs w:val="20"/>
        <w:lang w:val="pt-PT"/>
      </w:rPr>
      <w:t>3</w:t>
    </w:r>
    <w:r w:rsidR="002F5274">
      <w:rPr>
        <w:rFonts w:ascii="Arial" w:hAnsi="Arial" w:cs="Arial"/>
        <w:sz w:val="20"/>
        <w:szCs w:val="20"/>
        <w:lang w:val="pt-PT"/>
      </w:rPr>
      <w:t>.Rev</w:t>
    </w:r>
    <w:r w:rsidR="00210652" w:rsidRPr="0022663D">
      <w:rPr>
        <w:rFonts w:ascii="Arial" w:hAnsi="Arial" w:cs="Arial"/>
        <w:sz w:val="20"/>
        <w:szCs w:val="20"/>
        <w:lang w:val="pt-PT"/>
      </w:rPr>
      <w:t xml:space="preserve"> – </w:t>
    </w:r>
    <w:proofErr w:type="spellStart"/>
    <w:r w:rsidR="00210652" w:rsidRPr="0022663D">
      <w:rPr>
        <w:rFonts w:ascii="Arial" w:hAnsi="Arial" w:cs="Arial"/>
        <w:sz w:val="20"/>
        <w:szCs w:val="20"/>
        <w:lang w:val="pt-PT"/>
      </w:rPr>
      <w:t>page</w:t>
    </w:r>
    <w:proofErr w:type="spellEnd"/>
    <w:r w:rsidR="00210652" w:rsidRPr="0022663D">
      <w:rPr>
        <w:rFonts w:ascii="Arial" w:hAnsi="Arial" w:cs="Arial"/>
        <w:sz w:val="20"/>
        <w:szCs w:val="20"/>
        <w:lang w:val="pt-PT"/>
      </w:rPr>
      <w:t xml:space="preserve"> </w: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begin"/>
    </w:r>
    <w:r w:rsidR="00210652" w:rsidRPr="0022663D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separate"/>
    </w:r>
    <w:r w:rsidR="007A68C7" w:rsidRPr="0022663D">
      <w:rPr>
        <w:rStyle w:val="PageNumber"/>
        <w:rFonts w:ascii="Arial" w:hAnsi="Arial" w:cs="Arial"/>
        <w:noProof/>
        <w:sz w:val="20"/>
        <w:szCs w:val="20"/>
        <w:lang w:val="pt-PT"/>
      </w:rPr>
      <w:t>2</w: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9839" w14:textId="641D6414" w:rsidR="00210652" w:rsidRPr="00ED13E8" w:rsidRDefault="00ED13E8" w:rsidP="00ED13E8">
    <w:pPr>
      <w:pStyle w:val="Header"/>
      <w:jc w:val="right"/>
      <w:rPr>
        <w:rFonts w:ascii="Arial" w:hAnsi="Arial" w:cs="Arial"/>
        <w:lang w:val="pt-PT"/>
      </w:rPr>
    </w:pPr>
    <w:r w:rsidRPr="0022663D">
      <w:rPr>
        <w:rFonts w:ascii="Arial" w:hAnsi="Arial" w:cs="Arial"/>
        <w:sz w:val="20"/>
        <w:szCs w:val="20"/>
        <w:lang w:val="pt-PT"/>
      </w:rPr>
      <w:t>LHE/22/</w:t>
    </w:r>
    <w:r>
      <w:rPr>
        <w:rFonts w:ascii="Arial" w:hAnsi="Arial" w:cs="Arial"/>
        <w:sz w:val="20"/>
        <w:szCs w:val="20"/>
        <w:lang w:val="pt-PT"/>
      </w:rPr>
      <w:t>5</w:t>
    </w:r>
    <w:r w:rsidRPr="0022663D">
      <w:rPr>
        <w:rFonts w:ascii="Arial" w:hAnsi="Arial" w:cs="Arial"/>
        <w:sz w:val="20"/>
        <w:szCs w:val="20"/>
        <w:lang w:val="pt-PT"/>
      </w:rPr>
      <w:t>.</w:t>
    </w:r>
    <w:r>
      <w:rPr>
        <w:rFonts w:ascii="Arial" w:hAnsi="Arial" w:cs="Arial"/>
        <w:sz w:val="20"/>
        <w:szCs w:val="20"/>
        <w:lang w:val="pt-PT"/>
      </w:rPr>
      <w:t>EXT.</w:t>
    </w:r>
    <w:r w:rsidRPr="0022663D">
      <w:rPr>
        <w:rFonts w:ascii="Arial" w:hAnsi="Arial" w:cs="Arial"/>
        <w:sz w:val="20"/>
        <w:szCs w:val="20"/>
        <w:lang w:val="pt-PT"/>
      </w:rPr>
      <w:t>COM/</w:t>
    </w:r>
    <w:r w:rsidR="0037522D">
      <w:rPr>
        <w:rFonts w:ascii="Arial" w:hAnsi="Arial" w:cs="Arial"/>
        <w:sz w:val="20"/>
        <w:szCs w:val="20"/>
        <w:lang w:val="pt-PT"/>
      </w:rPr>
      <w:t>3</w:t>
    </w:r>
    <w:r w:rsidRPr="0022663D">
      <w:rPr>
        <w:rFonts w:ascii="Arial" w:hAnsi="Arial" w:cs="Arial"/>
        <w:sz w:val="20"/>
        <w:szCs w:val="20"/>
        <w:lang w:val="pt-PT"/>
      </w:rPr>
      <w:t xml:space="preserve"> – </w:t>
    </w:r>
    <w:proofErr w:type="spellStart"/>
    <w:r w:rsidRPr="0022663D">
      <w:rPr>
        <w:rFonts w:ascii="Arial" w:hAnsi="Arial" w:cs="Arial"/>
        <w:sz w:val="20"/>
        <w:szCs w:val="20"/>
        <w:lang w:val="pt-PT"/>
      </w:rPr>
      <w:t>page</w:t>
    </w:r>
    <w:proofErr w:type="spellEnd"/>
    <w:r w:rsidRPr="0022663D">
      <w:rPr>
        <w:rFonts w:ascii="Arial" w:hAnsi="Arial" w:cs="Arial"/>
        <w:sz w:val="20"/>
        <w:szCs w:val="20"/>
        <w:lang w:val="pt-PT"/>
      </w:rPr>
      <w:t xml:space="preserve"> </w:t>
    </w:r>
    <w:r w:rsidRPr="00290AA9">
      <w:rPr>
        <w:rStyle w:val="PageNumber"/>
        <w:rFonts w:ascii="Arial" w:hAnsi="Arial" w:cs="Arial"/>
        <w:sz w:val="20"/>
        <w:szCs w:val="20"/>
        <w:lang w:val="fr-FR"/>
      </w:rPr>
      <w:fldChar w:fldCharType="begin"/>
    </w:r>
    <w:r w:rsidRPr="0022663D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Pr="00290AA9">
      <w:rPr>
        <w:rStyle w:val="PageNumber"/>
        <w:rFonts w:ascii="Arial" w:hAnsi="Arial" w:cs="Arial"/>
        <w:sz w:val="20"/>
        <w:szCs w:val="20"/>
        <w:lang w:val="fr-FR"/>
      </w:rPr>
      <w:fldChar w:fldCharType="separate"/>
    </w:r>
    <w:r w:rsidRPr="00ED13E8">
      <w:rPr>
        <w:rStyle w:val="PageNumber"/>
        <w:rFonts w:ascii="Arial" w:hAnsi="Arial" w:cs="Arial"/>
        <w:sz w:val="20"/>
        <w:szCs w:val="20"/>
        <w:lang w:val="pt-PT"/>
      </w:rPr>
      <w:t>2</w:t>
    </w:r>
    <w:r w:rsidRPr="00290AA9">
      <w:rPr>
        <w:rStyle w:val="PageNumber"/>
        <w:rFonts w:ascii="Arial" w:hAnsi="Arial" w:cs="Arial"/>
        <w:sz w:val="20"/>
        <w:szCs w:val="20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7DE5" w14:textId="5B33365E" w:rsidR="00210652" w:rsidRPr="004475EE" w:rsidRDefault="002F367F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8240" behindDoc="0" locked="0" layoutInCell="1" allowOverlap="1" wp14:anchorId="56B9969A" wp14:editId="179F201F">
          <wp:simplePos x="0" y="0"/>
          <wp:positionH relativeFrom="column">
            <wp:posOffset>-5715</wp:posOffset>
          </wp:positionH>
          <wp:positionV relativeFrom="paragraph">
            <wp:posOffset>52705</wp:posOffset>
          </wp:positionV>
          <wp:extent cx="1657350" cy="13919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2A7D08" w14:textId="6E7C44B1" w:rsidR="00210652" w:rsidRPr="005739ED" w:rsidRDefault="00A94BD8" w:rsidP="00230E5A">
    <w:pPr>
      <w:pStyle w:val="Header"/>
      <w:tabs>
        <w:tab w:val="clear" w:pos="9072"/>
        <w:tab w:val="left" w:pos="798"/>
        <w:tab w:val="right" w:pos="9630"/>
      </w:tabs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5 EXT COM</w:t>
    </w:r>
  </w:p>
  <w:p w14:paraId="030B5049" w14:textId="531BB5BA" w:rsidR="00210652" w:rsidRPr="002F5274" w:rsidRDefault="002B776B" w:rsidP="00374593">
    <w:pPr>
      <w:jc w:val="right"/>
      <w:rPr>
        <w:rFonts w:ascii="Arial" w:hAnsi="Arial" w:cs="Arial"/>
        <w:b/>
        <w:sz w:val="22"/>
        <w:szCs w:val="22"/>
        <w:lang w:val="fr-FR"/>
      </w:rPr>
    </w:pPr>
    <w:r w:rsidRPr="002F5274">
      <w:rPr>
        <w:rFonts w:ascii="Arial" w:hAnsi="Arial" w:cs="Arial"/>
        <w:b/>
        <w:sz w:val="22"/>
        <w:szCs w:val="22"/>
        <w:lang w:val="fr-FR"/>
      </w:rPr>
      <w:t>LHE/2</w:t>
    </w:r>
    <w:r w:rsidR="0022663D" w:rsidRPr="002F5274">
      <w:rPr>
        <w:rFonts w:ascii="Arial" w:hAnsi="Arial" w:cs="Arial"/>
        <w:b/>
        <w:sz w:val="22"/>
        <w:szCs w:val="22"/>
        <w:lang w:val="fr-FR"/>
      </w:rPr>
      <w:t>2</w:t>
    </w:r>
    <w:r w:rsidRPr="002F5274">
      <w:rPr>
        <w:rFonts w:ascii="Arial" w:hAnsi="Arial" w:cs="Arial"/>
        <w:b/>
        <w:sz w:val="22"/>
        <w:szCs w:val="22"/>
        <w:lang w:val="fr-FR"/>
      </w:rPr>
      <w:t>/</w:t>
    </w:r>
    <w:r w:rsidR="00FD6F6D" w:rsidRPr="002F5274">
      <w:rPr>
        <w:rFonts w:ascii="Arial" w:hAnsi="Arial" w:cs="Arial"/>
        <w:b/>
        <w:sz w:val="22"/>
        <w:szCs w:val="22"/>
        <w:lang w:val="fr-FR"/>
      </w:rPr>
      <w:t>5</w:t>
    </w:r>
    <w:r w:rsidR="00210652" w:rsidRPr="002F5274">
      <w:rPr>
        <w:rFonts w:ascii="Arial" w:hAnsi="Arial" w:cs="Arial"/>
        <w:b/>
        <w:sz w:val="22"/>
        <w:szCs w:val="22"/>
        <w:lang w:val="fr-FR"/>
      </w:rPr>
      <w:t>.</w:t>
    </w:r>
    <w:r w:rsidR="00FD6F6D" w:rsidRPr="002F5274">
      <w:rPr>
        <w:rFonts w:ascii="Arial" w:hAnsi="Arial" w:cs="Arial"/>
        <w:b/>
        <w:sz w:val="22"/>
        <w:szCs w:val="22"/>
        <w:lang w:val="fr-FR"/>
      </w:rPr>
      <w:t>EXT.</w:t>
    </w:r>
    <w:r w:rsidR="00074CE1" w:rsidRPr="002F5274">
      <w:rPr>
        <w:rFonts w:ascii="Arial" w:hAnsi="Arial" w:cs="Arial"/>
        <w:b/>
        <w:sz w:val="22"/>
        <w:szCs w:val="22"/>
        <w:lang w:val="fr-FR"/>
      </w:rPr>
      <w:t>COM</w:t>
    </w:r>
    <w:r w:rsidR="00210652" w:rsidRPr="002F5274">
      <w:rPr>
        <w:rFonts w:ascii="Arial" w:hAnsi="Arial" w:cs="Arial"/>
        <w:b/>
        <w:sz w:val="22"/>
        <w:szCs w:val="22"/>
        <w:lang w:val="fr-FR"/>
      </w:rPr>
      <w:t>/</w:t>
    </w:r>
    <w:r w:rsidR="0037522D" w:rsidRPr="002F5274">
      <w:rPr>
        <w:rFonts w:ascii="Arial" w:hAnsi="Arial" w:cs="Arial"/>
        <w:b/>
        <w:sz w:val="22"/>
        <w:szCs w:val="22"/>
        <w:lang w:val="fr-FR"/>
      </w:rPr>
      <w:t>3</w:t>
    </w:r>
    <w:r w:rsidR="002F5274" w:rsidRPr="002F5274">
      <w:rPr>
        <w:rFonts w:ascii="Arial" w:hAnsi="Arial" w:cs="Arial"/>
        <w:b/>
        <w:sz w:val="22"/>
        <w:szCs w:val="22"/>
        <w:lang w:val="fr-FR"/>
      </w:rPr>
      <w:t>.</w:t>
    </w:r>
    <w:r w:rsidR="002F5274">
      <w:rPr>
        <w:rFonts w:ascii="Arial" w:hAnsi="Arial" w:cs="Arial"/>
        <w:b/>
        <w:sz w:val="22"/>
        <w:szCs w:val="22"/>
        <w:lang w:val="fr-FR"/>
      </w:rPr>
      <w:t>Rev</w:t>
    </w:r>
  </w:p>
  <w:p w14:paraId="6413B2B8" w14:textId="2990F6F4" w:rsidR="00210652" w:rsidRPr="0022663D" w:rsidRDefault="00210652" w:rsidP="00230E5A">
    <w:pPr>
      <w:tabs>
        <w:tab w:val="left" w:pos="953"/>
        <w:tab w:val="right" w:pos="9638"/>
      </w:tabs>
      <w:jc w:val="right"/>
      <w:rPr>
        <w:rFonts w:ascii="Arial" w:eastAsiaTheme="minorEastAsia" w:hAnsi="Arial" w:cs="Arial"/>
        <w:b/>
        <w:sz w:val="22"/>
        <w:szCs w:val="22"/>
        <w:lang w:val="fr-FR" w:eastAsia="ko-KR"/>
      </w:rPr>
    </w:pPr>
    <w:r w:rsidRPr="0022663D">
      <w:rPr>
        <w:rFonts w:ascii="Arial" w:hAnsi="Arial" w:cs="Arial"/>
        <w:b/>
        <w:sz w:val="22"/>
        <w:szCs w:val="22"/>
        <w:lang w:val="fr-FR"/>
      </w:rPr>
      <w:t xml:space="preserve">Paris, </w:t>
    </w:r>
    <w:r w:rsidR="008A0A27" w:rsidRPr="0022663D">
      <w:rPr>
        <w:rFonts w:ascii="Arial" w:hAnsi="Arial" w:cs="Arial"/>
        <w:b/>
        <w:sz w:val="22"/>
        <w:szCs w:val="22"/>
        <w:lang w:val="fr-FR"/>
      </w:rPr>
      <w:t xml:space="preserve">le </w:t>
    </w:r>
    <w:r w:rsidR="002F5274">
      <w:rPr>
        <w:rFonts w:ascii="Arial" w:hAnsi="Arial" w:cs="Arial"/>
        <w:b/>
        <w:sz w:val="22"/>
        <w:szCs w:val="22"/>
        <w:lang w:val="fr-FR"/>
      </w:rPr>
      <w:t>28</w:t>
    </w:r>
    <w:r w:rsidR="002C7804">
      <w:rPr>
        <w:rFonts w:ascii="Arial" w:hAnsi="Arial" w:cs="Arial"/>
        <w:b/>
        <w:sz w:val="22"/>
        <w:szCs w:val="22"/>
        <w:lang w:val="fr-FR"/>
      </w:rPr>
      <w:t xml:space="preserve"> juin</w:t>
    </w:r>
    <w:r w:rsidR="0037522D">
      <w:rPr>
        <w:rFonts w:ascii="Arial" w:hAnsi="Arial" w:cs="Arial"/>
        <w:b/>
        <w:sz w:val="22"/>
        <w:szCs w:val="22"/>
        <w:lang w:val="fr-FR"/>
      </w:rPr>
      <w:t xml:space="preserve"> </w:t>
    </w:r>
    <w:r w:rsidR="002B776B" w:rsidRPr="0022663D">
      <w:rPr>
        <w:rFonts w:ascii="Arial" w:hAnsi="Arial" w:cs="Arial"/>
        <w:b/>
        <w:sz w:val="22"/>
        <w:szCs w:val="22"/>
        <w:lang w:val="fr-FR"/>
      </w:rPr>
      <w:t>202</w:t>
    </w:r>
    <w:r w:rsidR="0022663D" w:rsidRPr="0022663D">
      <w:rPr>
        <w:rFonts w:ascii="Arial" w:hAnsi="Arial" w:cs="Arial"/>
        <w:b/>
        <w:sz w:val="22"/>
        <w:szCs w:val="22"/>
        <w:lang w:val="fr-FR"/>
      </w:rPr>
      <w:t>2</w:t>
    </w:r>
  </w:p>
  <w:p w14:paraId="62BC3182" w14:textId="51BBD2F0" w:rsidR="00210652" w:rsidRDefault="00210652" w:rsidP="002F367F">
    <w:pPr>
      <w:spacing w:after="120"/>
      <w:jc w:val="right"/>
      <w:rPr>
        <w:rFonts w:ascii="Arial" w:eastAsiaTheme="minorEastAsia" w:hAnsi="Arial" w:cs="Arial"/>
        <w:b/>
        <w:sz w:val="22"/>
        <w:szCs w:val="22"/>
        <w:lang w:val="fr-FR" w:eastAsia="ko-KR"/>
      </w:rPr>
    </w:pPr>
    <w:r w:rsidRPr="00DF2146">
      <w:rPr>
        <w:rFonts w:ascii="Arial" w:hAnsi="Arial" w:cs="Arial"/>
        <w:b/>
        <w:sz w:val="22"/>
        <w:szCs w:val="22"/>
        <w:lang w:val="fr-FR"/>
      </w:rPr>
      <w:t>Original</w:t>
    </w:r>
    <w:r w:rsidR="00011736" w:rsidRPr="00DF2146">
      <w:rPr>
        <w:rFonts w:ascii="Arial" w:hAnsi="Arial" w:cs="Arial"/>
        <w:b/>
        <w:sz w:val="22"/>
        <w:szCs w:val="22"/>
        <w:lang w:val="fr-FR"/>
      </w:rPr>
      <w:t xml:space="preserve"> </w:t>
    </w:r>
    <w:r w:rsidRPr="00DF2146">
      <w:rPr>
        <w:rFonts w:ascii="Arial" w:hAnsi="Arial" w:cs="Arial"/>
        <w:b/>
        <w:sz w:val="22"/>
        <w:szCs w:val="22"/>
        <w:lang w:val="fr-FR"/>
      </w:rPr>
      <w:t xml:space="preserve">: </w:t>
    </w:r>
    <w:r w:rsidR="0037522D">
      <w:rPr>
        <w:rFonts w:ascii="Arial" w:hAnsi="Arial" w:cs="Arial"/>
        <w:b/>
        <w:sz w:val="22"/>
        <w:szCs w:val="22"/>
        <w:lang w:val="fr-FR"/>
      </w:rPr>
      <w:t>anglais</w:t>
    </w:r>
  </w:p>
  <w:p w14:paraId="68C431F3" w14:textId="77777777" w:rsidR="00EE2C66" w:rsidRPr="004475EE" w:rsidRDefault="00EE2C66" w:rsidP="00EE2C66">
    <w:pPr>
      <w:ind w:right="440"/>
      <w:rPr>
        <w:rFonts w:eastAsiaTheme="minorEastAsia"/>
        <w:bCs/>
        <w:sz w:val="22"/>
        <w:szCs w:val="22"/>
        <w:lang w:val="fr-FR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0164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DF35B4"/>
    <w:multiLevelType w:val="hybridMultilevel"/>
    <w:tmpl w:val="F69ED1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47B5"/>
    <w:multiLevelType w:val="hybridMultilevel"/>
    <w:tmpl w:val="7A126484"/>
    <w:lvl w:ilvl="0" w:tplc="8E225B78">
      <w:start w:val="1"/>
      <w:numFmt w:val="upperRoman"/>
      <w:pStyle w:val="GAHeading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BFE"/>
    <w:multiLevelType w:val="hybridMultilevel"/>
    <w:tmpl w:val="1A1C2972"/>
    <w:lvl w:ilvl="0" w:tplc="6FB8652A">
      <w:start w:val="1"/>
      <w:numFmt w:val="decimal"/>
      <w:pStyle w:val="1GA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B5FC1"/>
    <w:multiLevelType w:val="hybridMultilevel"/>
    <w:tmpl w:val="AD9A630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2"/>
  </w:num>
  <w:num w:numId="18">
    <w:abstractNumId w:val="9"/>
    <w:lvlOverride w:ilvl="0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60"/>
    <w:rsid w:val="00000461"/>
    <w:rsid w:val="000016A4"/>
    <w:rsid w:val="000019DB"/>
    <w:rsid w:val="000047CC"/>
    <w:rsid w:val="00011736"/>
    <w:rsid w:val="00021831"/>
    <w:rsid w:val="000356D2"/>
    <w:rsid w:val="00047E58"/>
    <w:rsid w:val="000558C9"/>
    <w:rsid w:val="00061949"/>
    <w:rsid w:val="00073D20"/>
    <w:rsid w:val="00074CE1"/>
    <w:rsid w:val="000755E1"/>
    <w:rsid w:val="00085541"/>
    <w:rsid w:val="0008739D"/>
    <w:rsid w:val="000A34CE"/>
    <w:rsid w:val="000C65E4"/>
    <w:rsid w:val="000D3F3D"/>
    <w:rsid w:val="000F338C"/>
    <w:rsid w:val="00102CFD"/>
    <w:rsid w:val="0011750D"/>
    <w:rsid w:val="00132959"/>
    <w:rsid w:val="001412DE"/>
    <w:rsid w:val="00144A4D"/>
    <w:rsid w:val="00151351"/>
    <w:rsid w:val="0016720E"/>
    <w:rsid w:val="001706CD"/>
    <w:rsid w:val="001749B1"/>
    <w:rsid w:val="00174B39"/>
    <w:rsid w:val="001A2CCF"/>
    <w:rsid w:val="001A431C"/>
    <w:rsid w:val="001A457E"/>
    <w:rsid w:val="001D261B"/>
    <w:rsid w:val="001D2896"/>
    <w:rsid w:val="001D5969"/>
    <w:rsid w:val="001F067C"/>
    <w:rsid w:val="001F1739"/>
    <w:rsid w:val="001F37CA"/>
    <w:rsid w:val="00210652"/>
    <w:rsid w:val="00221D0C"/>
    <w:rsid w:val="0022663D"/>
    <w:rsid w:val="00230E5A"/>
    <w:rsid w:val="00241D54"/>
    <w:rsid w:val="00254DEF"/>
    <w:rsid w:val="00275342"/>
    <w:rsid w:val="00275B92"/>
    <w:rsid w:val="00286C0C"/>
    <w:rsid w:val="00290AA9"/>
    <w:rsid w:val="002938F2"/>
    <w:rsid w:val="002B4C1B"/>
    <w:rsid w:val="002B776B"/>
    <w:rsid w:val="002C3446"/>
    <w:rsid w:val="002C54E0"/>
    <w:rsid w:val="002C7804"/>
    <w:rsid w:val="002C7D30"/>
    <w:rsid w:val="002E2ACF"/>
    <w:rsid w:val="002E61D1"/>
    <w:rsid w:val="002F367F"/>
    <w:rsid w:val="002F5274"/>
    <w:rsid w:val="003105BD"/>
    <w:rsid w:val="0031150D"/>
    <w:rsid w:val="003321A6"/>
    <w:rsid w:val="00363995"/>
    <w:rsid w:val="003660E3"/>
    <w:rsid w:val="00374593"/>
    <w:rsid w:val="0037522D"/>
    <w:rsid w:val="0039446E"/>
    <w:rsid w:val="003C3029"/>
    <w:rsid w:val="003C7065"/>
    <w:rsid w:val="003F5C17"/>
    <w:rsid w:val="003F6D0C"/>
    <w:rsid w:val="0040329B"/>
    <w:rsid w:val="004108B6"/>
    <w:rsid w:val="00434773"/>
    <w:rsid w:val="004475EE"/>
    <w:rsid w:val="004562A2"/>
    <w:rsid w:val="00461D5C"/>
    <w:rsid w:val="00461EEC"/>
    <w:rsid w:val="004665ED"/>
    <w:rsid w:val="00471B34"/>
    <w:rsid w:val="004A3E99"/>
    <w:rsid w:val="004C3335"/>
    <w:rsid w:val="005016FB"/>
    <w:rsid w:val="00511D17"/>
    <w:rsid w:val="0051699F"/>
    <w:rsid w:val="00530A1F"/>
    <w:rsid w:val="0053338B"/>
    <w:rsid w:val="0054645C"/>
    <w:rsid w:val="00554CC6"/>
    <w:rsid w:val="00556AAC"/>
    <w:rsid w:val="00570FF6"/>
    <w:rsid w:val="005739ED"/>
    <w:rsid w:val="0058322C"/>
    <w:rsid w:val="005B4DAB"/>
    <w:rsid w:val="005C0660"/>
    <w:rsid w:val="00612BB5"/>
    <w:rsid w:val="0063196D"/>
    <w:rsid w:val="00652318"/>
    <w:rsid w:val="00653397"/>
    <w:rsid w:val="00667C60"/>
    <w:rsid w:val="0069664C"/>
    <w:rsid w:val="006A1A52"/>
    <w:rsid w:val="006B3501"/>
    <w:rsid w:val="006E2215"/>
    <w:rsid w:val="00746C1C"/>
    <w:rsid w:val="00747715"/>
    <w:rsid w:val="00750138"/>
    <w:rsid w:val="00764F50"/>
    <w:rsid w:val="007679F1"/>
    <w:rsid w:val="007728EB"/>
    <w:rsid w:val="00796D4E"/>
    <w:rsid w:val="007A68C7"/>
    <w:rsid w:val="007A7D45"/>
    <w:rsid w:val="007C1B00"/>
    <w:rsid w:val="007D5BB7"/>
    <w:rsid w:val="007E0621"/>
    <w:rsid w:val="007E4E14"/>
    <w:rsid w:val="007F3FBF"/>
    <w:rsid w:val="007F4B07"/>
    <w:rsid w:val="007F60C6"/>
    <w:rsid w:val="0083488D"/>
    <w:rsid w:val="00851458"/>
    <w:rsid w:val="00855B13"/>
    <w:rsid w:val="00861A47"/>
    <w:rsid w:val="008707FF"/>
    <w:rsid w:val="008724E5"/>
    <w:rsid w:val="00883790"/>
    <w:rsid w:val="0089376C"/>
    <w:rsid w:val="008A0A27"/>
    <w:rsid w:val="008F2AD2"/>
    <w:rsid w:val="009121CE"/>
    <w:rsid w:val="0095089E"/>
    <w:rsid w:val="00966A88"/>
    <w:rsid w:val="00996303"/>
    <w:rsid w:val="009D2CB2"/>
    <w:rsid w:val="009D5E38"/>
    <w:rsid w:val="009E670D"/>
    <w:rsid w:val="009F4072"/>
    <w:rsid w:val="00A11F00"/>
    <w:rsid w:val="00A150C7"/>
    <w:rsid w:val="00A356BF"/>
    <w:rsid w:val="00A37713"/>
    <w:rsid w:val="00A519A2"/>
    <w:rsid w:val="00A70883"/>
    <w:rsid w:val="00A77AEB"/>
    <w:rsid w:val="00A77F75"/>
    <w:rsid w:val="00A81928"/>
    <w:rsid w:val="00A94BD8"/>
    <w:rsid w:val="00AA444A"/>
    <w:rsid w:val="00AA680F"/>
    <w:rsid w:val="00AE1B18"/>
    <w:rsid w:val="00AE32BE"/>
    <w:rsid w:val="00AE6F87"/>
    <w:rsid w:val="00B110BB"/>
    <w:rsid w:val="00B11AE3"/>
    <w:rsid w:val="00B13B44"/>
    <w:rsid w:val="00B310A5"/>
    <w:rsid w:val="00B6167A"/>
    <w:rsid w:val="00B84062"/>
    <w:rsid w:val="00B973B5"/>
    <w:rsid w:val="00BA3560"/>
    <w:rsid w:val="00BA35D7"/>
    <w:rsid w:val="00BD0077"/>
    <w:rsid w:val="00C04328"/>
    <w:rsid w:val="00C13665"/>
    <w:rsid w:val="00C37317"/>
    <w:rsid w:val="00C41290"/>
    <w:rsid w:val="00C42FA9"/>
    <w:rsid w:val="00C51697"/>
    <w:rsid w:val="00C64668"/>
    <w:rsid w:val="00C67A8A"/>
    <w:rsid w:val="00C71073"/>
    <w:rsid w:val="00CB4B73"/>
    <w:rsid w:val="00CC2BC6"/>
    <w:rsid w:val="00CE2586"/>
    <w:rsid w:val="00D158FB"/>
    <w:rsid w:val="00D238D6"/>
    <w:rsid w:val="00D43998"/>
    <w:rsid w:val="00D50EE4"/>
    <w:rsid w:val="00D6436B"/>
    <w:rsid w:val="00D735E7"/>
    <w:rsid w:val="00D809E5"/>
    <w:rsid w:val="00D9501F"/>
    <w:rsid w:val="00DB2DEA"/>
    <w:rsid w:val="00DB50D5"/>
    <w:rsid w:val="00DB76C7"/>
    <w:rsid w:val="00DF114B"/>
    <w:rsid w:val="00DF2146"/>
    <w:rsid w:val="00DF3DA3"/>
    <w:rsid w:val="00E06A00"/>
    <w:rsid w:val="00E26FAB"/>
    <w:rsid w:val="00E30022"/>
    <w:rsid w:val="00E443E5"/>
    <w:rsid w:val="00E5219B"/>
    <w:rsid w:val="00E71AD6"/>
    <w:rsid w:val="00E84291"/>
    <w:rsid w:val="00E9143C"/>
    <w:rsid w:val="00EA198F"/>
    <w:rsid w:val="00EB362B"/>
    <w:rsid w:val="00ED13E8"/>
    <w:rsid w:val="00ED4650"/>
    <w:rsid w:val="00EE2C66"/>
    <w:rsid w:val="00EF0BCB"/>
    <w:rsid w:val="00EF0E74"/>
    <w:rsid w:val="00F0065D"/>
    <w:rsid w:val="00F00E8A"/>
    <w:rsid w:val="00F15629"/>
    <w:rsid w:val="00F41BA9"/>
    <w:rsid w:val="00F47BA3"/>
    <w:rsid w:val="00F54C36"/>
    <w:rsid w:val="00F55135"/>
    <w:rsid w:val="00F60AB5"/>
    <w:rsid w:val="00F63DDA"/>
    <w:rsid w:val="00F70690"/>
    <w:rsid w:val="00F70858"/>
    <w:rsid w:val="00F75949"/>
    <w:rsid w:val="00F75E18"/>
    <w:rsid w:val="00F941F0"/>
    <w:rsid w:val="00F97AB7"/>
    <w:rsid w:val="00FA010D"/>
    <w:rsid w:val="00FB6F95"/>
    <w:rsid w:val="00FD6F6D"/>
    <w:rsid w:val="00FE1318"/>
    <w:rsid w:val="00FE430C"/>
    <w:rsid w:val="00FE74F5"/>
    <w:rsid w:val="00FF2B1D"/>
    <w:rsid w:val="00FF309A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EAC4CCC"/>
  <w15:docId w15:val="{13B95D50-EDE5-4875-9B7B-79F92967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GAHeading">
    <w:name w:val="GA Heading"/>
    <w:basedOn w:val="ListParagraph"/>
    <w:uiPriority w:val="34"/>
    <w:qFormat/>
    <w:rsid w:val="00290AA9"/>
    <w:pPr>
      <w:keepNext/>
      <w:numPr>
        <w:numId w:val="11"/>
      </w:numPr>
      <w:spacing w:before="360" w:after="240"/>
    </w:pPr>
    <w:rPr>
      <w:rFonts w:ascii="Arial" w:hAnsi="Arial" w:cs="Arial"/>
      <w:b/>
      <w:sz w:val="22"/>
      <w:szCs w:val="22"/>
      <w:lang w:val="fr-FR"/>
    </w:r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bodytext">
    <w:name w:val="1.GA Para body text"/>
    <w:basedOn w:val="Marge"/>
    <w:qFormat/>
    <w:rsid w:val="00290AA9"/>
    <w:pPr>
      <w:numPr>
        <w:numId w:val="8"/>
      </w:numPr>
      <w:spacing w:after="120"/>
      <w:ind w:left="567" w:hanging="567"/>
    </w:pPr>
    <w:rPr>
      <w:rFonts w:cs="Arial"/>
      <w:szCs w:val="22"/>
      <w:lang w:val="fr-FR"/>
    </w:rPr>
  </w:style>
  <w:style w:type="paragraph" w:styleId="NoSpacing">
    <w:name w:val="No Spacing"/>
    <w:rsid w:val="00C64668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290A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75EE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nsinterligne2">
    <w:name w:val="Sans interligne2"/>
    <w:uiPriority w:val="1"/>
    <w:rsid w:val="00C42FA9"/>
    <w:rPr>
      <w:rFonts w:ascii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102CFD"/>
  </w:style>
  <w:style w:type="character" w:customStyle="1" w:styleId="DateChar">
    <w:name w:val="Date Char"/>
    <w:basedOn w:val="DefaultParagraphFont"/>
    <w:link w:val="Date"/>
    <w:rsid w:val="00102CFD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MParabodytext">
    <w:name w:val="COM Para body text"/>
    <w:basedOn w:val="Marge"/>
    <w:qFormat/>
    <w:rsid w:val="00ED13E8"/>
    <w:p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ED13E8"/>
    <w:pPr>
      <w:keepNext/>
      <w:spacing w:before="240" w:after="120"/>
      <w:ind w:left="567"/>
    </w:pPr>
    <w:rPr>
      <w:rFonts w:eastAsia="SimSun" w:cs="Arial"/>
      <w:b/>
      <w:caps/>
      <w:szCs w:val="22"/>
      <w:lang w:val="fr-FR"/>
    </w:rPr>
  </w:style>
  <w:style w:type="paragraph" w:customStyle="1" w:styleId="COMPreambulaDecision">
    <w:name w:val="COM Preambula Decision"/>
    <w:basedOn w:val="Marge"/>
    <w:qFormat/>
    <w:rsid w:val="00ED13E8"/>
    <w:pPr>
      <w:keepNext/>
      <w:spacing w:after="120"/>
      <w:ind w:left="567"/>
    </w:pPr>
    <w:rPr>
      <w:rFonts w:eastAsia="SimSun" w:cs="Arial"/>
      <w:szCs w:val="22"/>
      <w:lang w:val="fr-FR"/>
    </w:rPr>
  </w:style>
  <w:style w:type="paragraph" w:customStyle="1" w:styleId="COMParaDecision">
    <w:name w:val="COM Para Decision"/>
    <w:basedOn w:val="Normal"/>
    <w:qFormat/>
    <w:rsid w:val="00ED13E8"/>
    <w:pPr>
      <w:numPr>
        <w:numId w:val="16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  <w:u w:val="single"/>
      <w:lang w:val="fr-FR"/>
    </w:rPr>
  </w:style>
  <w:style w:type="character" w:styleId="Hyperlink">
    <w:name w:val="Hyperlink"/>
    <w:basedOn w:val="DefaultParagraphFont"/>
    <w:unhideWhenUsed/>
    <w:rsid w:val="002E61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F1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6.COM/14?dec=decisions&amp;ref_decision=16.COM" TargetMode="External"/><Relationship Id="rId13" Type="http://schemas.openxmlformats.org/officeDocument/2006/relationships/hyperlink" Target="https://ich.unesco.org/fr/decisions/16.COM/14?dec=decisions&amp;ref_decision=16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h.unesco.org/doc/src/LHE-22-17.COM_WG-Recommandations_FR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decisions/16.COM/14?dec=decisions&amp;ref_decision=16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ch.unesco.org/doc/src/LHE-22-5.EXT-4-F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2-17.COM_WG-Recommandations_FR.docx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A95E-7786-42D4-B649-8F92EA77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document_FR.dotx</Template>
  <TotalTime>100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Nakata, Julien</cp:lastModifiedBy>
  <cp:revision>68</cp:revision>
  <cp:lastPrinted>2011-08-09T15:27:00Z</cp:lastPrinted>
  <dcterms:created xsi:type="dcterms:W3CDTF">2022-02-01T14:58:00Z</dcterms:created>
  <dcterms:modified xsi:type="dcterms:W3CDTF">2022-06-28T14:58:00Z</dcterms:modified>
</cp:coreProperties>
</file>