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16B8" w14:textId="77777777" w:rsidR="00DE5604" w:rsidRPr="00B3626F" w:rsidRDefault="00DE5604" w:rsidP="00DE5604">
      <w:pPr>
        <w:spacing w:before="1440"/>
        <w:jc w:val="center"/>
        <w:rPr>
          <w:rFonts w:ascii="Arial" w:hAnsi="Arial" w:cs="Arial"/>
          <w:b/>
          <w:sz w:val="22"/>
          <w:szCs w:val="22"/>
        </w:rPr>
      </w:pPr>
      <w:r w:rsidRPr="00B3626F">
        <w:rPr>
          <w:rFonts w:ascii="Arial" w:hAnsi="Arial" w:cs="Arial"/>
          <w:b/>
          <w:sz w:val="22"/>
          <w:szCs w:val="22"/>
        </w:rPr>
        <w:t>CONVENTION POUR LA SAUVEGARDE DU</w:t>
      </w:r>
      <w:r w:rsidRPr="00B3626F">
        <w:rPr>
          <w:rFonts w:ascii="Arial" w:hAnsi="Arial" w:cs="Arial"/>
          <w:b/>
          <w:sz w:val="22"/>
          <w:szCs w:val="22"/>
        </w:rPr>
        <w:br/>
        <w:t>PATRIMOINE CULTUREL IMMATÉRIEL</w:t>
      </w:r>
    </w:p>
    <w:p w14:paraId="4E796DFB" w14:textId="77777777" w:rsidR="00DE5604" w:rsidRPr="00B3626F" w:rsidRDefault="00DE5604" w:rsidP="00DE5604">
      <w:pPr>
        <w:spacing w:before="1200"/>
        <w:jc w:val="center"/>
        <w:rPr>
          <w:rFonts w:ascii="Arial" w:hAnsi="Arial" w:cs="Arial"/>
          <w:b/>
          <w:sz w:val="22"/>
          <w:szCs w:val="22"/>
        </w:rPr>
      </w:pPr>
      <w:r w:rsidRPr="00B3626F">
        <w:rPr>
          <w:rFonts w:ascii="Arial" w:hAnsi="Arial" w:cs="Arial"/>
          <w:b/>
          <w:sz w:val="22"/>
          <w:szCs w:val="22"/>
        </w:rPr>
        <w:t>COMITÉ INTERGOUVERNEMENTAL DE SAUVEGARDE</w:t>
      </w:r>
      <w:r w:rsidRPr="00B3626F">
        <w:rPr>
          <w:rFonts w:ascii="Arial" w:hAnsi="Arial" w:cs="Arial"/>
          <w:b/>
          <w:sz w:val="22"/>
          <w:szCs w:val="22"/>
        </w:rPr>
        <w:br/>
        <w:t>DU PATRIMOINE CULTUREL IMMATÉRIEL</w:t>
      </w:r>
    </w:p>
    <w:p w14:paraId="237D078F" w14:textId="77777777" w:rsidR="00DE5604" w:rsidRPr="00B3626F" w:rsidRDefault="00DE5604" w:rsidP="00DE5604">
      <w:pPr>
        <w:spacing w:before="960"/>
        <w:jc w:val="center"/>
        <w:rPr>
          <w:rFonts w:ascii="Arial" w:hAnsi="Arial" w:cs="Arial"/>
          <w:b/>
          <w:sz w:val="22"/>
          <w:szCs w:val="22"/>
        </w:rPr>
      </w:pPr>
      <w:r w:rsidRPr="00B3626F">
        <w:rPr>
          <w:rFonts w:ascii="Arial" w:hAnsi="Arial" w:cs="Arial"/>
          <w:b/>
          <w:sz w:val="22"/>
          <w:szCs w:val="22"/>
        </w:rPr>
        <w:t>Cinquième session extraordinaire</w:t>
      </w:r>
    </w:p>
    <w:p w14:paraId="0E97B678" w14:textId="77777777" w:rsidR="00DE5604" w:rsidRPr="00B3626F" w:rsidRDefault="00DE5604" w:rsidP="00DE5604">
      <w:pPr>
        <w:jc w:val="center"/>
        <w:rPr>
          <w:rFonts w:ascii="Arial" w:hAnsi="Arial"/>
          <w:b/>
          <w:sz w:val="22"/>
        </w:rPr>
      </w:pPr>
      <w:r w:rsidRPr="00B3626F">
        <w:rPr>
          <w:rFonts w:ascii="Arial" w:hAnsi="Arial"/>
          <w:b/>
          <w:sz w:val="22"/>
        </w:rPr>
        <w:t>En ligne</w:t>
      </w:r>
    </w:p>
    <w:p w14:paraId="6D3FD1F0" w14:textId="471EDB2D" w:rsidR="00DE5604" w:rsidRPr="00B3626F" w:rsidRDefault="00DE5604" w:rsidP="00DE5604">
      <w:pPr>
        <w:jc w:val="center"/>
        <w:rPr>
          <w:rFonts w:ascii="Arial" w:hAnsi="Arial"/>
          <w:b/>
          <w:sz w:val="22"/>
        </w:rPr>
      </w:pPr>
      <w:r w:rsidRPr="00B3626F">
        <w:rPr>
          <w:rFonts w:ascii="Arial" w:hAnsi="Arial"/>
          <w:b/>
          <w:sz w:val="22"/>
        </w:rPr>
        <w:t>1 juillet 2022</w:t>
      </w:r>
    </w:p>
    <w:p w14:paraId="0365203A" w14:textId="126B30C0" w:rsidR="00EC6F8D" w:rsidRPr="00B3626F" w:rsidRDefault="00EC6F8D" w:rsidP="00EC6F8D">
      <w:pPr>
        <w:pStyle w:val="Sansinterligne2"/>
        <w:spacing w:before="1200"/>
        <w:jc w:val="center"/>
        <w:rPr>
          <w:rFonts w:ascii="Arial" w:hAnsi="Arial" w:cs="Arial"/>
          <w:b/>
          <w:sz w:val="22"/>
          <w:szCs w:val="22"/>
        </w:rPr>
      </w:pPr>
      <w:r w:rsidRPr="00B3626F">
        <w:rPr>
          <w:rFonts w:ascii="Arial" w:hAnsi="Arial"/>
          <w:b/>
          <w:sz w:val="22"/>
          <w:u w:val="single"/>
        </w:rPr>
        <w:t>Point 4 de l</w:t>
      </w:r>
      <w:r w:rsidR="00DE5604" w:rsidRPr="00B3626F">
        <w:rPr>
          <w:rFonts w:ascii="Arial" w:hAnsi="Arial"/>
          <w:b/>
          <w:sz w:val="22"/>
          <w:u w:val="single"/>
        </w:rPr>
        <w:t>’</w:t>
      </w:r>
      <w:r w:rsidRPr="00B3626F">
        <w:rPr>
          <w:rFonts w:ascii="Arial" w:hAnsi="Arial"/>
          <w:b/>
          <w:sz w:val="22"/>
          <w:u w:val="single"/>
        </w:rPr>
        <w:t>ordre du jour provisoire</w:t>
      </w:r>
      <w:r w:rsidRPr="00B3626F">
        <w:rPr>
          <w:rFonts w:ascii="Arial" w:hAnsi="Arial"/>
          <w:b/>
          <w:sz w:val="22"/>
        </w:rPr>
        <w:t> :</w:t>
      </w:r>
    </w:p>
    <w:p w14:paraId="69384E20" w14:textId="08E83E4D" w:rsidR="00E7727E" w:rsidRPr="00B3626F" w:rsidRDefault="003A502D" w:rsidP="00E7727E">
      <w:pPr>
        <w:pStyle w:val="Sansinterligne2"/>
        <w:jc w:val="center"/>
        <w:rPr>
          <w:rFonts w:ascii="Arial" w:hAnsi="Arial" w:cs="Arial"/>
          <w:b/>
          <w:sz w:val="22"/>
          <w:szCs w:val="22"/>
        </w:rPr>
      </w:pPr>
      <w:r w:rsidRPr="00B3626F">
        <w:rPr>
          <w:rFonts w:ascii="Arial" w:hAnsi="Arial"/>
          <w:b/>
          <w:sz w:val="22"/>
        </w:rPr>
        <w:t>La r</w:t>
      </w:r>
      <w:r w:rsidR="00A731EF" w:rsidRPr="00B3626F">
        <w:rPr>
          <w:rFonts w:ascii="Arial" w:hAnsi="Arial"/>
          <w:b/>
          <w:sz w:val="22"/>
        </w:rPr>
        <w:t>éflexion globale sur les mécanismes d</w:t>
      </w:r>
      <w:r w:rsidR="00DE5604" w:rsidRPr="00B3626F">
        <w:rPr>
          <w:rFonts w:ascii="Arial" w:hAnsi="Arial"/>
          <w:b/>
          <w:sz w:val="22"/>
        </w:rPr>
        <w:t>’</w:t>
      </w:r>
      <w:r w:rsidR="00A731EF" w:rsidRPr="00B3626F">
        <w:rPr>
          <w:rFonts w:ascii="Arial" w:hAnsi="Arial"/>
          <w:b/>
          <w:sz w:val="22"/>
        </w:rPr>
        <w:t xml:space="preserve">inscription sur les listes de la Convention et révisions </w:t>
      </w:r>
      <w:r w:rsidRPr="00B3626F">
        <w:rPr>
          <w:rFonts w:ascii="Arial" w:hAnsi="Arial"/>
          <w:b/>
          <w:sz w:val="22"/>
        </w:rPr>
        <w:t>proposées aux</w:t>
      </w:r>
      <w:r w:rsidR="00A731EF" w:rsidRPr="00B3626F">
        <w:rPr>
          <w:rFonts w:ascii="Arial" w:hAnsi="Arial"/>
          <w:b/>
          <w:sz w:val="22"/>
        </w:rPr>
        <w:t xml:space="preserve"> directives opérationnelles</w:t>
      </w:r>
    </w:p>
    <w:p w14:paraId="59920478" w14:textId="0784D160" w:rsidR="004A2875" w:rsidRPr="00B3626F" w:rsidRDefault="004A2875" w:rsidP="004A2875">
      <w:pPr>
        <w:pStyle w:val="Sansinterligne2"/>
        <w:spacing w:after="960"/>
        <w:jc w:val="center"/>
        <w:rPr>
          <w:rFonts w:ascii="Arial" w:hAnsi="Arial" w:cs="Arial"/>
          <w:b/>
          <w:sz w:val="22"/>
          <w:szCs w:val="22"/>
        </w:rPr>
      </w:pPr>
    </w:p>
    <w:tbl>
      <w:tblPr>
        <w:tblW w:w="5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9"/>
      </w:tblGrid>
      <w:tr w:rsidR="00EC6F8D" w:rsidRPr="00B3626F" w14:paraId="75AC6221" w14:textId="77777777" w:rsidTr="00B3626F">
        <w:trPr>
          <w:jc w:val="center"/>
        </w:trPr>
        <w:tc>
          <w:tcPr>
            <w:tcW w:w="5959" w:type="dxa"/>
            <w:vAlign w:val="center"/>
          </w:tcPr>
          <w:p w14:paraId="51C260A9" w14:textId="3A686545" w:rsidR="00EC6F8D" w:rsidRPr="00B3626F" w:rsidRDefault="00EC6F8D" w:rsidP="00CA56BB">
            <w:pPr>
              <w:pStyle w:val="Sansinterligne1"/>
              <w:spacing w:before="200" w:after="200"/>
              <w:jc w:val="center"/>
              <w:rPr>
                <w:rFonts w:ascii="Arial" w:hAnsi="Arial" w:cs="Arial"/>
                <w:b/>
                <w:sz w:val="22"/>
                <w:szCs w:val="22"/>
              </w:rPr>
            </w:pPr>
            <w:r w:rsidRPr="00B3626F">
              <w:rPr>
                <w:rFonts w:ascii="Arial" w:hAnsi="Arial"/>
                <w:b/>
                <w:sz w:val="22"/>
              </w:rPr>
              <w:t>Résumé</w:t>
            </w:r>
          </w:p>
          <w:p w14:paraId="5201E534" w14:textId="4258219B" w:rsidR="00DD754F" w:rsidRPr="00B3626F" w:rsidRDefault="00DD754F" w:rsidP="00DD754F">
            <w:pPr>
              <w:pStyle w:val="Sansinterligne1"/>
              <w:spacing w:before="200" w:after="200"/>
              <w:jc w:val="both"/>
              <w:rPr>
                <w:rFonts w:ascii="Arial" w:hAnsi="Arial" w:cs="Arial"/>
                <w:b/>
                <w:sz w:val="22"/>
                <w:szCs w:val="22"/>
              </w:rPr>
            </w:pPr>
            <w:r w:rsidRPr="00B3626F">
              <w:rPr>
                <w:rFonts w:ascii="Arial" w:hAnsi="Arial"/>
                <w:sz w:val="22"/>
              </w:rPr>
              <w:t>Ce document présente les recommandations du groupe de travail intergouvernemental à composition non limitée (</w:t>
            </w:r>
            <w:r w:rsidR="00DE5604" w:rsidRPr="00B3626F">
              <w:rPr>
                <w:rFonts w:ascii="Arial" w:hAnsi="Arial"/>
                <w:sz w:val="22"/>
              </w:rPr>
              <w:t>p</w:t>
            </w:r>
            <w:r w:rsidRPr="00B3626F">
              <w:rPr>
                <w:rFonts w:ascii="Arial" w:hAnsi="Arial"/>
                <w:sz w:val="22"/>
              </w:rPr>
              <w:t>artie III), dans le cadre de la réflexion globale sur les mécanismes d</w:t>
            </w:r>
            <w:r w:rsidR="00DE5604" w:rsidRPr="00B3626F">
              <w:rPr>
                <w:rFonts w:ascii="Arial" w:hAnsi="Arial"/>
                <w:sz w:val="22"/>
              </w:rPr>
              <w:t>’</w:t>
            </w:r>
            <w:r w:rsidRPr="00B3626F">
              <w:rPr>
                <w:rFonts w:ascii="Arial" w:hAnsi="Arial"/>
                <w:sz w:val="22"/>
              </w:rPr>
              <w:t>inscription sur les listes de la Convention de 2003. Les recommandations sont présentées sous la forme de projets d</w:t>
            </w:r>
            <w:r w:rsidR="00DE5604" w:rsidRPr="00B3626F">
              <w:rPr>
                <w:rFonts w:ascii="Arial" w:hAnsi="Arial"/>
                <w:sz w:val="22"/>
              </w:rPr>
              <w:t>’</w:t>
            </w:r>
            <w:r w:rsidRPr="00B3626F">
              <w:rPr>
                <w:rFonts w:ascii="Arial" w:hAnsi="Arial"/>
                <w:sz w:val="22"/>
              </w:rPr>
              <w:t xml:space="preserve">amendements aux </w:t>
            </w:r>
            <w:r w:rsidR="00EB36F3" w:rsidRPr="00B3626F">
              <w:rPr>
                <w:rFonts w:ascii="Arial" w:hAnsi="Arial"/>
                <w:sz w:val="22"/>
              </w:rPr>
              <w:t>d</w:t>
            </w:r>
            <w:r w:rsidRPr="00B3626F">
              <w:rPr>
                <w:rFonts w:ascii="Arial" w:hAnsi="Arial"/>
                <w:sz w:val="22"/>
              </w:rPr>
              <w:t>irectives opérationnelles dont le Comité, à l</w:t>
            </w:r>
            <w:r w:rsidR="00DE5604" w:rsidRPr="00B3626F">
              <w:rPr>
                <w:rFonts w:ascii="Arial" w:hAnsi="Arial"/>
                <w:sz w:val="22"/>
              </w:rPr>
              <w:t>’</w:t>
            </w:r>
            <w:r w:rsidRPr="00B3626F">
              <w:rPr>
                <w:rFonts w:ascii="Arial" w:hAnsi="Arial"/>
                <w:sz w:val="22"/>
              </w:rPr>
              <w:t xml:space="preserve">occasion de </w:t>
            </w:r>
            <w:r w:rsidR="00EB36F3" w:rsidRPr="00B3626F">
              <w:rPr>
                <w:rFonts w:ascii="Arial" w:hAnsi="Arial"/>
                <w:sz w:val="22"/>
              </w:rPr>
              <w:t>s</w:t>
            </w:r>
            <w:r w:rsidRPr="00B3626F">
              <w:rPr>
                <w:rFonts w:ascii="Arial" w:hAnsi="Arial"/>
                <w:sz w:val="22"/>
              </w:rPr>
              <w:t>a présente session</w:t>
            </w:r>
            <w:r w:rsidR="00EB36F3" w:rsidRPr="00B3626F">
              <w:rPr>
                <w:rFonts w:ascii="Arial" w:hAnsi="Arial"/>
                <w:sz w:val="22"/>
              </w:rPr>
              <w:t xml:space="preserve"> extraordinaire</w:t>
            </w:r>
            <w:r w:rsidRPr="00B3626F">
              <w:rPr>
                <w:rFonts w:ascii="Arial" w:hAnsi="Arial"/>
                <w:sz w:val="22"/>
              </w:rPr>
              <w:t>, peut recommander l</w:t>
            </w:r>
            <w:r w:rsidR="00DE5604" w:rsidRPr="00B3626F">
              <w:rPr>
                <w:rFonts w:ascii="Arial" w:hAnsi="Arial"/>
                <w:sz w:val="22"/>
              </w:rPr>
              <w:t>’</w:t>
            </w:r>
            <w:r w:rsidRPr="00B3626F">
              <w:rPr>
                <w:rFonts w:ascii="Arial" w:hAnsi="Arial"/>
                <w:sz w:val="22"/>
              </w:rPr>
              <w:t>approbation par l</w:t>
            </w:r>
            <w:r w:rsidR="00DE5604" w:rsidRPr="00B3626F">
              <w:rPr>
                <w:rFonts w:ascii="Arial" w:hAnsi="Arial"/>
                <w:sz w:val="22"/>
              </w:rPr>
              <w:t>’</w:t>
            </w:r>
            <w:r w:rsidRPr="00B3626F">
              <w:rPr>
                <w:rFonts w:ascii="Arial" w:hAnsi="Arial"/>
                <w:sz w:val="22"/>
              </w:rPr>
              <w:t>Assemblée générale à de sa neuvième session.</w:t>
            </w:r>
          </w:p>
          <w:p w14:paraId="290310E8" w14:textId="6B348301" w:rsidR="00EC6F8D" w:rsidRPr="00B3626F" w:rsidRDefault="00EC6F8D" w:rsidP="00CA56BB">
            <w:pPr>
              <w:pStyle w:val="Sansinterligne2"/>
              <w:spacing w:before="200" w:after="200"/>
              <w:jc w:val="both"/>
              <w:rPr>
                <w:rFonts w:ascii="Arial" w:hAnsi="Arial" w:cs="Arial"/>
                <w:b/>
                <w:sz w:val="22"/>
                <w:szCs w:val="22"/>
              </w:rPr>
            </w:pPr>
            <w:r w:rsidRPr="00B3626F">
              <w:rPr>
                <w:rFonts w:ascii="Arial" w:hAnsi="Arial"/>
                <w:b/>
                <w:sz w:val="22"/>
              </w:rPr>
              <w:t xml:space="preserve">Décision requise : </w:t>
            </w:r>
            <w:r w:rsidRPr="00B3626F">
              <w:rPr>
                <w:rFonts w:ascii="Arial" w:hAnsi="Arial"/>
                <w:sz w:val="22"/>
              </w:rPr>
              <w:t>paragraphe 10</w:t>
            </w:r>
          </w:p>
        </w:tc>
      </w:tr>
    </w:tbl>
    <w:p w14:paraId="08E4875F" w14:textId="77777777" w:rsidR="00DE5604" w:rsidRPr="00B3626F" w:rsidRDefault="00DE5604">
      <w:pPr>
        <w:rPr>
          <w:rFonts w:ascii="Arial" w:hAnsi="Arial" w:cs="Arial"/>
          <w:b/>
          <w:snapToGrid w:val="0"/>
          <w:sz w:val="22"/>
          <w:szCs w:val="22"/>
          <w:lang w:eastAsia="en-US"/>
        </w:rPr>
      </w:pPr>
      <w:r w:rsidRPr="00B3626F">
        <w:rPr>
          <w:b/>
        </w:rPr>
        <w:br w:type="page"/>
      </w:r>
    </w:p>
    <w:p w14:paraId="1E4874F9" w14:textId="065513C8" w:rsidR="00986249" w:rsidRPr="00B3626F" w:rsidRDefault="00986249" w:rsidP="007169B3">
      <w:pPr>
        <w:pStyle w:val="COMPara"/>
        <w:numPr>
          <w:ilvl w:val="0"/>
          <w:numId w:val="0"/>
        </w:numPr>
        <w:spacing w:before="360"/>
        <w:ind w:left="567"/>
        <w:jc w:val="both"/>
        <w:rPr>
          <w:b/>
          <w:bCs/>
        </w:rPr>
      </w:pPr>
      <w:r w:rsidRPr="00B3626F">
        <w:rPr>
          <w:b/>
        </w:rPr>
        <w:lastRenderedPageBreak/>
        <w:t>Contexte</w:t>
      </w:r>
    </w:p>
    <w:p w14:paraId="05A97B61" w14:textId="27EC443C" w:rsidR="002A099E" w:rsidRPr="00B3626F" w:rsidRDefault="002A099E" w:rsidP="00CD3AD6">
      <w:pPr>
        <w:pStyle w:val="COMPara"/>
        <w:ind w:left="567" w:hanging="567"/>
        <w:jc w:val="both"/>
      </w:pPr>
      <w:r w:rsidRPr="00B3626F">
        <w:t>La réflexion globale sur les mécanismes d</w:t>
      </w:r>
      <w:r w:rsidR="00DE5604" w:rsidRPr="00B3626F">
        <w:t>’</w:t>
      </w:r>
      <w:r w:rsidRPr="00B3626F">
        <w:t>inscription sur les listes de la Convention de 2003</w:t>
      </w:r>
      <w:r w:rsidR="005670CD" w:rsidRPr="00B3626F">
        <w:rPr>
          <w:rStyle w:val="Appelnotedebasdep"/>
        </w:rPr>
        <w:footnoteReference w:id="1"/>
      </w:r>
      <w:r w:rsidRPr="00B3626F">
        <w:t xml:space="preserve"> a fait des progrès importants depuis son lancement en 2018 par la treizième session du Comité. Lors </w:t>
      </w:r>
      <w:r w:rsidR="00DE5604" w:rsidRPr="00B3626F">
        <w:t>de la</w:t>
      </w:r>
      <w:r w:rsidRPr="00B3626F">
        <w:t xml:space="preserve"> </w:t>
      </w:r>
      <w:r w:rsidR="00DE5604" w:rsidRPr="00B3626F">
        <w:t>p</w:t>
      </w:r>
      <w:r w:rsidRPr="00B3626F">
        <w:t xml:space="preserve">artie I (en ligne, les 8 et 9 juillet 2021) et de </w:t>
      </w:r>
      <w:r w:rsidR="00DE5604" w:rsidRPr="00B3626F">
        <w:t>la p</w:t>
      </w:r>
      <w:r w:rsidRPr="00B3626F">
        <w:t>artie II (en ligne, les 9 et 10 septembre 2021)</w:t>
      </w:r>
      <w:r w:rsidR="00DE5604" w:rsidRPr="00B3626F">
        <w:t xml:space="preserve"> de la réunion</w:t>
      </w:r>
      <w:r w:rsidRPr="00B3626F">
        <w:t xml:space="preserve">, </w:t>
      </w:r>
      <w:r w:rsidR="00EB36F3" w:rsidRPr="00B3626F">
        <w:t>soutenues</w:t>
      </w:r>
      <w:r w:rsidRPr="00B3626F">
        <w:t xml:space="preserve"> </w:t>
      </w:r>
      <w:r w:rsidR="00EB36F3" w:rsidRPr="00B3626F">
        <w:t>financièrement par le</w:t>
      </w:r>
      <w:r w:rsidRPr="00B3626F">
        <w:t xml:space="preserve"> Japon, le groupe de travail intergouvernemental à composition non limitée dans le cadre de la réflexion globale sur les mécanismes d</w:t>
      </w:r>
      <w:r w:rsidR="00DE5604" w:rsidRPr="00B3626F">
        <w:t>’</w:t>
      </w:r>
      <w:r w:rsidRPr="00B3626F">
        <w:t xml:space="preserve">inscription sur les listes de la Convention de 2003 (ci-après le « groupe de travail ») a pu réfléchir et conclure sur les trois questions fondamentales de </w:t>
      </w:r>
      <w:r w:rsidR="002A164E" w:rsidRPr="00B3626F">
        <w:t xml:space="preserve">la </w:t>
      </w:r>
      <w:r w:rsidRPr="00B3626F">
        <w:t>réflexion, pour lesquelles il a</w:t>
      </w:r>
      <w:r w:rsidR="002A164E" w:rsidRPr="00B3626F">
        <w:t>vait</w:t>
      </w:r>
      <w:r w:rsidRPr="00B3626F">
        <w:t xml:space="preserve"> été explicitement établi par le Comité (résolution </w:t>
      </w:r>
      <w:hyperlink r:id="rId8" w:history="1">
        <w:r w:rsidRPr="00B3626F">
          <w:rPr>
            <w:rStyle w:val="Lienhypertexte"/>
          </w:rPr>
          <w:t>8.GA</w:t>
        </w:r>
        <w:r w:rsidR="00DE5604" w:rsidRPr="00B3626F">
          <w:rPr>
            <w:rStyle w:val="Lienhypertexte"/>
          </w:rPr>
          <w:t> </w:t>
        </w:r>
        <w:r w:rsidRPr="00B3626F">
          <w:rPr>
            <w:rStyle w:val="Lienhypertexte"/>
          </w:rPr>
          <w:t>11</w:t>
        </w:r>
      </w:hyperlink>
      <w:r w:rsidRPr="00B3626F">
        <w:t xml:space="preserve"> et décisions </w:t>
      </w:r>
      <w:hyperlink r:id="rId9" w:history="1">
        <w:r w:rsidRPr="00B3626F">
          <w:rPr>
            <w:rStyle w:val="Lienhypertexte"/>
          </w:rPr>
          <w:t>10.COM</w:t>
        </w:r>
        <w:r w:rsidR="00DE5604" w:rsidRPr="00B3626F">
          <w:rPr>
            <w:rStyle w:val="Lienhypertexte"/>
          </w:rPr>
          <w:t> </w:t>
        </w:r>
        <w:r w:rsidRPr="00B3626F">
          <w:rPr>
            <w:rStyle w:val="Lienhypertexte"/>
          </w:rPr>
          <w:t>19</w:t>
        </w:r>
      </w:hyperlink>
      <w:r w:rsidRPr="00B3626F">
        <w:t xml:space="preserve">, </w:t>
      </w:r>
      <w:hyperlink r:id="rId10" w:history="1">
        <w:r w:rsidRPr="00B3626F">
          <w:rPr>
            <w:rStyle w:val="Lienhypertexte"/>
          </w:rPr>
          <w:t>12.COM</w:t>
        </w:r>
        <w:r w:rsidR="00DE5604" w:rsidRPr="00B3626F">
          <w:rPr>
            <w:rStyle w:val="Lienhypertexte"/>
          </w:rPr>
          <w:t> </w:t>
        </w:r>
        <w:r w:rsidRPr="00B3626F">
          <w:rPr>
            <w:rStyle w:val="Lienhypertexte"/>
          </w:rPr>
          <w:t>13</w:t>
        </w:r>
      </w:hyperlink>
      <w:r w:rsidRPr="00B3626F">
        <w:t xml:space="preserve">, </w:t>
      </w:r>
      <w:hyperlink r:id="rId11" w:history="1">
        <w:r w:rsidRPr="00B3626F">
          <w:rPr>
            <w:rStyle w:val="Lienhypertexte"/>
          </w:rPr>
          <w:t>12.COM</w:t>
        </w:r>
        <w:r w:rsidR="00DE5604" w:rsidRPr="00B3626F">
          <w:rPr>
            <w:rStyle w:val="Lienhypertexte"/>
          </w:rPr>
          <w:t> </w:t>
        </w:r>
        <w:r w:rsidRPr="00B3626F">
          <w:rPr>
            <w:rStyle w:val="Lienhypertexte"/>
          </w:rPr>
          <w:t>14</w:t>
        </w:r>
      </w:hyperlink>
      <w:r w:rsidRPr="00B3626F">
        <w:t xml:space="preserve">, </w:t>
      </w:r>
      <w:hyperlink r:id="rId12" w:history="1">
        <w:r w:rsidRPr="00B3626F">
          <w:rPr>
            <w:rStyle w:val="Lienhypertexte"/>
          </w:rPr>
          <w:t>13.COM</w:t>
        </w:r>
        <w:r w:rsidR="00DE5604" w:rsidRPr="00B3626F">
          <w:rPr>
            <w:rStyle w:val="Lienhypertexte"/>
          </w:rPr>
          <w:t> </w:t>
        </w:r>
        <w:r w:rsidRPr="00B3626F">
          <w:rPr>
            <w:rStyle w:val="Lienhypertexte"/>
          </w:rPr>
          <w:t>10</w:t>
        </w:r>
      </w:hyperlink>
      <w:r w:rsidRPr="00B3626F">
        <w:t xml:space="preserve">, </w:t>
      </w:r>
      <w:hyperlink r:id="rId13" w:history="1">
        <w:r w:rsidRPr="00B3626F">
          <w:rPr>
            <w:rStyle w:val="Lienhypertexte"/>
          </w:rPr>
          <w:t>14.COM</w:t>
        </w:r>
        <w:r w:rsidR="00DE5604" w:rsidRPr="00B3626F">
          <w:rPr>
            <w:rStyle w:val="Lienhypertexte"/>
          </w:rPr>
          <w:t> </w:t>
        </w:r>
        <w:r w:rsidRPr="00B3626F">
          <w:rPr>
            <w:rStyle w:val="Lienhypertexte"/>
          </w:rPr>
          <w:t>10</w:t>
        </w:r>
      </w:hyperlink>
      <w:r w:rsidRPr="00B3626F">
        <w:t xml:space="preserve">, </w:t>
      </w:r>
      <w:hyperlink r:id="rId14" w:history="1">
        <w:r w:rsidRPr="00B3626F">
          <w:rPr>
            <w:rStyle w:val="Lienhypertexte"/>
          </w:rPr>
          <w:t>14.COM</w:t>
        </w:r>
        <w:r w:rsidR="00DE5604" w:rsidRPr="00B3626F">
          <w:rPr>
            <w:rStyle w:val="Lienhypertexte"/>
          </w:rPr>
          <w:t> </w:t>
        </w:r>
        <w:r w:rsidRPr="00B3626F">
          <w:rPr>
            <w:rStyle w:val="Lienhypertexte"/>
          </w:rPr>
          <w:t>14</w:t>
        </w:r>
      </w:hyperlink>
      <w:r w:rsidRPr="00B3626F">
        <w:t>), à savoir : l</w:t>
      </w:r>
      <w:r w:rsidR="00DE5604" w:rsidRPr="00B3626F">
        <w:t>’</w:t>
      </w:r>
      <w:r w:rsidRPr="00B3626F">
        <w:t xml:space="preserve">examen du critère R.2, </w:t>
      </w:r>
      <w:r w:rsidR="00391EFA" w:rsidRPr="00B3626F">
        <w:t>d</w:t>
      </w:r>
      <w:r w:rsidRPr="00B3626F">
        <w:t xml:space="preserve">es procédures spécifiques pour le retrait ou le transfert des éléments de et entre les Listes, ainsi que </w:t>
      </w:r>
      <w:r w:rsidR="006C51AF" w:rsidRPr="00B3626F">
        <w:t>la facilitation de l</w:t>
      </w:r>
      <w:r w:rsidR="00DE5604" w:rsidRPr="00B3626F">
        <w:t>’</w:t>
      </w:r>
      <w:r w:rsidR="006C51AF" w:rsidRPr="00B3626F">
        <w:t xml:space="preserve">extension </w:t>
      </w:r>
      <w:r w:rsidRPr="00B3626F">
        <w:t>des candidatures multinationales. Lors de sa seizième session, le Comité a examiné les recommandations des réunions du groupe de travail (</w:t>
      </w:r>
      <w:r w:rsidR="00DE5604" w:rsidRPr="00B3626F">
        <w:t>p</w:t>
      </w:r>
      <w:r w:rsidRPr="00B3626F">
        <w:t>arties I et II), sous la forme de propositions d</w:t>
      </w:r>
      <w:r w:rsidR="00DE5604" w:rsidRPr="00B3626F">
        <w:t>’</w:t>
      </w:r>
      <w:r w:rsidRPr="00B3626F">
        <w:t xml:space="preserve">amendements aux </w:t>
      </w:r>
      <w:r w:rsidR="002970C1" w:rsidRPr="00B3626F">
        <w:t>d</w:t>
      </w:r>
      <w:r w:rsidRPr="00B3626F">
        <w:t xml:space="preserve">irectives opérationnelles (document </w:t>
      </w:r>
      <w:hyperlink r:id="rId15" w:history="1">
        <w:r w:rsidRPr="00B3626F">
          <w:rPr>
            <w:rStyle w:val="Lienhypertexte"/>
          </w:rPr>
          <w:t>LHE/21/16.COM</w:t>
        </w:r>
        <w:r w:rsidR="002970C1" w:rsidRPr="00B3626F">
          <w:rPr>
            <w:rStyle w:val="Lienhypertexte"/>
          </w:rPr>
          <w:t> </w:t>
        </w:r>
        <w:r w:rsidRPr="00B3626F">
          <w:rPr>
            <w:rStyle w:val="Lienhypertexte"/>
          </w:rPr>
          <w:t>14</w:t>
        </w:r>
      </w:hyperlink>
      <w:r w:rsidRPr="00B3626F">
        <w:t xml:space="preserve"> et décision </w:t>
      </w:r>
      <w:hyperlink r:id="rId16" w:history="1">
        <w:r w:rsidRPr="00B3626F">
          <w:rPr>
            <w:rStyle w:val="Lienhypertexte"/>
          </w:rPr>
          <w:t>16.COM</w:t>
        </w:r>
        <w:r w:rsidR="00DE5604" w:rsidRPr="00B3626F">
          <w:rPr>
            <w:rStyle w:val="Lienhypertexte"/>
          </w:rPr>
          <w:t> </w:t>
        </w:r>
        <w:r w:rsidRPr="00B3626F">
          <w:rPr>
            <w:rStyle w:val="Lienhypertexte"/>
          </w:rPr>
          <w:t>14</w:t>
        </w:r>
      </w:hyperlink>
      <w:r w:rsidRPr="00B3626F">
        <w:t>). Le Comité a également recommandé à l</w:t>
      </w:r>
      <w:r w:rsidR="00DE5604" w:rsidRPr="00B3626F">
        <w:t>’</w:t>
      </w:r>
      <w:r w:rsidRPr="00B3626F">
        <w:t xml:space="preserve">Assemblée générale de réviser les </w:t>
      </w:r>
      <w:r w:rsidR="00DE5604" w:rsidRPr="00B3626F">
        <w:t>d</w:t>
      </w:r>
      <w:r w:rsidRPr="00B3626F">
        <w:t xml:space="preserve">irectives opérationnelles </w:t>
      </w:r>
      <w:r w:rsidR="009A3A70" w:rsidRPr="00B3626F">
        <w:t>en se conformant aux recommandations du groupe de travail et en reflétant leur esprit</w:t>
      </w:r>
      <w:r w:rsidRPr="00B3626F">
        <w:t>.</w:t>
      </w:r>
    </w:p>
    <w:p w14:paraId="7DE19250" w14:textId="39E7BD66" w:rsidR="000F6AB5" w:rsidRPr="00B3626F" w:rsidRDefault="00377537" w:rsidP="006373E6">
      <w:pPr>
        <w:pStyle w:val="COMPara"/>
        <w:ind w:left="567" w:hanging="567"/>
        <w:jc w:val="both"/>
        <w:rPr>
          <w:b/>
          <w:bCs/>
        </w:rPr>
      </w:pPr>
      <w:r w:rsidRPr="00B3626F">
        <w:t xml:space="preserve">Au cours des </w:t>
      </w:r>
      <w:r w:rsidR="00DE5604" w:rsidRPr="00B3626F">
        <w:t>p</w:t>
      </w:r>
      <w:r w:rsidRPr="00B3626F">
        <w:t xml:space="preserve">arties I et II </w:t>
      </w:r>
      <w:r w:rsidR="00DE5604" w:rsidRPr="00B3626F">
        <w:t>de la réunion</w:t>
      </w:r>
      <w:r w:rsidRPr="00B3626F">
        <w:t xml:space="preserve"> du groupe de travail, ainsi qu</w:t>
      </w:r>
      <w:r w:rsidR="00DE5604" w:rsidRPr="00B3626F">
        <w:t>’</w:t>
      </w:r>
      <w:r w:rsidRPr="00B3626F">
        <w:t>au cours de la seizième session du Comité, des questions supplémentaires ont été soulevées qui n</w:t>
      </w:r>
      <w:r w:rsidR="00DE5604" w:rsidRPr="00B3626F">
        <w:t>’</w:t>
      </w:r>
      <w:r w:rsidRPr="00B3626F">
        <w:t xml:space="preserve">ont pas pu être traitées à temps, comme </w:t>
      </w:r>
      <w:r w:rsidRPr="00B3626F">
        <w:rPr>
          <w:rFonts w:asciiTheme="minorBidi" w:hAnsiTheme="minorBidi"/>
        </w:rPr>
        <w:t>indiqué au paragraphe 14 (c) des</w:t>
      </w:r>
      <w:r w:rsidR="00362D95" w:rsidRPr="00B3626F">
        <w:rPr>
          <w:rFonts w:asciiTheme="minorBidi" w:hAnsiTheme="minorBidi"/>
        </w:rPr>
        <w:t> « Perspectives futures »</w:t>
      </w:r>
      <w:r w:rsidRPr="00B3626F">
        <w:rPr>
          <w:rFonts w:asciiTheme="minorBidi" w:hAnsiTheme="minorBidi"/>
        </w:rPr>
        <w:t xml:space="preserve">, présentées </w:t>
      </w:r>
      <w:r w:rsidR="00DE5604" w:rsidRPr="00B3626F">
        <w:rPr>
          <w:rFonts w:asciiTheme="minorBidi" w:hAnsiTheme="minorBidi"/>
        </w:rPr>
        <w:t xml:space="preserve">dans </w:t>
      </w:r>
      <w:r w:rsidRPr="00B3626F">
        <w:rPr>
          <w:rFonts w:asciiTheme="minorBidi" w:hAnsiTheme="minorBidi"/>
        </w:rPr>
        <w:t>l</w:t>
      </w:r>
      <w:r w:rsidR="00DE5604" w:rsidRPr="00B3626F">
        <w:rPr>
          <w:rFonts w:asciiTheme="minorBidi" w:hAnsiTheme="minorBidi"/>
        </w:rPr>
        <w:t>’a</w:t>
      </w:r>
      <w:r w:rsidRPr="00B3626F">
        <w:rPr>
          <w:rFonts w:asciiTheme="minorBidi" w:hAnsiTheme="minorBidi"/>
        </w:rPr>
        <w:t xml:space="preserve">nnexe I de la décision </w:t>
      </w:r>
      <w:hyperlink r:id="rId17" w:history="1">
        <w:r w:rsidRPr="00B3626F">
          <w:rPr>
            <w:rStyle w:val="Lienhypertexte"/>
            <w:rFonts w:asciiTheme="minorBidi" w:hAnsiTheme="minorBidi"/>
          </w:rPr>
          <w:t>16.COM 14</w:t>
        </w:r>
      </w:hyperlink>
      <w:r w:rsidRPr="00B3626F">
        <w:rPr>
          <w:rFonts w:asciiTheme="minorBidi" w:hAnsiTheme="minorBidi"/>
        </w:rPr>
        <w:t>.</w:t>
      </w:r>
      <w:r w:rsidRPr="00B3626F">
        <w:rPr>
          <w:b/>
        </w:rPr>
        <w:t xml:space="preserve"> </w:t>
      </w:r>
      <w:r w:rsidRPr="00B3626F">
        <w:t xml:space="preserve">À la demande du groupe de travail, la seizième session du Comité a décidé de prolonger son mandat et de convoquer en 2022 une </w:t>
      </w:r>
      <w:r w:rsidR="00BE1203" w:rsidRPr="00B3626F">
        <w:t>p</w:t>
      </w:r>
      <w:r w:rsidRPr="00B3626F">
        <w:t>artie III</w:t>
      </w:r>
      <w:r w:rsidR="00BE1203" w:rsidRPr="00B3626F">
        <w:t xml:space="preserve"> de la réunion</w:t>
      </w:r>
      <w:r w:rsidRPr="00B3626F">
        <w:t xml:space="preserve">, tout en ajoutant de nouveaux </w:t>
      </w:r>
      <w:r w:rsidR="00BE1203" w:rsidRPr="00B3626F">
        <w:t>sujets</w:t>
      </w:r>
      <w:r w:rsidRPr="00B3626F">
        <w:t xml:space="preserve">, comme indiqué au paragraphe 11 de la décision </w:t>
      </w:r>
      <w:hyperlink r:id="rId18" w:history="1">
        <w:r w:rsidRPr="00B3626F">
          <w:rPr>
            <w:rStyle w:val="Lienhypertexte"/>
            <w:rFonts w:asciiTheme="minorBidi" w:hAnsiTheme="minorBidi"/>
          </w:rPr>
          <w:t>16.COM 14</w:t>
        </w:r>
      </w:hyperlink>
      <w:r w:rsidRPr="00B3626F">
        <w:rPr>
          <w:rFonts w:asciiTheme="minorBidi" w:hAnsiTheme="minorBidi"/>
        </w:rPr>
        <w:t>.</w:t>
      </w:r>
    </w:p>
    <w:p w14:paraId="74B9B5FF" w14:textId="56394D8B" w:rsidR="000F7D8F" w:rsidRPr="00B3626F" w:rsidRDefault="00024653" w:rsidP="00D508E6">
      <w:pPr>
        <w:pStyle w:val="COMPara"/>
        <w:numPr>
          <w:ilvl w:val="0"/>
          <w:numId w:val="0"/>
        </w:numPr>
        <w:ind w:left="567"/>
        <w:jc w:val="both"/>
        <w:rPr>
          <w:b/>
          <w:bCs/>
        </w:rPr>
      </w:pPr>
      <w:r w:rsidRPr="00B3626F">
        <w:rPr>
          <w:b/>
        </w:rPr>
        <w:t>Partie III de la réunion du groupe de travail intergouvernemental à composition non limitée</w:t>
      </w:r>
    </w:p>
    <w:p w14:paraId="35440246" w14:textId="7CBC0FE5" w:rsidR="00A03B58" w:rsidRPr="00B3626F" w:rsidRDefault="000F7D8F" w:rsidP="0096254B">
      <w:pPr>
        <w:pStyle w:val="COMPara"/>
        <w:ind w:left="567" w:hanging="567"/>
        <w:jc w:val="both"/>
      </w:pPr>
      <w:r w:rsidRPr="00B3626F">
        <w:t xml:space="preserve">La </w:t>
      </w:r>
      <w:r w:rsidR="00BE1203" w:rsidRPr="00B3626F">
        <w:t>p</w:t>
      </w:r>
      <w:r w:rsidRPr="00B3626F">
        <w:t xml:space="preserve">artie III de la réunion du groupe de travail a été </w:t>
      </w:r>
      <w:r w:rsidR="00BE1203" w:rsidRPr="00B3626F">
        <w:t>organisée</w:t>
      </w:r>
      <w:r w:rsidRPr="00B3626F">
        <w:t xml:space="preserve"> en ligne les 25 et 26 avril 2022, toujours avec le soutien financier du Japon. Le Bureau établi par le groupe de travail de la </w:t>
      </w:r>
      <w:r w:rsidR="00BE1203" w:rsidRPr="00B3626F">
        <w:t>p</w:t>
      </w:r>
      <w:r w:rsidRPr="00B3626F">
        <w:t>artie I est resté en fonction jusqu</w:t>
      </w:r>
      <w:r w:rsidR="00DE5604" w:rsidRPr="00B3626F">
        <w:t>’</w:t>
      </w:r>
      <w:r w:rsidRPr="00B3626F">
        <w:t xml:space="preserve">à la </w:t>
      </w:r>
      <w:r w:rsidR="00BE1203" w:rsidRPr="00B3626F">
        <w:t>p</w:t>
      </w:r>
      <w:r w:rsidRPr="00B3626F">
        <w:t xml:space="preserve">artie III. Il </w:t>
      </w:r>
      <w:r w:rsidRPr="00B3626F">
        <w:rPr>
          <w:rFonts w:asciiTheme="minorBidi" w:hAnsiTheme="minorBidi"/>
        </w:rPr>
        <w:t xml:space="preserve">se composait </w:t>
      </w:r>
      <w:r w:rsidRPr="00B3626F">
        <w:t>de S.E. M. Atsuyuki Oike (Japon), Président, ainsi que d</w:t>
      </w:r>
      <w:r w:rsidR="00DE5604" w:rsidRPr="00B3626F">
        <w:t>’</w:t>
      </w:r>
      <w:r w:rsidRPr="00B3626F">
        <w:t xml:space="preserve">un Vice-président pour chacun des autres groupes électoraux, qui jouaient également le rôle de </w:t>
      </w:r>
      <w:r w:rsidR="00433C45" w:rsidRPr="00B3626F">
        <w:t>R</w:t>
      </w:r>
      <w:r w:rsidRPr="00B3626F">
        <w:t>apporteurs : Allemagne, Pologne, Pérou, Côte d</w:t>
      </w:r>
      <w:r w:rsidR="00DE5604" w:rsidRPr="00B3626F">
        <w:t>’</w:t>
      </w:r>
      <w:r w:rsidRPr="00B3626F">
        <w:t>Ivoire et Koweït.</w:t>
      </w:r>
    </w:p>
    <w:p w14:paraId="5C600C3A" w14:textId="67260F9A" w:rsidR="00217634" w:rsidRPr="00B3626F" w:rsidRDefault="00443F0B" w:rsidP="0096254B">
      <w:pPr>
        <w:pStyle w:val="COMPara"/>
        <w:ind w:left="567" w:hanging="567"/>
        <w:jc w:val="both"/>
      </w:pPr>
      <w:r w:rsidRPr="00B3626F">
        <w:t xml:space="preserve">Les documents présentés au groupe de travail sont résumés dans le tableau ci-dessous. Par ailleurs, les délibérations de la réunion sont conservées dans le compte-rendu (document </w:t>
      </w:r>
      <w:hyperlink r:id="rId19" w:history="1">
        <w:r w:rsidRPr="00B3626F">
          <w:rPr>
            <w:rStyle w:val="Lienhypertexte"/>
          </w:rPr>
          <w:t>LHE/22/5.EXT.COM/INF</w:t>
        </w:r>
      </w:hyperlink>
      <w:r w:rsidR="00433C45" w:rsidRPr="00B3626F">
        <w:rPr>
          <w:rStyle w:val="Lienhypertexte"/>
        </w:rPr>
        <w:t>.4</w:t>
      </w:r>
      <w:r w:rsidRPr="00B3626F">
        <w:t>).</w:t>
      </w:r>
    </w:p>
    <w:tbl>
      <w:tblPr>
        <w:tblStyle w:val="Grilledutableau"/>
        <w:tblW w:w="0" w:type="auto"/>
        <w:tblInd w:w="567" w:type="dxa"/>
        <w:tblLook w:val="04A0" w:firstRow="1" w:lastRow="0" w:firstColumn="1" w:lastColumn="0" w:noHBand="0" w:noVBand="1"/>
      </w:tblPr>
      <w:tblGrid>
        <w:gridCol w:w="6374"/>
        <w:gridCol w:w="2687"/>
      </w:tblGrid>
      <w:tr w:rsidR="004B480F" w:rsidRPr="00B3626F" w14:paraId="1FF50FB5" w14:textId="77777777" w:rsidTr="00D508E6">
        <w:tc>
          <w:tcPr>
            <w:tcW w:w="6374" w:type="dxa"/>
            <w:shd w:val="clear" w:color="auto" w:fill="DBE5F1" w:themeFill="accent1" w:themeFillTint="33"/>
          </w:tcPr>
          <w:p w14:paraId="532A2417" w14:textId="4B948525" w:rsidR="004B480F" w:rsidRPr="00B3626F" w:rsidRDefault="004B480F" w:rsidP="00D508E6">
            <w:pPr>
              <w:pStyle w:val="COMPara"/>
              <w:numPr>
                <w:ilvl w:val="0"/>
                <w:numId w:val="0"/>
              </w:numPr>
              <w:spacing w:after="0"/>
              <w:jc w:val="both"/>
              <w:rPr>
                <w:b/>
                <w:bCs/>
              </w:rPr>
            </w:pPr>
            <w:r w:rsidRPr="00B3626F">
              <w:rPr>
                <w:b/>
              </w:rPr>
              <w:t>Partie III</w:t>
            </w:r>
          </w:p>
        </w:tc>
        <w:tc>
          <w:tcPr>
            <w:tcW w:w="2687" w:type="dxa"/>
            <w:shd w:val="clear" w:color="auto" w:fill="DBE5F1" w:themeFill="accent1" w:themeFillTint="33"/>
          </w:tcPr>
          <w:p w14:paraId="12B76046" w14:textId="77777777" w:rsidR="004B480F" w:rsidRPr="00B3626F" w:rsidRDefault="004B480F" w:rsidP="00D508E6">
            <w:pPr>
              <w:pStyle w:val="COMPara"/>
              <w:numPr>
                <w:ilvl w:val="0"/>
                <w:numId w:val="0"/>
              </w:numPr>
              <w:spacing w:after="0"/>
              <w:jc w:val="both"/>
            </w:pPr>
          </w:p>
        </w:tc>
      </w:tr>
      <w:tr w:rsidR="004B480F" w:rsidRPr="00B3626F" w14:paraId="059ECCE4" w14:textId="77777777" w:rsidTr="00D508E6">
        <w:tc>
          <w:tcPr>
            <w:tcW w:w="6374" w:type="dxa"/>
          </w:tcPr>
          <w:p w14:paraId="3FBCCD97" w14:textId="77777777" w:rsidR="004B480F" w:rsidRPr="00B3626F" w:rsidRDefault="004B480F" w:rsidP="004B480F">
            <w:pPr>
              <w:pStyle w:val="COMPara"/>
              <w:numPr>
                <w:ilvl w:val="0"/>
                <w:numId w:val="0"/>
              </w:numPr>
              <w:spacing w:after="0"/>
              <w:jc w:val="both"/>
              <w:rPr>
                <w:rFonts w:asciiTheme="minorBidi" w:eastAsiaTheme="minorEastAsia" w:hAnsiTheme="minorBidi" w:cstheme="minorBidi"/>
              </w:rPr>
            </w:pPr>
            <w:r w:rsidRPr="00B3626F">
              <w:rPr>
                <w:rFonts w:asciiTheme="minorBidi" w:hAnsiTheme="minorBidi"/>
              </w:rPr>
              <w:t>Ordre du jour, objectifs et méthodologie de travail (Partie III)</w:t>
            </w:r>
          </w:p>
          <w:p w14:paraId="17686806" w14:textId="54865020" w:rsidR="004B480F" w:rsidRPr="00B3626F" w:rsidRDefault="004B480F" w:rsidP="00D508E6">
            <w:pPr>
              <w:pStyle w:val="COMPara"/>
              <w:numPr>
                <w:ilvl w:val="0"/>
                <w:numId w:val="0"/>
              </w:numPr>
              <w:spacing w:after="0"/>
              <w:jc w:val="both"/>
            </w:pPr>
          </w:p>
        </w:tc>
        <w:tc>
          <w:tcPr>
            <w:tcW w:w="2687" w:type="dxa"/>
          </w:tcPr>
          <w:p w14:paraId="1B6B7CC8" w14:textId="15465A94" w:rsidR="004B480F" w:rsidRPr="00B3626F" w:rsidRDefault="00C70416" w:rsidP="00D508E6">
            <w:pPr>
              <w:pStyle w:val="COMPara"/>
              <w:numPr>
                <w:ilvl w:val="0"/>
                <w:numId w:val="0"/>
              </w:numPr>
              <w:spacing w:after="0"/>
              <w:jc w:val="both"/>
            </w:pPr>
            <w:hyperlink r:id="rId20" w:history="1">
              <w:r w:rsidR="008221B3" w:rsidRPr="00B3626F">
                <w:rPr>
                  <w:rStyle w:val="Lienhypertexte"/>
                  <w:rFonts w:asciiTheme="minorBidi" w:hAnsiTheme="minorBidi"/>
                </w:rPr>
                <w:t>LHE/22/17.COM WG/9</w:t>
              </w:r>
            </w:hyperlink>
          </w:p>
        </w:tc>
      </w:tr>
      <w:tr w:rsidR="004B480F" w:rsidRPr="00B3626F" w14:paraId="5FBA2C6E" w14:textId="77777777" w:rsidTr="00D508E6">
        <w:tc>
          <w:tcPr>
            <w:tcW w:w="6374" w:type="dxa"/>
          </w:tcPr>
          <w:p w14:paraId="41370DE8" w14:textId="470DAAFE" w:rsidR="004B480F" w:rsidRPr="00B3626F" w:rsidRDefault="004B480F" w:rsidP="004B480F">
            <w:pPr>
              <w:pStyle w:val="COMPara"/>
              <w:numPr>
                <w:ilvl w:val="0"/>
                <w:numId w:val="0"/>
              </w:numPr>
              <w:spacing w:after="0"/>
              <w:jc w:val="both"/>
              <w:rPr>
                <w:rFonts w:asciiTheme="minorBidi" w:hAnsiTheme="minorBidi" w:cstheme="minorBidi"/>
              </w:rPr>
            </w:pPr>
            <w:r w:rsidRPr="00B3626F">
              <w:rPr>
                <w:rFonts w:asciiTheme="minorBidi" w:hAnsiTheme="minorBidi"/>
              </w:rPr>
              <w:t>Vers un système réformé d</w:t>
            </w:r>
            <w:r w:rsidR="00DE5604" w:rsidRPr="00B3626F">
              <w:rPr>
                <w:rFonts w:asciiTheme="minorBidi" w:hAnsiTheme="minorBidi"/>
              </w:rPr>
              <w:t>’</w:t>
            </w:r>
            <w:r w:rsidRPr="00B3626F">
              <w:rPr>
                <w:rFonts w:asciiTheme="minorBidi" w:hAnsiTheme="minorBidi"/>
              </w:rPr>
              <w:t xml:space="preserve">inscription sur les listes (Partie III) : </w:t>
            </w:r>
            <w:r w:rsidR="00E7288F" w:rsidRPr="00B3626F">
              <w:rPr>
                <w:rFonts w:asciiTheme="minorBidi" w:hAnsiTheme="minorBidi"/>
              </w:rPr>
              <w:t xml:space="preserve">questions </w:t>
            </w:r>
            <w:r w:rsidRPr="00B3626F">
              <w:rPr>
                <w:rFonts w:asciiTheme="minorBidi" w:hAnsiTheme="minorBidi"/>
              </w:rPr>
              <w:t>lié</w:t>
            </w:r>
            <w:r w:rsidR="00E7288F" w:rsidRPr="00B3626F">
              <w:rPr>
                <w:rFonts w:asciiTheme="minorBidi" w:hAnsiTheme="minorBidi"/>
              </w:rPr>
              <w:t>e</w:t>
            </w:r>
            <w:r w:rsidRPr="00B3626F">
              <w:rPr>
                <w:rFonts w:asciiTheme="minorBidi" w:hAnsiTheme="minorBidi"/>
              </w:rPr>
              <w:t>s au nombre annuel de dossiers</w:t>
            </w:r>
          </w:p>
          <w:p w14:paraId="3826FE33" w14:textId="5A31BD46" w:rsidR="004B480F" w:rsidRPr="00B3626F" w:rsidRDefault="004B480F" w:rsidP="00D508E6">
            <w:pPr>
              <w:pStyle w:val="COMPara"/>
              <w:numPr>
                <w:ilvl w:val="0"/>
                <w:numId w:val="0"/>
              </w:numPr>
              <w:spacing w:after="0"/>
              <w:jc w:val="both"/>
              <w:rPr>
                <w:rFonts w:asciiTheme="minorBidi" w:hAnsiTheme="minorBidi" w:cstheme="minorBidi"/>
              </w:rPr>
            </w:pPr>
          </w:p>
        </w:tc>
        <w:tc>
          <w:tcPr>
            <w:tcW w:w="2687" w:type="dxa"/>
          </w:tcPr>
          <w:p w14:paraId="4AF2CD48" w14:textId="7265BA32" w:rsidR="004B480F" w:rsidRPr="00B3626F" w:rsidRDefault="00C70416" w:rsidP="00D508E6">
            <w:pPr>
              <w:pStyle w:val="COMPara"/>
              <w:numPr>
                <w:ilvl w:val="0"/>
                <w:numId w:val="0"/>
              </w:numPr>
              <w:spacing w:after="0"/>
              <w:jc w:val="both"/>
            </w:pPr>
            <w:hyperlink r:id="rId21" w:history="1">
              <w:r w:rsidR="008221B3" w:rsidRPr="00B3626F">
                <w:rPr>
                  <w:rStyle w:val="Lienhypertexte"/>
                  <w:rFonts w:asciiTheme="minorBidi" w:hAnsiTheme="minorBidi"/>
                </w:rPr>
                <w:t>LHE/22/17.COM WG/1</w:t>
              </w:r>
              <w:r w:rsidR="008221B3" w:rsidRPr="00B3626F">
                <w:rPr>
                  <w:rStyle w:val="Lienhypertexte"/>
                </w:rPr>
                <w:t>0</w:t>
              </w:r>
            </w:hyperlink>
          </w:p>
        </w:tc>
      </w:tr>
      <w:tr w:rsidR="004B480F" w:rsidRPr="00B3626F" w14:paraId="1D0C8E5A" w14:textId="77777777" w:rsidTr="00D508E6">
        <w:tc>
          <w:tcPr>
            <w:tcW w:w="6374" w:type="dxa"/>
          </w:tcPr>
          <w:p w14:paraId="044759AC" w14:textId="43A50DE5" w:rsidR="004B480F" w:rsidRPr="00B3626F" w:rsidRDefault="004B480F" w:rsidP="00DA0414">
            <w:pPr>
              <w:pStyle w:val="COMPara"/>
              <w:numPr>
                <w:ilvl w:val="0"/>
                <w:numId w:val="0"/>
              </w:numPr>
              <w:spacing w:after="0"/>
              <w:jc w:val="both"/>
            </w:pPr>
            <w:r w:rsidRPr="00B3626F">
              <w:rPr>
                <w:rFonts w:asciiTheme="minorBidi" w:hAnsiTheme="minorBidi"/>
              </w:rPr>
              <w:t xml:space="preserve">Autres questions nécessitant une réflexion </w:t>
            </w:r>
            <w:r w:rsidR="00E7288F" w:rsidRPr="00B3626F">
              <w:rPr>
                <w:rFonts w:asciiTheme="minorBidi" w:hAnsiTheme="minorBidi"/>
              </w:rPr>
              <w:t xml:space="preserve">approfondie </w:t>
            </w:r>
            <w:r w:rsidRPr="00B3626F">
              <w:rPr>
                <w:rFonts w:asciiTheme="minorBidi" w:hAnsiTheme="minorBidi"/>
              </w:rPr>
              <w:t>(Partie III)</w:t>
            </w:r>
          </w:p>
        </w:tc>
        <w:tc>
          <w:tcPr>
            <w:tcW w:w="2687" w:type="dxa"/>
          </w:tcPr>
          <w:p w14:paraId="4047C991" w14:textId="2E12DC3D" w:rsidR="004B480F" w:rsidRPr="00B3626F" w:rsidRDefault="00C70416" w:rsidP="00D508E6">
            <w:pPr>
              <w:pStyle w:val="COMPara"/>
              <w:numPr>
                <w:ilvl w:val="0"/>
                <w:numId w:val="0"/>
              </w:numPr>
              <w:spacing w:after="0"/>
              <w:jc w:val="both"/>
            </w:pPr>
            <w:hyperlink r:id="rId22" w:history="1">
              <w:r w:rsidR="008221B3" w:rsidRPr="00B3626F">
                <w:rPr>
                  <w:rStyle w:val="Lienhypertexte"/>
                  <w:rFonts w:asciiTheme="minorBidi" w:hAnsiTheme="minorBidi"/>
                </w:rPr>
                <w:t>LHE/22/17.COM WG/11</w:t>
              </w:r>
            </w:hyperlink>
          </w:p>
        </w:tc>
      </w:tr>
      <w:tr w:rsidR="004B480F" w:rsidRPr="00B3626F" w14:paraId="0BBCACF8" w14:textId="77777777" w:rsidTr="00D508E6">
        <w:tc>
          <w:tcPr>
            <w:tcW w:w="6374" w:type="dxa"/>
          </w:tcPr>
          <w:p w14:paraId="256788B2" w14:textId="2497E608" w:rsidR="004B480F" w:rsidRPr="00B3626F" w:rsidRDefault="004B480F" w:rsidP="004B480F">
            <w:pPr>
              <w:pStyle w:val="COMPara"/>
              <w:numPr>
                <w:ilvl w:val="0"/>
                <w:numId w:val="0"/>
              </w:numPr>
              <w:spacing w:after="0"/>
              <w:jc w:val="both"/>
              <w:rPr>
                <w:rFonts w:asciiTheme="minorBidi" w:eastAsiaTheme="minorEastAsia" w:hAnsiTheme="minorBidi" w:cstheme="minorBidi"/>
              </w:rPr>
            </w:pPr>
            <w:r w:rsidRPr="00B3626F">
              <w:rPr>
                <w:rFonts w:asciiTheme="minorBidi" w:hAnsiTheme="minorBidi"/>
              </w:rPr>
              <w:t xml:space="preserve">Rapport au Comité </w:t>
            </w:r>
            <w:r w:rsidR="00E7288F" w:rsidRPr="00B3626F">
              <w:rPr>
                <w:rFonts w:asciiTheme="minorBidi" w:hAnsiTheme="minorBidi"/>
              </w:rPr>
              <w:t>I</w:t>
            </w:r>
            <w:r w:rsidRPr="00B3626F">
              <w:rPr>
                <w:rFonts w:asciiTheme="minorBidi" w:hAnsiTheme="minorBidi"/>
              </w:rPr>
              <w:t>ntergouvernemental</w:t>
            </w:r>
          </w:p>
          <w:p w14:paraId="05BDE1E6" w14:textId="77777777" w:rsidR="004B480F" w:rsidRPr="00B3626F" w:rsidRDefault="004B480F" w:rsidP="00D508E6">
            <w:pPr>
              <w:pStyle w:val="COMPara"/>
              <w:numPr>
                <w:ilvl w:val="0"/>
                <w:numId w:val="0"/>
              </w:numPr>
              <w:spacing w:after="0"/>
              <w:jc w:val="both"/>
            </w:pPr>
          </w:p>
        </w:tc>
        <w:tc>
          <w:tcPr>
            <w:tcW w:w="2687" w:type="dxa"/>
          </w:tcPr>
          <w:p w14:paraId="608FE7CE" w14:textId="7A495AAA" w:rsidR="004B480F" w:rsidRPr="00B3626F" w:rsidRDefault="00C70416" w:rsidP="00D508E6">
            <w:pPr>
              <w:pStyle w:val="COMPara"/>
              <w:numPr>
                <w:ilvl w:val="0"/>
                <w:numId w:val="0"/>
              </w:numPr>
              <w:spacing w:after="0"/>
              <w:jc w:val="both"/>
            </w:pPr>
            <w:hyperlink r:id="rId23" w:history="1">
              <w:r w:rsidR="008221B3" w:rsidRPr="00B3626F">
                <w:rPr>
                  <w:rStyle w:val="Lienhypertexte"/>
                  <w:rFonts w:asciiTheme="minorBidi" w:hAnsiTheme="minorBidi"/>
                </w:rPr>
                <w:t>LHE/22/17.COM WG/12</w:t>
              </w:r>
            </w:hyperlink>
          </w:p>
        </w:tc>
      </w:tr>
    </w:tbl>
    <w:p w14:paraId="77CB556C" w14:textId="52E81F30" w:rsidR="000F6AB5" w:rsidRPr="00B3626F" w:rsidRDefault="000F6AB5" w:rsidP="00BE1203">
      <w:pPr>
        <w:pStyle w:val="COMPara"/>
        <w:keepNext/>
        <w:spacing w:before="240"/>
        <w:ind w:left="567" w:hanging="567"/>
        <w:jc w:val="both"/>
        <w:rPr>
          <w:rFonts w:asciiTheme="minorBidi" w:hAnsiTheme="minorBidi" w:cstheme="minorBidi"/>
          <w:b/>
          <w:bCs/>
        </w:rPr>
      </w:pPr>
      <w:r w:rsidRPr="00B3626F">
        <w:rPr>
          <w:rFonts w:asciiTheme="minorBidi" w:hAnsiTheme="minorBidi"/>
        </w:rPr>
        <w:lastRenderedPageBreak/>
        <w:t xml:space="preserve">Les questions sur lesquelles la </w:t>
      </w:r>
      <w:r w:rsidR="00BE1203" w:rsidRPr="00B3626F">
        <w:rPr>
          <w:rFonts w:asciiTheme="minorBidi" w:hAnsiTheme="minorBidi"/>
        </w:rPr>
        <w:t>p</w:t>
      </w:r>
      <w:r w:rsidRPr="00B3626F">
        <w:rPr>
          <w:rFonts w:asciiTheme="minorBidi" w:hAnsiTheme="minorBidi"/>
        </w:rPr>
        <w:t>artie III de la réunion du groupe de travail a été sollicitée peuvent être regroupées en deux grandes catégories :</w:t>
      </w:r>
    </w:p>
    <w:p w14:paraId="4E99190E" w14:textId="77CA8570" w:rsidR="000F6AB5" w:rsidRPr="00B3626F" w:rsidRDefault="00A17CF8" w:rsidP="000F6AB5">
      <w:pPr>
        <w:pStyle w:val="1GAPara"/>
        <w:numPr>
          <w:ilvl w:val="0"/>
          <w:numId w:val="16"/>
        </w:numPr>
        <w:ind w:left="993" w:hanging="426"/>
        <w:jc w:val="both"/>
        <w:rPr>
          <w:rFonts w:asciiTheme="minorBidi" w:hAnsiTheme="minorBidi" w:cstheme="minorBidi"/>
        </w:rPr>
      </w:pPr>
      <w:r w:rsidRPr="00B3626F">
        <w:rPr>
          <w:rFonts w:asciiTheme="minorBidi" w:hAnsiTheme="minorBidi"/>
        </w:rPr>
        <w:t>Questions relatives au nombre annuel de dossiers (y compris les aspects connexes, tels que la composition et les méthodes de travail de l</w:t>
      </w:r>
      <w:r w:rsidR="00DE5604" w:rsidRPr="00B3626F">
        <w:rPr>
          <w:rFonts w:asciiTheme="minorBidi" w:hAnsiTheme="minorBidi"/>
        </w:rPr>
        <w:t>’</w:t>
      </w:r>
      <w:r w:rsidRPr="00B3626F">
        <w:rPr>
          <w:rFonts w:asciiTheme="minorBidi" w:hAnsiTheme="minorBidi"/>
        </w:rPr>
        <w:t>Organe d</w:t>
      </w:r>
      <w:r w:rsidR="00DE5604" w:rsidRPr="00B3626F">
        <w:rPr>
          <w:rFonts w:asciiTheme="minorBidi" w:hAnsiTheme="minorBidi"/>
        </w:rPr>
        <w:t>’</w:t>
      </w:r>
      <w:r w:rsidRPr="00B3626F">
        <w:rPr>
          <w:rFonts w:asciiTheme="minorBidi" w:hAnsiTheme="minorBidi"/>
        </w:rPr>
        <w:t>évaluation).</w:t>
      </w:r>
    </w:p>
    <w:tbl>
      <w:tblPr>
        <w:tblStyle w:val="Grilledutableau"/>
        <w:tblW w:w="0" w:type="auto"/>
        <w:tblInd w:w="567" w:type="dxa"/>
        <w:tblLook w:val="04A0" w:firstRow="1" w:lastRow="0" w:firstColumn="1" w:lastColumn="0" w:noHBand="0" w:noVBand="1"/>
      </w:tblPr>
      <w:tblGrid>
        <w:gridCol w:w="9061"/>
      </w:tblGrid>
      <w:tr w:rsidR="00F75EAC" w:rsidRPr="00B3626F" w14:paraId="3DB03605" w14:textId="77777777" w:rsidTr="00D508E6">
        <w:tc>
          <w:tcPr>
            <w:tcW w:w="9061" w:type="dxa"/>
            <w:shd w:val="clear" w:color="auto" w:fill="DBE5F1" w:themeFill="accent1" w:themeFillTint="33"/>
          </w:tcPr>
          <w:p w14:paraId="083ACFB8" w14:textId="31C663D3" w:rsidR="00F75EAC" w:rsidRPr="00B3626F" w:rsidRDefault="00F75EAC" w:rsidP="00F75EAC">
            <w:pPr>
              <w:pStyle w:val="Paragraphedeliste"/>
              <w:numPr>
                <w:ilvl w:val="1"/>
                <w:numId w:val="5"/>
              </w:numPr>
              <w:spacing w:before="120" w:after="120"/>
              <w:ind w:left="454" w:hanging="284"/>
              <w:contextualSpacing w:val="0"/>
              <w:jc w:val="both"/>
              <w:rPr>
                <w:rFonts w:asciiTheme="minorBidi" w:hAnsiTheme="minorBidi" w:cstheme="minorBidi"/>
                <w:sz w:val="22"/>
                <w:szCs w:val="22"/>
              </w:rPr>
            </w:pPr>
            <w:r w:rsidRPr="00B3626F">
              <w:rPr>
                <w:rFonts w:asciiTheme="minorBidi" w:hAnsiTheme="minorBidi"/>
                <w:i/>
                <w:sz w:val="22"/>
              </w:rPr>
              <w:t xml:space="preserve">(Sujet 1) </w:t>
            </w:r>
            <w:r w:rsidRPr="00B3626F">
              <w:rPr>
                <w:rFonts w:asciiTheme="minorBidi" w:hAnsiTheme="minorBidi"/>
                <w:sz w:val="22"/>
              </w:rPr>
              <w:t>« Revoir l</w:t>
            </w:r>
            <w:r w:rsidR="00DE5604" w:rsidRPr="00B3626F">
              <w:rPr>
                <w:rFonts w:asciiTheme="minorBidi" w:hAnsiTheme="minorBidi"/>
                <w:sz w:val="22"/>
              </w:rPr>
              <w:t>’</w:t>
            </w:r>
            <w:r w:rsidRPr="00B3626F">
              <w:rPr>
                <w:rFonts w:asciiTheme="minorBidi" w:hAnsiTheme="minorBidi"/>
                <w:sz w:val="22"/>
              </w:rPr>
              <w:t xml:space="preserve">adaptabilité de la composition et </w:t>
            </w:r>
            <w:r w:rsidR="0057176D" w:rsidRPr="00B3626F">
              <w:rPr>
                <w:rFonts w:asciiTheme="minorBidi" w:hAnsiTheme="minorBidi"/>
                <w:sz w:val="22"/>
              </w:rPr>
              <w:t>d</w:t>
            </w:r>
            <w:r w:rsidRPr="00B3626F">
              <w:rPr>
                <w:rFonts w:asciiTheme="minorBidi" w:hAnsiTheme="minorBidi"/>
                <w:sz w:val="22"/>
              </w:rPr>
              <w:t>es méthodes de travail de l</w:t>
            </w:r>
            <w:r w:rsidR="00DE5604" w:rsidRPr="00B3626F">
              <w:rPr>
                <w:rFonts w:asciiTheme="minorBidi" w:hAnsiTheme="minorBidi"/>
                <w:sz w:val="22"/>
              </w:rPr>
              <w:t>’</w:t>
            </w:r>
            <w:r w:rsidRPr="00B3626F">
              <w:rPr>
                <w:rFonts w:asciiTheme="minorBidi" w:hAnsiTheme="minorBidi"/>
                <w:sz w:val="22"/>
              </w:rPr>
              <w:t>Organe d</w:t>
            </w:r>
            <w:r w:rsidR="00DE5604" w:rsidRPr="00B3626F">
              <w:rPr>
                <w:rFonts w:asciiTheme="minorBidi" w:hAnsiTheme="minorBidi"/>
                <w:sz w:val="22"/>
              </w:rPr>
              <w:t>’</w:t>
            </w:r>
            <w:r w:rsidRPr="00B3626F">
              <w:rPr>
                <w:rFonts w:asciiTheme="minorBidi" w:hAnsiTheme="minorBidi"/>
                <w:sz w:val="22"/>
              </w:rPr>
              <w:t>évaluation</w:t>
            </w:r>
            <w:r w:rsidR="0057176D" w:rsidRPr="00B3626F">
              <w:rPr>
                <w:rFonts w:asciiTheme="minorBidi" w:hAnsiTheme="minorBidi"/>
                <w:sz w:val="22"/>
              </w:rPr>
              <w:t xml:space="preserve"> afin de </w:t>
            </w:r>
            <w:r w:rsidRPr="00B3626F">
              <w:rPr>
                <w:rFonts w:asciiTheme="minorBidi" w:hAnsiTheme="minorBidi"/>
                <w:sz w:val="22"/>
              </w:rPr>
              <w:t xml:space="preserve">permettre </w:t>
            </w:r>
            <w:r w:rsidR="0057176D" w:rsidRPr="00B3626F">
              <w:rPr>
                <w:rFonts w:asciiTheme="minorBidi" w:hAnsiTheme="minorBidi" w:cstheme="minorBidi"/>
                <w:sz w:val="22"/>
                <w:szCs w:val="22"/>
              </w:rPr>
              <w:t>l</w:t>
            </w:r>
            <w:r w:rsidR="00DE5604" w:rsidRPr="00B3626F">
              <w:rPr>
                <w:rFonts w:asciiTheme="minorBidi" w:hAnsiTheme="minorBidi" w:cstheme="minorBidi"/>
                <w:sz w:val="22"/>
                <w:szCs w:val="22"/>
              </w:rPr>
              <w:t>’</w:t>
            </w:r>
            <w:r w:rsidR="0057176D" w:rsidRPr="00B3626F">
              <w:rPr>
                <w:rFonts w:asciiTheme="minorBidi" w:hAnsiTheme="minorBidi" w:cstheme="minorBidi"/>
                <w:sz w:val="22"/>
                <w:szCs w:val="22"/>
              </w:rPr>
              <w:t xml:space="preserve">évaluation </w:t>
            </w:r>
            <w:r w:rsidR="0057176D" w:rsidRPr="00B3626F">
              <w:rPr>
                <w:rFonts w:asciiTheme="minorBidi" w:hAnsiTheme="minorBidi"/>
                <w:sz w:val="22"/>
                <w:szCs w:val="22"/>
              </w:rPr>
              <w:t>d</w:t>
            </w:r>
            <w:r w:rsidR="00DE5604" w:rsidRPr="00B3626F">
              <w:rPr>
                <w:rFonts w:asciiTheme="minorBidi" w:hAnsiTheme="minorBidi"/>
                <w:sz w:val="22"/>
                <w:szCs w:val="22"/>
              </w:rPr>
              <w:t>’</w:t>
            </w:r>
            <w:r w:rsidRPr="00B3626F">
              <w:rPr>
                <w:rFonts w:asciiTheme="minorBidi" w:hAnsiTheme="minorBidi"/>
                <w:sz w:val="22"/>
                <w:szCs w:val="22"/>
              </w:rPr>
              <w:t xml:space="preserve">un plus grand nombre de dossiers par cycle, </w:t>
            </w:r>
            <w:r w:rsidR="0057176D" w:rsidRPr="00B3626F">
              <w:rPr>
                <w:rFonts w:asciiTheme="minorBidi" w:hAnsiTheme="minorBidi" w:cstheme="minorBidi"/>
                <w:sz w:val="22"/>
                <w:szCs w:val="22"/>
              </w:rPr>
              <w:t>en gardant à l</w:t>
            </w:r>
            <w:r w:rsidR="00DE5604" w:rsidRPr="00B3626F">
              <w:rPr>
                <w:rFonts w:asciiTheme="minorBidi" w:hAnsiTheme="minorBidi" w:cstheme="minorBidi"/>
                <w:sz w:val="22"/>
                <w:szCs w:val="22"/>
              </w:rPr>
              <w:t>’</w:t>
            </w:r>
            <w:r w:rsidR="0057176D" w:rsidRPr="00B3626F">
              <w:rPr>
                <w:rFonts w:asciiTheme="minorBidi" w:hAnsiTheme="minorBidi" w:cstheme="minorBidi"/>
                <w:sz w:val="22"/>
                <w:szCs w:val="22"/>
              </w:rPr>
              <w:t>esprit</w:t>
            </w:r>
            <w:r w:rsidR="0057176D" w:rsidRPr="00B3626F">
              <w:rPr>
                <w:rFonts w:asciiTheme="minorBidi" w:hAnsiTheme="minorBidi" w:cstheme="minorBidi"/>
                <w:szCs w:val="22"/>
              </w:rPr>
              <w:t xml:space="preserve"> </w:t>
            </w:r>
            <w:r w:rsidRPr="00B3626F">
              <w:rPr>
                <w:rFonts w:asciiTheme="minorBidi" w:hAnsiTheme="minorBidi"/>
                <w:sz w:val="22"/>
              </w:rPr>
              <w:t>la représentation géographique ».</w:t>
            </w:r>
          </w:p>
          <w:p w14:paraId="43DEFED1" w14:textId="0A59B6EB" w:rsidR="00F75EAC" w:rsidRPr="00B3626F" w:rsidRDefault="00F75EAC" w:rsidP="00F75EAC">
            <w:pPr>
              <w:pStyle w:val="Paragraphedeliste"/>
              <w:numPr>
                <w:ilvl w:val="1"/>
                <w:numId w:val="5"/>
              </w:numPr>
              <w:spacing w:before="120" w:after="120"/>
              <w:ind w:left="454" w:hanging="283"/>
              <w:contextualSpacing w:val="0"/>
              <w:jc w:val="both"/>
              <w:rPr>
                <w:rFonts w:asciiTheme="minorBidi" w:hAnsiTheme="minorBidi" w:cstheme="minorBidi"/>
                <w:sz w:val="22"/>
                <w:szCs w:val="22"/>
              </w:rPr>
            </w:pPr>
            <w:r w:rsidRPr="00B3626F">
              <w:rPr>
                <w:rFonts w:asciiTheme="minorBidi" w:hAnsiTheme="minorBidi"/>
                <w:i/>
                <w:sz w:val="22"/>
              </w:rPr>
              <w:t>(Sujet 2)</w:t>
            </w:r>
            <w:r w:rsidRPr="00B3626F">
              <w:rPr>
                <w:rFonts w:asciiTheme="minorBidi" w:hAnsiTheme="minorBidi"/>
                <w:sz w:val="22"/>
              </w:rPr>
              <w:t xml:space="preserve"> « Examiner deux dossiers par État </w:t>
            </w:r>
            <w:r w:rsidR="0057176D" w:rsidRPr="00B3626F">
              <w:rPr>
                <w:rFonts w:asciiTheme="minorBidi" w:hAnsiTheme="minorBidi"/>
                <w:sz w:val="22"/>
              </w:rPr>
              <w:t xml:space="preserve">par cycle de </w:t>
            </w:r>
            <w:r w:rsidRPr="00B3626F">
              <w:rPr>
                <w:rFonts w:asciiTheme="minorBidi" w:hAnsiTheme="minorBidi"/>
                <w:sz w:val="22"/>
              </w:rPr>
              <w:t xml:space="preserve">trois ans, </w:t>
            </w:r>
            <w:r w:rsidR="0057176D" w:rsidRPr="00B3626F">
              <w:rPr>
                <w:rFonts w:asciiTheme="minorBidi" w:hAnsiTheme="minorBidi"/>
                <w:sz w:val="22"/>
              </w:rPr>
              <w:t xml:space="preserve">avec une </w:t>
            </w:r>
            <w:r w:rsidRPr="00B3626F">
              <w:rPr>
                <w:rFonts w:asciiTheme="minorBidi" w:hAnsiTheme="minorBidi"/>
                <w:sz w:val="22"/>
              </w:rPr>
              <w:t>alternan</w:t>
            </w:r>
            <w:r w:rsidR="0057176D" w:rsidRPr="00B3626F">
              <w:rPr>
                <w:rFonts w:asciiTheme="minorBidi" w:hAnsiTheme="minorBidi"/>
                <w:sz w:val="22"/>
              </w:rPr>
              <w:t>ce</w:t>
            </w:r>
            <w:r w:rsidRPr="00B3626F">
              <w:rPr>
                <w:rFonts w:asciiTheme="minorBidi" w:hAnsiTheme="minorBidi"/>
                <w:sz w:val="22"/>
              </w:rPr>
              <w:t xml:space="preserve"> entre </w:t>
            </w:r>
            <w:r w:rsidR="0057176D" w:rsidRPr="00B3626F">
              <w:rPr>
                <w:rFonts w:asciiTheme="minorBidi" w:hAnsiTheme="minorBidi"/>
                <w:sz w:val="22"/>
              </w:rPr>
              <w:t xml:space="preserve">une </w:t>
            </w:r>
            <w:r w:rsidRPr="00B3626F">
              <w:rPr>
                <w:rFonts w:asciiTheme="minorBidi" w:hAnsiTheme="minorBidi"/>
                <w:sz w:val="22"/>
              </w:rPr>
              <w:t xml:space="preserve">candidature </w:t>
            </w:r>
            <w:r w:rsidR="0057176D" w:rsidRPr="00B3626F">
              <w:rPr>
                <w:rFonts w:asciiTheme="minorBidi" w:hAnsiTheme="minorBidi"/>
                <w:sz w:val="22"/>
              </w:rPr>
              <w:t xml:space="preserve">à </w:t>
            </w:r>
            <w:r w:rsidRPr="00B3626F">
              <w:rPr>
                <w:rFonts w:asciiTheme="minorBidi" w:hAnsiTheme="minorBidi"/>
                <w:sz w:val="22"/>
              </w:rPr>
              <w:t>la Liste représentative</w:t>
            </w:r>
            <w:r w:rsidR="0057176D" w:rsidRPr="00B3626F">
              <w:rPr>
                <w:rFonts w:asciiTheme="minorBidi" w:hAnsiTheme="minorBidi"/>
                <w:sz w:val="22"/>
              </w:rPr>
              <w:t xml:space="preserve"> et à</w:t>
            </w:r>
            <w:r w:rsidRPr="00B3626F">
              <w:rPr>
                <w:rFonts w:asciiTheme="minorBidi" w:hAnsiTheme="minorBidi"/>
                <w:sz w:val="22"/>
              </w:rPr>
              <w:t xml:space="preserve"> la Liste de sauvegarde urgente ou </w:t>
            </w:r>
            <w:r w:rsidR="0057176D" w:rsidRPr="00B3626F">
              <w:rPr>
                <w:rFonts w:asciiTheme="minorBidi" w:hAnsiTheme="minorBidi"/>
                <w:sz w:val="22"/>
              </w:rPr>
              <w:t>au</w:t>
            </w:r>
            <w:r w:rsidRPr="00B3626F">
              <w:rPr>
                <w:rFonts w:asciiTheme="minorBidi" w:hAnsiTheme="minorBidi"/>
                <w:sz w:val="22"/>
              </w:rPr>
              <w:t xml:space="preserve"> Registre de bonnes pratiques de sauvegarde ».</w:t>
            </w:r>
          </w:p>
          <w:p w14:paraId="5CE26E64" w14:textId="4A5FA74C" w:rsidR="00F75EAC" w:rsidRPr="00B3626F" w:rsidRDefault="00F75EAC" w:rsidP="00F75EAC">
            <w:pPr>
              <w:pStyle w:val="Paragraphedeliste"/>
              <w:numPr>
                <w:ilvl w:val="1"/>
                <w:numId w:val="5"/>
              </w:numPr>
              <w:spacing w:before="120" w:after="120"/>
              <w:ind w:left="454" w:hanging="283"/>
              <w:contextualSpacing w:val="0"/>
              <w:jc w:val="both"/>
              <w:rPr>
                <w:rFonts w:asciiTheme="minorBidi" w:hAnsiTheme="minorBidi" w:cstheme="minorBidi"/>
                <w:sz w:val="22"/>
                <w:szCs w:val="22"/>
              </w:rPr>
            </w:pPr>
            <w:r w:rsidRPr="00B3626F">
              <w:rPr>
                <w:rFonts w:asciiTheme="minorBidi" w:hAnsiTheme="minorBidi"/>
                <w:i/>
                <w:sz w:val="22"/>
              </w:rPr>
              <w:t>(Sujet 3)</w:t>
            </w:r>
            <w:r w:rsidRPr="00B3626F">
              <w:rPr>
                <w:rFonts w:asciiTheme="minorBidi" w:hAnsiTheme="minorBidi"/>
                <w:sz w:val="22"/>
              </w:rPr>
              <w:t xml:space="preserve"> </w:t>
            </w:r>
            <w:r w:rsidRPr="00B3626F">
              <w:rPr>
                <w:rFonts w:asciiTheme="minorBidi" w:hAnsiTheme="minorBidi"/>
                <w:sz w:val="22"/>
                <w:szCs w:val="22"/>
              </w:rPr>
              <w:t>« </w:t>
            </w:r>
            <w:r w:rsidR="0057176D" w:rsidRPr="00B3626F">
              <w:rPr>
                <w:rFonts w:asciiTheme="minorBidi" w:hAnsiTheme="minorBidi" w:cstheme="minorBidi"/>
                <w:sz w:val="22"/>
                <w:szCs w:val="22"/>
              </w:rPr>
              <w:t xml:space="preserve">Déplacer </w:t>
            </w:r>
            <w:r w:rsidRPr="00B3626F">
              <w:rPr>
                <w:rFonts w:asciiTheme="minorBidi" w:hAnsiTheme="minorBidi"/>
                <w:sz w:val="22"/>
              </w:rPr>
              <w:t>toutes les demandes d</w:t>
            </w:r>
            <w:r w:rsidR="00DE5604" w:rsidRPr="00B3626F">
              <w:rPr>
                <w:rFonts w:asciiTheme="minorBidi" w:hAnsiTheme="minorBidi"/>
                <w:sz w:val="22"/>
              </w:rPr>
              <w:t>’</w:t>
            </w:r>
            <w:r w:rsidRPr="00B3626F">
              <w:rPr>
                <w:rFonts w:asciiTheme="minorBidi" w:hAnsiTheme="minorBidi"/>
                <w:sz w:val="22"/>
              </w:rPr>
              <w:t xml:space="preserve">assistance internationale au Bureau du Comité intergouvernemental </w:t>
            </w:r>
            <w:r w:rsidR="0057176D" w:rsidRPr="00B3626F">
              <w:rPr>
                <w:rFonts w:asciiTheme="minorBidi" w:hAnsiTheme="minorBidi"/>
                <w:sz w:val="22"/>
              </w:rPr>
              <w:t xml:space="preserve">de </w:t>
            </w:r>
            <w:r w:rsidRPr="00B3626F">
              <w:rPr>
                <w:rFonts w:asciiTheme="minorBidi" w:hAnsiTheme="minorBidi"/>
                <w:sz w:val="22"/>
              </w:rPr>
              <w:t>la sauvegarde du patrimoine culturel immatériel ».</w:t>
            </w:r>
          </w:p>
          <w:p w14:paraId="75B1E3B1" w14:textId="2ECB0613" w:rsidR="00F75EAC" w:rsidRPr="00B3626F" w:rsidRDefault="00F75EAC" w:rsidP="00F75EAC">
            <w:pPr>
              <w:pStyle w:val="Paragraphedeliste"/>
              <w:numPr>
                <w:ilvl w:val="1"/>
                <w:numId w:val="5"/>
              </w:numPr>
              <w:spacing w:before="120" w:after="120"/>
              <w:ind w:left="454" w:hanging="283"/>
              <w:contextualSpacing w:val="0"/>
              <w:jc w:val="both"/>
              <w:rPr>
                <w:rFonts w:asciiTheme="minorBidi" w:hAnsiTheme="minorBidi" w:cstheme="minorBidi"/>
                <w:sz w:val="22"/>
                <w:szCs w:val="22"/>
              </w:rPr>
            </w:pPr>
            <w:r w:rsidRPr="00B3626F">
              <w:rPr>
                <w:rFonts w:asciiTheme="minorBidi" w:hAnsiTheme="minorBidi"/>
                <w:i/>
                <w:sz w:val="22"/>
              </w:rPr>
              <w:t>(Sujet 4)</w:t>
            </w:r>
            <w:r w:rsidRPr="00B3626F">
              <w:rPr>
                <w:rFonts w:asciiTheme="minorBidi" w:hAnsiTheme="minorBidi"/>
                <w:sz w:val="22"/>
              </w:rPr>
              <w:t xml:space="preserve"> « Si les demandes de transfert de</w:t>
            </w:r>
            <w:r w:rsidR="0057176D" w:rsidRPr="00B3626F">
              <w:rPr>
                <w:rFonts w:asciiTheme="minorBidi" w:hAnsiTheme="minorBidi"/>
                <w:sz w:val="22"/>
              </w:rPr>
              <w:t>puis</w:t>
            </w:r>
            <w:r w:rsidRPr="00B3626F">
              <w:rPr>
                <w:rFonts w:asciiTheme="minorBidi" w:hAnsiTheme="minorBidi"/>
                <w:sz w:val="22"/>
              </w:rPr>
              <w:t xml:space="preserve"> la Liste de sauvegarde urgente </w:t>
            </w:r>
            <w:r w:rsidR="0057176D" w:rsidRPr="00B3626F">
              <w:rPr>
                <w:rFonts w:asciiTheme="minorBidi" w:hAnsiTheme="minorBidi"/>
                <w:sz w:val="22"/>
              </w:rPr>
              <w:t>vers</w:t>
            </w:r>
            <w:r w:rsidRPr="00B3626F">
              <w:rPr>
                <w:rFonts w:asciiTheme="minorBidi" w:hAnsiTheme="minorBidi"/>
                <w:sz w:val="22"/>
              </w:rPr>
              <w:t xml:space="preserve"> la Liste représentative </w:t>
            </w:r>
            <w:r w:rsidR="0057176D" w:rsidRPr="00B3626F">
              <w:rPr>
                <w:rFonts w:asciiTheme="minorBidi" w:hAnsiTheme="minorBidi"/>
                <w:sz w:val="22"/>
              </w:rPr>
              <w:t>doivent être</w:t>
            </w:r>
            <w:r w:rsidRPr="00B3626F">
              <w:rPr>
                <w:rFonts w:asciiTheme="minorBidi" w:hAnsiTheme="minorBidi"/>
                <w:sz w:val="22"/>
              </w:rPr>
              <w:t xml:space="preserve"> traitées </w:t>
            </w:r>
            <w:r w:rsidR="0057176D" w:rsidRPr="00B3626F">
              <w:rPr>
                <w:rFonts w:asciiTheme="minorBidi" w:hAnsiTheme="minorBidi"/>
                <w:sz w:val="22"/>
              </w:rPr>
              <w:t xml:space="preserve">comme faisant partie </w:t>
            </w:r>
            <w:r w:rsidRPr="00B3626F">
              <w:rPr>
                <w:rFonts w:asciiTheme="minorBidi" w:hAnsiTheme="minorBidi"/>
                <w:sz w:val="22"/>
              </w:rPr>
              <w:t>du plafond annuel approuvé par le Comité ».</w:t>
            </w:r>
          </w:p>
          <w:p w14:paraId="03931C45" w14:textId="17A5CC3E" w:rsidR="00F75EAC" w:rsidRPr="00B3626F" w:rsidRDefault="00F75EAC" w:rsidP="00D508E6">
            <w:pPr>
              <w:pStyle w:val="Paragraphedeliste"/>
              <w:numPr>
                <w:ilvl w:val="1"/>
                <w:numId w:val="5"/>
              </w:numPr>
              <w:spacing w:before="120" w:after="120"/>
              <w:ind w:left="454" w:hanging="283"/>
              <w:contextualSpacing w:val="0"/>
              <w:jc w:val="both"/>
              <w:rPr>
                <w:rFonts w:asciiTheme="minorBidi" w:hAnsiTheme="minorBidi" w:cstheme="minorBidi"/>
                <w:i/>
                <w:iCs/>
              </w:rPr>
            </w:pPr>
            <w:r w:rsidRPr="00B3626F">
              <w:rPr>
                <w:rFonts w:asciiTheme="minorBidi" w:hAnsiTheme="minorBidi"/>
                <w:i/>
                <w:sz w:val="22"/>
              </w:rPr>
              <w:t>(Sujet 5)</w:t>
            </w:r>
            <w:r w:rsidRPr="00B3626F">
              <w:rPr>
                <w:rFonts w:asciiTheme="minorBidi" w:hAnsiTheme="minorBidi"/>
                <w:sz w:val="22"/>
              </w:rPr>
              <w:t xml:space="preserve"> « Si les </w:t>
            </w:r>
            <w:r w:rsidRPr="00B3626F">
              <w:rPr>
                <w:rFonts w:asciiTheme="minorBidi" w:hAnsiTheme="minorBidi"/>
                <w:sz w:val="22"/>
                <w:szCs w:val="22"/>
              </w:rPr>
              <w:t xml:space="preserve">demandes </w:t>
            </w:r>
            <w:r w:rsidR="00377909" w:rsidRPr="00B3626F">
              <w:rPr>
                <w:rFonts w:asciiTheme="minorBidi" w:hAnsiTheme="minorBidi" w:cstheme="minorBidi"/>
                <w:sz w:val="22"/>
                <w:szCs w:val="22"/>
              </w:rPr>
              <w:t>d</w:t>
            </w:r>
            <w:r w:rsidR="00DE5604" w:rsidRPr="00B3626F">
              <w:rPr>
                <w:rFonts w:asciiTheme="minorBidi" w:hAnsiTheme="minorBidi" w:cstheme="minorBidi"/>
                <w:sz w:val="22"/>
                <w:szCs w:val="22"/>
              </w:rPr>
              <w:t>’</w:t>
            </w:r>
            <w:r w:rsidR="00377909" w:rsidRPr="00B3626F">
              <w:rPr>
                <w:rFonts w:asciiTheme="minorBidi" w:hAnsiTheme="minorBidi" w:cstheme="minorBidi"/>
                <w:sz w:val="22"/>
                <w:szCs w:val="22"/>
              </w:rPr>
              <w:t>extension</w:t>
            </w:r>
            <w:r w:rsidR="00377909" w:rsidRPr="00B3626F">
              <w:rPr>
                <w:rFonts w:asciiTheme="minorBidi" w:hAnsiTheme="minorBidi" w:cstheme="minorBidi"/>
                <w:szCs w:val="22"/>
              </w:rPr>
              <w:t xml:space="preserve"> </w:t>
            </w:r>
            <w:r w:rsidRPr="00B3626F">
              <w:rPr>
                <w:rFonts w:asciiTheme="minorBidi" w:hAnsiTheme="minorBidi"/>
                <w:sz w:val="22"/>
              </w:rPr>
              <w:t xml:space="preserve">seront traitées </w:t>
            </w:r>
            <w:r w:rsidR="00377909" w:rsidRPr="00B3626F">
              <w:rPr>
                <w:rFonts w:asciiTheme="minorBidi" w:hAnsiTheme="minorBidi"/>
                <w:sz w:val="22"/>
              </w:rPr>
              <w:t xml:space="preserve">comme faisant partie </w:t>
            </w:r>
            <w:r w:rsidRPr="00B3626F">
              <w:rPr>
                <w:rFonts w:asciiTheme="minorBidi" w:hAnsiTheme="minorBidi"/>
                <w:sz w:val="22"/>
              </w:rPr>
              <w:t>du plafond annuel des dossiers à examiner et d</w:t>
            </w:r>
            <w:r w:rsidR="00377909" w:rsidRPr="00B3626F">
              <w:rPr>
                <w:rFonts w:asciiTheme="minorBidi" w:hAnsiTheme="minorBidi"/>
                <w:sz w:val="22"/>
              </w:rPr>
              <w:t>ans le cadre d</w:t>
            </w:r>
            <w:r w:rsidRPr="00B3626F">
              <w:rPr>
                <w:rFonts w:asciiTheme="minorBidi" w:hAnsiTheme="minorBidi"/>
                <w:sz w:val="22"/>
              </w:rPr>
              <w:t>es priorités définies par le paragraphe 34 des Directives opérationnelles ».</w:t>
            </w:r>
          </w:p>
        </w:tc>
      </w:tr>
    </w:tbl>
    <w:p w14:paraId="25316681" w14:textId="733638F4" w:rsidR="00F75EAC" w:rsidRPr="00B3626F" w:rsidRDefault="00F75EAC" w:rsidP="00F75EAC">
      <w:pPr>
        <w:pStyle w:val="1GAPara"/>
        <w:ind w:left="567" w:firstLine="0"/>
        <w:jc w:val="both"/>
        <w:rPr>
          <w:rFonts w:asciiTheme="minorBidi" w:hAnsiTheme="minorBidi" w:cstheme="minorBidi"/>
        </w:rPr>
      </w:pPr>
    </w:p>
    <w:p w14:paraId="6262FBA3" w14:textId="4E992683" w:rsidR="000F6AB5" w:rsidRPr="00B3626F" w:rsidRDefault="000F6AB5" w:rsidP="000F6AB5">
      <w:pPr>
        <w:pStyle w:val="1GAPara"/>
        <w:ind w:left="993" w:hanging="426"/>
        <w:jc w:val="both"/>
        <w:rPr>
          <w:rFonts w:asciiTheme="minorBidi" w:hAnsiTheme="minorBidi" w:cstheme="minorBidi"/>
        </w:rPr>
      </w:pPr>
      <w:r w:rsidRPr="00B3626F">
        <w:rPr>
          <w:rFonts w:asciiTheme="minorBidi" w:hAnsiTheme="minorBidi"/>
        </w:rPr>
        <w:t>(b)</w:t>
      </w:r>
      <w:r w:rsidRPr="00B3626F">
        <w:rPr>
          <w:rFonts w:asciiTheme="minorBidi" w:hAnsiTheme="minorBidi"/>
        </w:rPr>
        <w:tab/>
        <w:t xml:space="preserve">Tout autre </w:t>
      </w:r>
      <w:r w:rsidR="00CF6DE9" w:rsidRPr="00B3626F">
        <w:rPr>
          <w:rFonts w:asciiTheme="minorBidi" w:hAnsiTheme="minorBidi"/>
        </w:rPr>
        <w:t xml:space="preserve">question </w:t>
      </w:r>
      <w:r w:rsidRPr="00B3626F">
        <w:rPr>
          <w:rFonts w:asciiTheme="minorBidi" w:hAnsiTheme="minorBidi"/>
        </w:rPr>
        <w:t>technique nécessitant une réflexion plus approfondie.</w:t>
      </w:r>
    </w:p>
    <w:tbl>
      <w:tblPr>
        <w:tblStyle w:val="Grilledutableau"/>
        <w:tblW w:w="0" w:type="auto"/>
        <w:tblInd w:w="562" w:type="dxa"/>
        <w:tblLook w:val="04A0" w:firstRow="1" w:lastRow="0" w:firstColumn="1" w:lastColumn="0" w:noHBand="0" w:noVBand="1"/>
      </w:tblPr>
      <w:tblGrid>
        <w:gridCol w:w="9066"/>
      </w:tblGrid>
      <w:tr w:rsidR="00F75EAC" w:rsidRPr="00B3626F" w14:paraId="6070DEBF" w14:textId="77777777" w:rsidTr="00D508E6">
        <w:tc>
          <w:tcPr>
            <w:tcW w:w="9628" w:type="dxa"/>
            <w:shd w:val="clear" w:color="auto" w:fill="DAEEF3" w:themeFill="accent5" w:themeFillTint="33"/>
          </w:tcPr>
          <w:p w14:paraId="1DABDF3D" w14:textId="76E6AC61" w:rsidR="00F75EAC" w:rsidRPr="00B3626F" w:rsidRDefault="009A51CD" w:rsidP="00F75EAC">
            <w:pPr>
              <w:pStyle w:val="Paragraphedeliste"/>
              <w:numPr>
                <w:ilvl w:val="1"/>
                <w:numId w:val="5"/>
              </w:numPr>
              <w:spacing w:before="120" w:after="120"/>
              <w:ind w:left="454" w:hanging="284"/>
              <w:contextualSpacing w:val="0"/>
              <w:jc w:val="both"/>
              <w:rPr>
                <w:rFonts w:asciiTheme="minorBidi" w:hAnsiTheme="minorBidi" w:cstheme="minorBidi"/>
                <w:sz w:val="22"/>
                <w:szCs w:val="22"/>
              </w:rPr>
            </w:pPr>
            <w:r w:rsidRPr="00B3626F">
              <w:rPr>
                <w:rFonts w:asciiTheme="minorBidi" w:hAnsiTheme="minorBidi"/>
                <w:i/>
                <w:sz w:val="22"/>
              </w:rPr>
              <w:t>(Sujet 6)</w:t>
            </w:r>
            <w:r w:rsidRPr="00B3626F">
              <w:rPr>
                <w:rFonts w:asciiTheme="minorBidi" w:hAnsiTheme="minorBidi"/>
                <w:sz w:val="22"/>
              </w:rPr>
              <w:t xml:space="preserve"> « Révis</w:t>
            </w:r>
            <w:r w:rsidR="00A41490" w:rsidRPr="00B3626F">
              <w:rPr>
                <w:rFonts w:asciiTheme="minorBidi" w:hAnsiTheme="minorBidi"/>
                <w:sz w:val="22"/>
              </w:rPr>
              <w:t>er</w:t>
            </w:r>
            <w:r w:rsidRPr="00B3626F">
              <w:rPr>
                <w:rFonts w:asciiTheme="minorBidi" w:hAnsiTheme="minorBidi"/>
                <w:sz w:val="22"/>
              </w:rPr>
              <w:t xml:space="preserve"> la priorité </w:t>
            </w:r>
            <w:r w:rsidR="00A41490" w:rsidRPr="00B3626F">
              <w:rPr>
                <w:rFonts w:asciiTheme="minorBidi" w:hAnsiTheme="minorBidi"/>
                <w:sz w:val="22"/>
              </w:rPr>
              <w:t>pour l</w:t>
            </w:r>
            <w:r w:rsidR="00DE5604" w:rsidRPr="00B3626F">
              <w:rPr>
                <w:rFonts w:asciiTheme="minorBidi" w:hAnsiTheme="minorBidi"/>
                <w:sz w:val="22"/>
              </w:rPr>
              <w:t>’</w:t>
            </w:r>
            <w:r w:rsidRPr="00B3626F">
              <w:rPr>
                <w:rFonts w:asciiTheme="minorBidi" w:hAnsiTheme="minorBidi"/>
                <w:sz w:val="22"/>
              </w:rPr>
              <w:t xml:space="preserve">examen des dossiers de candidature </w:t>
            </w:r>
            <w:r w:rsidR="00A41490" w:rsidRPr="00B3626F">
              <w:rPr>
                <w:rFonts w:asciiTheme="minorBidi" w:hAnsiTheme="minorBidi"/>
                <w:sz w:val="22"/>
              </w:rPr>
              <w:t>des</w:t>
            </w:r>
            <w:r w:rsidRPr="00B3626F">
              <w:rPr>
                <w:rFonts w:asciiTheme="minorBidi" w:hAnsiTheme="minorBidi"/>
                <w:sz w:val="22"/>
              </w:rPr>
              <w:t xml:space="preserve"> États parties qui n</w:t>
            </w:r>
            <w:r w:rsidR="00DE5604" w:rsidRPr="00B3626F">
              <w:rPr>
                <w:rFonts w:asciiTheme="minorBidi" w:hAnsiTheme="minorBidi"/>
                <w:sz w:val="22"/>
              </w:rPr>
              <w:t>’</w:t>
            </w:r>
            <w:r w:rsidRPr="00B3626F">
              <w:rPr>
                <w:rFonts w:asciiTheme="minorBidi" w:hAnsiTheme="minorBidi"/>
                <w:sz w:val="22"/>
              </w:rPr>
              <w:t xml:space="preserve">ont pas rempli leurs obligations </w:t>
            </w:r>
            <w:r w:rsidR="00A41490" w:rsidRPr="00B3626F">
              <w:rPr>
                <w:rFonts w:asciiTheme="minorBidi" w:hAnsiTheme="minorBidi"/>
                <w:sz w:val="22"/>
              </w:rPr>
              <w:t xml:space="preserve">de rapport concernant </w:t>
            </w:r>
            <w:r w:rsidRPr="00B3626F">
              <w:rPr>
                <w:rFonts w:asciiTheme="minorBidi" w:hAnsiTheme="minorBidi"/>
                <w:sz w:val="22"/>
              </w:rPr>
              <w:t>la mise en œuvre de la Convention et le statut des éléments inscrits sur la Liste représentative ou sur la Liste de sauvegarde urgente ».</w:t>
            </w:r>
          </w:p>
          <w:p w14:paraId="659FE0A1" w14:textId="1A55EB6B" w:rsidR="00F75EAC" w:rsidRPr="00B3626F" w:rsidRDefault="00F75EAC" w:rsidP="00F75EAC">
            <w:pPr>
              <w:pStyle w:val="Paragraphedeliste"/>
              <w:numPr>
                <w:ilvl w:val="1"/>
                <w:numId w:val="5"/>
              </w:numPr>
              <w:spacing w:before="120" w:after="120"/>
              <w:ind w:left="454" w:hanging="283"/>
              <w:contextualSpacing w:val="0"/>
              <w:jc w:val="both"/>
              <w:rPr>
                <w:rFonts w:asciiTheme="minorBidi" w:hAnsiTheme="minorBidi" w:cstheme="minorBidi"/>
                <w:sz w:val="22"/>
                <w:szCs w:val="22"/>
              </w:rPr>
            </w:pPr>
            <w:r w:rsidRPr="00B3626F">
              <w:rPr>
                <w:rFonts w:asciiTheme="minorBidi" w:hAnsiTheme="minorBidi"/>
                <w:i/>
                <w:sz w:val="22"/>
              </w:rPr>
              <w:t>(Sujet 7)</w:t>
            </w:r>
            <w:r w:rsidRPr="00B3626F">
              <w:rPr>
                <w:rFonts w:asciiTheme="minorBidi" w:hAnsiTheme="minorBidi"/>
                <w:sz w:val="22"/>
              </w:rPr>
              <w:t xml:space="preserve"> « </w:t>
            </w:r>
            <w:r w:rsidR="00A41490" w:rsidRPr="00B3626F">
              <w:rPr>
                <w:rFonts w:asciiTheme="minorBidi" w:hAnsiTheme="minorBidi"/>
                <w:sz w:val="22"/>
              </w:rPr>
              <w:t>Considérer</w:t>
            </w:r>
            <w:r w:rsidRPr="00B3626F">
              <w:rPr>
                <w:rFonts w:asciiTheme="minorBidi" w:hAnsiTheme="minorBidi"/>
                <w:sz w:val="22"/>
              </w:rPr>
              <w:t xml:space="preserve"> la possibilité d</w:t>
            </w:r>
            <w:r w:rsidR="00DE5604" w:rsidRPr="00B3626F">
              <w:rPr>
                <w:rFonts w:asciiTheme="minorBidi" w:hAnsiTheme="minorBidi"/>
                <w:sz w:val="22"/>
              </w:rPr>
              <w:t>’</w:t>
            </w:r>
            <w:r w:rsidRPr="00B3626F">
              <w:rPr>
                <w:rFonts w:asciiTheme="minorBidi" w:hAnsiTheme="minorBidi"/>
                <w:sz w:val="22"/>
              </w:rPr>
              <w:t xml:space="preserve">obtenir </w:t>
            </w:r>
            <w:r w:rsidR="00A41490" w:rsidRPr="00B3626F">
              <w:rPr>
                <w:rFonts w:asciiTheme="minorBidi" w:hAnsiTheme="minorBidi"/>
                <w:sz w:val="22"/>
              </w:rPr>
              <w:t xml:space="preserve">des informations supplémentaires </w:t>
            </w:r>
            <w:r w:rsidRPr="00B3626F">
              <w:rPr>
                <w:rFonts w:asciiTheme="minorBidi" w:hAnsiTheme="minorBidi"/>
                <w:sz w:val="22"/>
              </w:rPr>
              <w:t xml:space="preserve">concernant les candidatures en utilisant un processus de dialogue avec les ONG </w:t>
            </w:r>
            <w:r w:rsidR="00A41490" w:rsidRPr="00B3626F">
              <w:rPr>
                <w:rFonts w:asciiTheme="minorBidi" w:hAnsiTheme="minorBidi"/>
                <w:sz w:val="22"/>
              </w:rPr>
              <w:t xml:space="preserve">accréditées </w:t>
            </w:r>
            <w:r w:rsidRPr="00B3626F">
              <w:rPr>
                <w:rFonts w:asciiTheme="minorBidi" w:hAnsiTheme="minorBidi"/>
                <w:sz w:val="22"/>
              </w:rPr>
              <w:t xml:space="preserve">et </w:t>
            </w:r>
            <w:r w:rsidR="00A41490" w:rsidRPr="00B3626F">
              <w:rPr>
                <w:rFonts w:asciiTheme="minorBidi" w:hAnsiTheme="minorBidi"/>
                <w:sz w:val="22"/>
              </w:rPr>
              <w:t xml:space="preserve">les </w:t>
            </w:r>
            <w:r w:rsidRPr="00B3626F">
              <w:rPr>
                <w:rFonts w:asciiTheme="minorBidi" w:hAnsiTheme="minorBidi"/>
                <w:sz w:val="22"/>
              </w:rPr>
              <w:t xml:space="preserve">communautés, les groupes et, le cas échéant, les </w:t>
            </w:r>
            <w:r w:rsidR="00A41490" w:rsidRPr="00B3626F">
              <w:rPr>
                <w:rFonts w:asciiTheme="minorBidi" w:hAnsiTheme="minorBidi"/>
                <w:sz w:val="22"/>
              </w:rPr>
              <w:t xml:space="preserve">individus </w:t>
            </w:r>
            <w:r w:rsidRPr="00B3626F">
              <w:rPr>
                <w:rFonts w:asciiTheme="minorBidi" w:hAnsiTheme="minorBidi"/>
                <w:sz w:val="22"/>
              </w:rPr>
              <w:t>concernés ».</w:t>
            </w:r>
          </w:p>
          <w:p w14:paraId="4179668A" w14:textId="6D351D11" w:rsidR="00F75EAC" w:rsidRPr="00B3626F" w:rsidRDefault="00F75EAC" w:rsidP="00F75EAC">
            <w:pPr>
              <w:pStyle w:val="Paragraphedeliste"/>
              <w:numPr>
                <w:ilvl w:val="1"/>
                <w:numId w:val="5"/>
              </w:numPr>
              <w:spacing w:before="120" w:after="120"/>
              <w:ind w:left="454" w:hanging="283"/>
              <w:contextualSpacing w:val="0"/>
              <w:jc w:val="both"/>
              <w:rPr>
                <w:rFonts w:asciiTheme="minorBidi" w:hAnsiTheme="minorBidi" w:cstheme="minorBidi"/>
                <w:sz w:val="22"/>
                <w:szCs w:val="22"/>
              </w:rPr>
            </w:pPr>
            <w:r w:rsidRPr="00B3626F">
              <w:rPr>
                <w:rFonts w:asciiTheme="minorBidi" w:hAnsiTheme="minorBidi"/>
                <w:i/>
                <w:sz w:val="22"/>
              </w:rPr>
              <w:t>(Sujet 8)</w:t>
            </w:r>
            <w:r w:rsidRPr="00B3626F">
              <w:rPr>
                <w:rFonts w:asciiTheme="minorBidi" w:hAnsiTheme="minorBidi"/>
                <w:sz w:val="22"/>
              </w:rPr>
              <w:t xml:space="preserve"> « </w:t>
            </w:r>
            <w:r w:rsidR="00165AFF" w:rsidRPr="00B3626F">
              <w:rPr>
                <w:rFonts w:asciiTheme="minorBidi" w:hAnsiTheme="minorBidi"/>
                <w:sz w:val="22"/>
              </w:rPr>
              <w:t>La p</w:t>
            </w:r>
            <w:r w:rsidRPr="00B3626F">
              <w:rPr>
                <w:rFonts w:asciiTheme="minorBidi" w:hAnsiTheme="minorBidi"/>
                <w:sz w:val="22"/>
              </w:rPr>
              <w:t>rocédure nécessaire pour examiner les cas exceptionnels ».</w:t>
            </w:r>
          </w:p>
          <w:p w14:paraId="1FA38D4F" w14:textId="2B95F587" w:rsidR="00F75EAC" w:rsidRPr="00B3626F" w:rsidRDefault="00F75EAC" w:rsidP="00D508E6">
            <w:pPr>
              <w:pStyle w:val="Paragraphedeliste"/>
              <w:numPr>
                <w:ilvl w:val="1"/>
                <w:numId w:val="5"/>
              </w:numPr>
              <w:spacing w:before="120" w:after="120"/>
              <w:ind w:left="454" w:hanging="283"/>
              <w:contextualSpacing w:val="0"/>
              <w:jc w:val="both"/>
              <w:rPr>
                <w:rFonts w:asciiTheme="minorBidi" w:hAnsiTheme="minorBidi" w:cstheme="minorBidi"/>
              </w:rPr>
            </w:pPr>
            <w:r w:rsidRPr="00B3626F">
              <w:rPr>
                <w:rFonts w:asciiTheme="minorBidi" w:hAnsiTheme="minorBidi"/>
                <w:i/>
                <w:sz w:val="22"/>
              </w:rPr>
              <w:t>(Sujet 9)</w:t>
            </w:r>
            <w:r w:rsidRPr="00B3626F">
              <w:rPr>
                <w:rFonts w:asciiTheme="minorBidi" w:hAnsiTheme="minorBidi"/>
                <w:sz w:val="22"/>
              </w:rPr>
              <w:t xml:space="preserve"> « </w:t>
            </w:r>
            <w:r w:rsidR="00165AFF" w:rsidRPr="00B3626F">
              <w:rPr>
                <w:rFonts w:asciiTheme="minorBidi" w:hAnsiTheme="minorBidi"/>
                <w:sz w:val="22"/>
              </w:rPr>
              <w:t>Les r</w:t>
            </w:r>
            <w:r w:rsidRPr="00B3626F">
              <w:rPr>
                <w:rFonts w:asciiTheme="minorBidi" w:hAnsiTheme="minorBidi"/>
                <w:sz w:val="22"/>
              </w:rPr>
              <w:t>éflexions sur la possibilité d</w:t>
            </w:r>
            <w:r w:rsidR="00DE5604" w:rsidRPr="00B3626F">
              <w:rPr>
                <w:rFonts w:asciiTheme="minorBidi" w:hAnsiTheme="minorBidi"/>
                <w:sz w:val="22"/>
              </w:rPr>
              <w:t>’</w:t>
            </w:r>
            <w:r w:rsidRPr="00B3626F">
              <w:rPr>
                <w:rFonts w:asciiTheme="minorBidi" w:hAnsiTheme="minorBidi"/>
                <w:sz w:val="22"/>
              </w:rPr>
              <w:t>int</w:t>
            </w:r>
            <w:r w:rsidR="00165AFF" w:rsidRPr="00B3626F">
              <w:rPr>
                <w:rFonts w:asciiTheme="minorBidi" w:hAnsiTheme="minorBidi"/>
                <w:sz w:val="22"/>
              </w:rPr>
              <w:t>égrer</w:t>
            </w:r>
            <w:r w:rsidRPr="00B3626F">
              <w:rPr>
                <w:rFonts w:asciiTheme="minorBidi" w:hAnsiTheme="minorBidi"/>
                <w:sz w:val="22"/>
              </w:rPr>
              <w:t xml:space="preserve"> des procédures d</w:t>
            </w:r>
            <w:r w:rsidR="00DE5604" w:rsidRPr="00B3626F">
              <w:rPr>
                <w:rFonts w:asciiTheme="minorBidi" w:hAnsiTheme="minorBidi"/>
                <w:sz w:val="22"/>
              </w:rPr>
              <w:t>’</w:t>
            </w:r>
            <w:r w:rsidR="00165AFF" w:rsidRPr="00B3626F">
              <w:rPr>
                <w:rFonts w:asciiTheme="minorBidi" w:hAnsiTheme="minorBidi"/>
                <w:sz w:val="22"/>
              </w:rPr>
              <w:t>évaluation</w:t>
            </w:r>
            <w:r w:rsidRPr="00B3626F">
              <w:rPr>
                <w:rFonts w:asciiTheme="minorBidi" w:hAnsiTheme="minorBidi"/>
                <w:sz w:val="22"/>
              </w:rPr>
              <w:t xml:space="preserve"> préliminaire</w:t>
            </w:r>
            <w:r w:rsidR="00165AFF" w:rsidRPr="00B3626F">
              <w:rPr>
                <w:rFonts w:asciiTheme="minorBidi" w:hAnsiTheme="minorBidi"/>
                <w:sz w:val="22"/>
              </w:rPr>
              <w:t>s</w:t>
            </w:r>
            <w:r w:rsidRPr="00B3626F">
              <w:rPr>
                <w:rFonts w:asciiTheme="minorBidi" w:hAnsiTheme="minorBidi"/>
                <w:sz w:val="22"/>
              </w:rPr>
              <w:t xml:space="preserve"> au processus </w:t>
            </w:r>
            <w:r w:rsidR="00165AFF" w:rsidRPr="00B3626F">
              <w:rPr>
                <w:rFonts w:asciiTheme="minorBidi" w:hAnsiTheme="minorBidi"/>
                <w:sz w:val="22"/>
              </w:rPr>
              <w:t xml:space="preserve">en amont </w:t>
            </w:r>
            <w:r w:rsidRPr="00B3626F">
              <w:rPr>
                <w:rFonts w:asciiTheme="minorBidi" w:hAnsiTheme="minorBidi"/>
                <w:sz w:val="22"/>
              </w:rPr>
              <w:t>existant ».</w:t>
            </w:r>
          </w:p>
        </w:tc>
      </w:tr>
    </w:tbl>
    <w:p w14:paraId="7D9A18ED" w14:textId="77777777" w:rsidR="00BE1203" w:rsidRPr="00B3626F" w:rsidRDefault="00BE1203" w:rsidP="00BE1203">
      <w:pPr>
        <w:pStyle w:val="COMPara"/>
        <w:numPr>
          <w:ilvl w:val="0"/>
          <w:numId w:val="0"/>
        </w:numPr>
        <w:ind w:left="561"/>
        <w:jc w:val="both"/>
      </w:pPr>
    </w:p>
    <w:p w14:paraId="2F5823D0" w14:textId="632EC51A" w:rsidR="00F0651A" w:rsidRPr="00B3626F" w:rsidRDefault="00A17CF8" w:rsidP="007A11E7">
      <w:pPr>
        <w:pStyle w:val="COMPara"/>
        <w:ind w:left="561" w:hanging="561"/>
        <w:jc w:val="both"/>
      </w:pPr>
      <w:r w:rsidRPr="00B3626F">
        <w:t>Alors que l</w:t>
      </w:r>
      <w:r w:rsidRPr="00B3626F">
        <w:rPr>
          <w:rFonts w:asciiTheme="minorBidi" w:hAnsiTheme="minorBidi"/>
        </w:rPr>
        <w:t xml:space="preserve">e groupe de travail a abordé tous les sujets énumérés ci-dessus, il </w:t>
      </w:r>
      <w:r w:rsidRPr="00B3626F">
        <w:t>s</w:t>
      </w:r>
      <w:r w:rsidR="00DE5604" w:rsidRPr="00B3626F">
        <w:t>’</w:t>
      </w:r>
      <w:r w:rsidRPr="00B3626F">
        <w:t>est concentré</w:t>
      </w:r>
      <w:r w:rsidRPr="00B3626F">
        <w:rPr>
          <w:rFonts w:asciiTheme="minorBidi" w:hAnsiTheme="minorBidi"/>
        </w:rPr>
        <w:t xml:space="preserve"> sur le </w:t>
      </w:r>
      <w:r w:rsidR="00BE1203" w:rsidRPr="00B3626F">
        <w:rPr>
          <w:rFonts w:asciiTheme="minorBidi" w:hAnsiTheme="minorBidi"/>
        </w:rPr>
        <w:t>s</w:t>
      </w:r>
      <w:r w:rsidRPr="00B3626F">
        <w:rPr>
          <w:rFonts w:asciiTheme="minorBidi" w:hAnsiTheme="minorBidi"/>
        </w:rPr>
        <w:t>ujet 1</w:t>
      </w:r>
      <w:r w:rsidRPr="00B3626F">
        <w:t xml:space="preserve"> comme principal </w:t>
      </w:r>
      <w:r w:rsidR="00CF6DE9" w:rsidRPr="00B3626F">
        <w:t xml:space="preserve">objet </w:t>
      </w:r>
      <w:r w:rsidRPr="00B3626F">
        <w:t xml:space="preserve">de discussion, étant donné que </w:t>
      </w:r>
      <w:r w:rsidR="00CF6DE9" w:rsidRPr="00B3626F">
        <w:t xml:space="preserve">les </w:t>
      </w:r>
      <w:r w:rsidRPr="00B3626F">
        <w:t xml:space="preserve">autres sujets ont été considérés comme dépendants du résultat des discussions sur le </w:t>
      </w:r>
      <w:r w:rsidR="00BE1203" w:rsidRPr="00B3626F">
        <w:t>s</w:t>
      </w:r>
      <w:r w:rsidRPr="00B3626F">
        <w:t>ujet 1. Les recommandations d</w:t>
      </w:r>
      <w:r w:rsidR="00BE1203" w:rsidRPr="00B3626F">
        <w:t>e la partie III d</w:t>
      </w:r>
      <w:r w:rsidRPr="00B3626F">
        <w:t xml:space="preserve">u groupe de travail (document </w:t>
      </w:r>
      <w:hyperlink r:id="rId24" w:history="1">
        <w:r w:rsidRPr="00B3626F">
          <w:rPr>
            <w:rStyle w:val="Lienhypertexte"/>
          </w:rPr>
          <w:t>LHE/22/17.COM</w:t>
        </w:r>
        <w:r w:rsidR="00BE1203" w:rsidRPr="00B3626F">
          <w:rPr>
            <w:rStyle w:val="Lienhypertexte"/>
          </w:rPr>
          <w:t> </w:t>
        </w:r>
        <w:r w:rsidRPr="00B3626F">
          <w:rPr>
            <w:rStyle w:val="Lienhypertexte"/>
          </w:rPr>
          <w:t>WG/Recommandations</w:t>
        </w:r>
      </w:hyperlink>
      <w:r w:rsidRPr="00B3626F">
        <w:t xml:space="preserve">) sont fournies en </w:t>
      </w:r>
      <w:hyperlink w:anchor="Annex_1" w:history="1">
        <w:r w:rsidR="00BE1203" w:rsidRPr="00B3626F">
          <w:rPr>
            <w:rStyle w:val="Lienhypertexte"/>
          </w:rPr>
          <w:t>a</w:t>
        </w:r>
        <w:r w:rsidRPr="00B3626F">
          <w:rPr>
            <w:rStyle w:val="Lienhypertexte"/>
          </w:rPr>
          <w:t>nnexe I</w:t>
        </w:r>
      </w:hyperlink>
      <w:r w:rsidRPr="00B3626F">
        <w:rPr>
          <w:rStyle w:val="Lienhypertexte"/>
          <w:u w:val="none"/>
        </w:rPr>
        <w:t xml:space="preserve"> </w:t>
      </w:r>
      <w:r w:rsidRPr="00B3626F">
        <w:t>du présent document.</w:t>
      </w:r>
    </w:p>
    <w:p w14:paraId="5662F965" w14:textId="6F33FDB4" w:rsidR="003D3C3C" w:rsidRPr="00B3626F" w:rsidRDefault="00CF6DE9">
      <w:pPr>
        <w:pStyle w:val="COMPara"/>
        <w:ind w:left="561" w:hanging="561"/>
        <w:jc w:val="both"/>
      </w:pPr>
      <w:r w:rsidRPr="00B3626F">
        <w:t xml:space="preserve">Le Secrétariat </w:t>
      </w:r>
      <w:r w:rsidR="00855F2D" w:rsidRPr="00B3626F">
        <w:t>consid</w:t>
      </w:r>
      <w:r w:rsidRPr="00B3626F">
        <w:t>ère</w:t>
      </w:r>
      <w:r w:rsidR="00855F2D" w:rsidRPr="00B3626F">
        <w:t xml:space="preserve"> que </w:t>
      </w:r>
      <w:r w:rsidR="008F21C5" w:rsidRPr="00B3626F">
        <w:t>seule</w:t>
      </w:r>
      <w:r w:rsidR="00BE1203" w:rsidRPr="00B3626F">
        <w:t>s</w:t>
      </w:r>
      <w:r w:rsidR="008F21C5" w:rsidRPr="00B3626F">
        <w:t xml:space="preserve"> </w:t>
      </w:r>
      <w:r w:rsidR="00855F2D" w:rsidRPr="00B3626F">
        <w:t xml:space="preserve">les </w:t>
      </w:r>
      <w:r w:rsidR="00BE1203" w:rsidRPr="00B3626F">
        <w:t>r</w:t>
      </w:r>
      <w:r w:rsidR="00855F2D" w:rsidRPr="00B3626F">
        <w:t>ecommandations 1, 2, 4 et 7 (sur les douze recommandations formulées par le groupe de travail) nécessiteraient d</w:t>
      </w:r>
      <w:r w:rsidR="00DE5604" w:rsidRPr="00B3626F">
        <w:t>’</w:t>
      </w:r>
      <w:r w:rsidR="00855F2D" w:rsidRPr="00B3626F">
        <w:t xml:space="preserve">amender les </w:t>
      </w:r>
      <w:r w:rsidR="00BE1203" w:rsidRPr="00B3626F">
        <w:t>d</w:t>
      </w:r>
      <w:r w:rsidR="00855F2D" w:rsidRPr="00B3626F">
        <w:t xml:space="preserve">irectives opérationnelles. Comme pour les </w:t>
      </w:r>
      <w:r w:rsidR="00BE1203" w:rsidRPr="00B3626F">
        <w:t>p</w:t>
      </w:r>
      <w:r w:rsidR="00855F2D" w:rsidRPr="00B3626F">
        <w:t>arties I et II</w:t>
      </w:r>
      <w:r w:rsidR="00BE1203" w:rsidRPr="00B3626F">
        <w:t xml:space="preserve"> de la réunion</w:t>
      </w:r>
      <w:r w:rsidR="00855F2D" w:rsidRPr="00B3626F">
        <w:t>, le Secrétariat a préparé un ensemble de propositions correspondantes, figurant à l</w:t>
      </w:r>
      <w:r w:rsidR="00DE5604" w:rsidRPr="00B3626F">
        <w:t>’</w:t>
      </w:r>
      <w:hyperlink w:anchor="Annex_2" w:history="1">
        <w:r w:rsidR="00BE1203" w:rsidRPr="00B3626F">
          <w:rPr>
            <w:rStyle w:val="Lienhypertexte"/>
          </w:rPr>
          <w:t>a</w:t>
        </w:r>
        <w:r w:rsidR="00855F2D" w:rsidRPr="00B3626F">
          <w:rPr>
            <w:rStyle w:val="Lienhypertexte"/>
          </w:rPr>
          <w:t>nnexe II</w:t>
        </w:r>
      </w:hyperlink>
      <w:r w:rsidR="00855F2D" w:rsidRPr="00B3626F">
        <w:t xml:space="preserve">, pour </w:t>
      </w:r>
      <w:r w:rsidR="00E51AFF" w:rsidRPr="00B3626F">
        <w:t>l</w:t>
      </w:r>
      <w:r w:rsidR="00DE5604" w:rsidRPr="00B3626F">
        <w:t>’</w:t>
      </w:r>
      <w:r w:rsidR="00855F2D" w:rsidRPr="00B3626F">
        <w:t>exam</w:t>
      </w:r>
      <w:r w:rsidR="00E51AFF" w:rsidRPr="00B3626F">
        <w:t>en</w:t>
      </w:r>
      <w:r w:rsidR="00855F2D" w:rsidRPr="00B3626F">
        <w:t xml:space="preserve"> de la présente session extraordinaire du Comité, avec les notes suivantes :</w:t>
      </w:r>
    </w:p>
    <w:p w14:paraId="2C048E5A" w14:textId="1AA6FD56" w:rsidR="00DC5C2F" w:rsidRPr="00B3626F" w:rsidRDefault="00BE1203" w:rsidP="00DC5C2F">
      <w:pPr>
        <w:pStyle w:val="COMPara"/>
        <w:numPr>
          <w:ilvl w:val="0"/>
          <w:numId w:val="31"/>
        </w:numPr>
        <w:jc w:val="both"/>
      </w:pPr>
      <w:r w:rsidRPr="00B3626F">
        <w:t>Les implications</w:t>
      </w:r>
      <w:r w:rsidR="00DC5C2F" w:rsidRPr="00B3626F">
        <w:t xml:space="preserve"> de la </w:t>
      </w:r>
      <w:r w:rsidRPr="00B3626F">
        <w:t>r</w:t>
      </w:r>
      <w:r w:rsidR="00DC5C2F" w:rsidRPr="00B3626F">
        <w:t xml:space="preserve">ecommandation 1 </w:t>
      </w:r>
      <w:r w:rsidRPr="00B3626F">
        <w:t>sont reflétées</w:t>
      </w:r>
      <w:r w:rsidR="00DC5C2F" w:rsidRPr="00B3626F">
        <w:t xml:space="preserve"> dans les révisions</w:t>
      </w:r>
      <w:r w:rsidR="008944A4" w:rsidRPr="00B3626F">
        <w:t xml:space="preserve"> proposées au</w:t>
      </w:r>
      <w:r w:rsidR="00DC5C2F" w:rsidRPr="00B3626F">
        <w:t xml:space="preserve"> paragraphe 33 des </w:t>
      </w:r>
      <w:r w:rsidRPr="00B3626F">
        <w:t>d</w:t>
      </w:r>
      <w:r w:rsidR="00DC5C2F" w:rsidRPr="00B3626F">
        <w:t>irectives opérationnelles, visant à fixer à soixante le nombre annuel de candidatures qui peuvent être traitées. Parallèlement, le plafond annuel des dossiers doit être pris en considération à la lumière du système de priorisation établi au paragraphe 34</w:t>
      </w:r>
      <w:r w:rsidR="000E0F9B" w:rsidRPr="00B3626F">
        <w:t xml:space="preserve"> des </w:t>
      </w:r>
      <w:r w:rsidRPr="00B3626F">
        <w:t>d</w:t>
      </w:r>
      <w:r w:rsidR="000E0F9B" w:rsidRPr="00B3626F">
        <w:t>irectives opérationnelles</w:t>
      </w:r>
      <w:r w:rsidR="00DC5C2F" w:rsidRPr="00B3626F">
        <w:t xml:space="preserve">. En référence à la </w:t>
      </w:r>
      <w:r w:rsidRPr="00B3626F">
        <w:t>r</w:t>
      </w:r>
      <w:r w:rsidR="00DC5C2F" w:rsidRPr="00B3626F">
        <w:t xml:space="preserve">ecommandation 4, </w:t>
      </w:r>
      <w:r w:rsidR="000E0F9B" w:rsidRPr="00B3626F">
        <w:lastRenderedPageBreak/>
        <w:t xml:space="preserve">il est proposé de formaliser </w:t>
      </w:r>
      <w:r w:rsidR="00DC5C2F" w:rsidRPr="00B3626F">
        <w:t>ce que l</w:t>
      </w:r>
      <w:r w:rsidR="00DE5604" w:rsidRPr="00B3626F">
        <w:t>’</w:t>
      </w:r>
      <w:r w:rsidR="00DC5C2F" w:rsidRPr="00B3626F">
        <w:t xml:space="preserve">on appelle communément la catégorie </w:t>
      </w:r>
      <w:r w:rsidR="000E0F9B" w:rsidRPr="00B3626F">
        <w:t xml:space="preserve">de </w:t>
      </w:r>
      <w:r w:rsidR="00DE5604" w:rsidRPr="00B3626F">
        <w:t>‘</w:t>
      </w:r>
      <w:r w:rsidR="00DC5C2F" w:rsidRPr="00B3626F">
        <w:t>priorité</w:t>
      </w:r>
      <w:r w:rsidRPr="00B3626F">
        <w:t> </w:t>
      </w:r>
      <w:r w:rsidR="00DC5C2F" w:rsidRPr="00B3626F">
        <w:t>(0)</w:t>
      </w:r>
      <w:r w:rsidR="00DE5604" w:rsidRPr="00B3626F">
        <w:t>’</w:t>
      </w:r>
      <w:r w:rsidR="00DC5C2F" w:rsidRPr="00B3626F">
        <w:t xml:space="preserve">, selon laquelle au moins un dossier par État soumissionnaire doit être traité sur une période de deux ans. </w:t>
      </w:r>
      <w:r w:rsidR="000E0F9B" w:rsidRPr="00B3626F">
        <w:t>Le groupe de travail a mis l</w:t>
      </w:r>
      <w:r w:rsidR="00DE5604" w:rsidRPr="00B3626F">
        <w:t>’</w:t>
      </w:r>
      <w:r w:rsidR="000E0F9B" w:rsidRPr="00B3626F">
        <w:t xml:space="preserve">accent sur le maintien de </w:t>
      </w:r>
      <w:r w:rsidR="00DC5C2F" w:rsidRPr="00B3626F">
        <w:t xml:space="preserve">cette catégorie </w:t>
      </w:r>
      <w:r w:rsidR="000E0F9B" w:rsidRPr="00B3626F">
        <w:t xml:space="preserve">qui </w:t>
      </w:r>
      <w:r w:rsidR="00DC5C2F" w:rsidRPr="00B3626F">
        <w:t>a été appliquée par des décisions successives du Comité sans interruption depuis 2012.</w:t>
      </w:r>
    </w:p>
    <w:p w14:paraId="4D5BA47E" w14:textId="2C7B873F" w:rsidR="002D2DA3" w:rsidRPr="00B3626F" w:rsidRDefault="002D2DA3" w:rsidP="001E070C">
      <w:pPr>
        <w:pStyle w:val="COMPara"/>
        <w:numPr>
          <w:ilvl w:val="0"/>
          <w:numId w:val="31"/>
        </w:numPr>
        <w:jc w:val="both"/>
      </w:pPr>
      <w:r w:rsidRPr="00B3626F">
        <w:t xml:space="preserve">En ce qui concerne la </w:t>
      </w:r>
      <w:r w:rsidR="00BE1203" w:rsidRPr="00B3626F">
        <w:t>r</w:t>
      </w:r>
      <w:r w:rsidRPr="00B3626F">
        <w:t>ecommandation 2, les demandes</w:t>
      </w:r>
      <w:r w:rsidR="006D6CB9" w:rsidRPr="00B3626F">
        <w:t xml:space="preserve"> d</w:t>
      </w:r>
      <w:r w:rsidR="00DE5604" w:rsidRPr="00B3626F">
        <w:t>’</w:t>
      </w:r>
      <w:r w:rsidR="006D6CB9" w:rsidRPr="00B3626F">
        <w:t>assistance internationale</w:t>
      </w:r>
      <w:r w:rsidRPr="00B3626F">
        <w:t xml:space="preserve"> mentionnées dans la </w:t>
      </w:r>
      <w:r w:rsidR="00BE1203" w:rsidRPr="00B3626F">
        <w:t>r</w:t>
      </w:r>
      <w:r w:rsidRPr="00B3626F">
        <w:t xml:space="preserve">ecommandation 2 doivent être entendues comme </w:t>
      </w:r>
      <w:r w:rsidR="007016C0" w:rsidRPr="00B3626F">
        <w:t>l</w:t>
      </w:r>
      <w:r w:rsidRPr="00B3626F">
        <w:t xml:space="preserve">es demandes </w:t>
      </w:r>
      <w:r w:rsidR="00732E12" w:rsidRPr="00B3626F">
        <w:t>soumises</w:t>
      </w:r>
      <w:r w:rsidR="007016C0" w:rsidRPr="00B3626F">
        <w:t xml:space="preserve"> en </w:t>
      </w:r>
      <w:r w:rsidRPr="00B3626F">
        <w:t>utilisant le formulaire ICH-04 ; les différences avec d</w:t>
      </w:r>
      <w:r w:rsidR="00DE5604" w:rsidRPr="00B3626F">
        <w:t>’</w:t>
      </w:r>
      <w:r w:rsidRPr="00B3626F">
        <w:t>autres types de demandes d</w:t>
      </w:r>
      <w:r w:rsidR="00DE5604" w:rsidRPr="00B3626F">
        <w:t>’</w:t>
      </w:r>
      <w:r w:rsidRPr="00B3626F">
        <w:t xml:space="preserve">assistance internationale sont clarifiées par les révisions proposées </w:t>
      </w:r>
      <w:r w:rsidR="007016C0" w:rsidRPr="00B3626F">
        <w:t>aux</w:t>
      </w:r>
      <w:r w:rsidRPr="00B3626F">
        <w:t xml:space="preserve"> paragraphes 47, 49 et 51 des </w:t>
      </w:r>
      <w:r w:rsidR="00BE1203" w:rsidRPr="00B3626F">
        <w:t>d</w:t>
      </w:r>
      <w:r w:rsidRPr="00B3626F">
        <w:t>irectives opérationnelles. Cela concerne les demandes d</w:t>
      </w:r>
      <w:r w:rsidR="00DE5604" w:rsidRPr="00B3626F">
        <w:t>’</w:t>
      </w:r>
      <w:r w:rsidRPr="00B3626F">
        <w:t>assistance internationale soumises en même temps qu</w:t>
      </w:r>
      <w:r w:rsidR="00DE5604" w:rsidRPr="00B3626F">
        <w:t>’</w:t>
      </w:r>
      <w:r w:rsidRPr="00B3626F">
        <w:t>une candidature à la Liste de sauvegarde urgente, ou soumises dans le cadre d</w:t>
      </w:r>
      <w:r w:rsidR="00DE5604" w:rsidRPr="00B3626F">
        <w:t>’</w:t>
      </w:r>
      <w:r w:rsidRPr="00B3626F">
        <w:t>un transfert de la Liste représentative à la Liste de sauvegarde urgente. Ces demandes étant considérées comme faisant partie de l</w:t>
      </w:r>
      <w:r w:rsidR="00DE5604" w:rsidRPr="00B3626F">
        <w:t>’</w:t>
      </w:r>
      <w:r w:rsidRPr="00B3626F">
        <w:t>évaluation d</w:t>
      </w:r>
      <w:r w:rsidR="00DE5604" w:rsidRPr="00B3626F">
        <w:t>’</w:t>
      </w:r>
      <w:r w:rsidRPr="00B3626F">
        <w:t>un dossier unique, il est proposé de les laisser à l</w:t>
      </w:r>
      <w:r w:rsidR="00DE5604" w:rsidRPr="00B3626F">
        <w:t>’</w:t>
      </w:r>
      <w:r w:rsidRPr="00B3626F">
        <w:t>appréciation de l</w:t>
      </w:r>
      <w:r w:rsidR="00DE5604" w:rsidRPr="00B3626F">
        <w:t>’</w:t>
      </w:r>
      <w:r w:rsidRPr="00B3626F">
        <w:t>Organe d</w:t>
      </w:r>
      <w:r w:rsidR="00DE5604" w:rsidRPr="00B3626F">
        <w:t>’</w:t>
      </w:r>
      <w:r w:rsidRPr="00B3626F">
        <w:t>évaluation et à l</w:t>
      </w:r>
      <w:r w:rsidR="00DE5604" w:rsidRPr="00B3626F">
        <w:t>’</w:t>
      </w:r>
      <w:r w:rsidRPr="00B3626F">
        <w:t>examen et à l</w:t>
      </w:r>
      <w:r w:rsidR="00DE5604" w:rsidRPr="00B3626F">
        <w:t>’</w:t>
      </w:r>
      <w:r w:rsidRPr="00B3626F">
        <w:t xml:space="preserve">approbation du Comité. </w:t>
      </w:r>
    </w:p>
    <w:p w14:paraId="54633B14" w14:textId="1E35D18B" w:rsidR="00D179F7" w:rsidRPr="00B3626F" w:rsidRDefault="00EF7304" w:rsidP="00D179F7">
      <w:pPr>
        <w:pStyle w:val="COMPara"/>
        <w:numPr>
          <w:ilvl w:val="0"/>
          <w:numId w:val="31"/>
        </w:numPr>
        <w:jc w:val="both"/>
      </w:pPr>
      <w:r w:rsidRPr="00B3626F">
        <w:t>Les textes surlignés en gris dans la colonne de droite du tableau figurant à l</w:t>
      </w:r>
      <w:r w:rsidR="00DE5604" w:rsidRPr="00B3626F">
        <w:t>’</w:t>
      </w:r>
      <w:r w:rsidR="00BE1203" w:rsidRPr="00B3626F">
        <w:t>a</w:t>
      </w:r>
      <w:r w:rsidRPr="00B3626F">
        <w:t>nnexe II indique</w:t>
      </w:r>
      <w:r w:rsidR="00246BD1" w:rsidRPr="00B3626F">
        <w:t>nt</w:t>
      </w:r>
      <w:r w:rsidRPr="00B3626F">
        <w:t xml:space="preserve"> </w:t>
      </w:r>
      <w:r w:rsidR="00CD44E5" w:rsidRPr="00B3626F">
        <w:t>l</w:t>
      </w:r>
      <w:r w:rsidRPr="00B3626F">
        <w:t>es révisions</w:t>
      </w:r>
      <w:r w:rsidR="00246BD1" w:rsidRPr="00B3626F">
        <w:t xml:space="preserve"> proposées</w:t>
      </w:r>
      <w:r w:rsidRPr="00B3626F">
        <w:t xml:space="preserve"> dont la seizième session du Comité </w:t>
      </w:r>
      <w:r w:rsidR="00CD44E5" w:rsidRPr="00B3626F">
        <w:t xml:space="preserve">a </w:t>
      </w:r>
      <w:r w:rsidRPr="00B3626F">
        <w:t>recommand</w:t>
      </w:r>
      <w:r w:rsidR="00CD44E5" w:rsidRPr="00B3626F">
        <w:t>é</w:t>
      </w:r>
      <w:r w:rsidRPr="00B3626F">
        <w:t xml:space="preserve"> l</w:t>
      </w:r>
      <w:r w:rsidR="00DE5604" w:rsidRPr="00B3626F">
        <w:t>’</w:t>
      </w:r>
      <w:r w:rsidRPr="00B3626F">
        <w:t xml:space="preserve">examen </w:t>
      </w:r>
      <w:r w:rsidR="006449E9" w:rsidRPr="00B3626F">
        <w:t>par</w:t>
      </w:r>
      <w:r w:rsidRPr="00B3626F">
        <w:t xml:space="preserve"> la neuvième session de l</w:t>
      </w:r>
      <w:r w:rsidR="00DE5604" w:rsidRPr="00B3626F">
        <w:t>’</w:t>
      </w:r>
      <w:r w:rsidRPr="00B3626F">
        <w:t>Assemblée générale (</w:t>
      </w:r>
      <w:r w:rsidR="006449E9" w:rsidRPr="00B3626F">
        <w:t>conformément aux</w:t>
      </w:r>
      <w:r w:rsidRPr="00B3626F">
        <w:t xml:space="preserve"> recommandations des </w:t>
      </w:r>
      <w:r w:rsidR="00BE1203" w:rsidRPr="00B3626F">
        <w:t>p</w:t>
      </w:r>
      <w:r w:rsidRPr="00B3626F">
        <w:t xml:space="preserve">arties I et II </w:t>
      </w:r>
      <w:r w:rsidR="00BE1203" w:rsidRPr="00B3626F">
        <w:t xml:space="preserve">de la réunion </w:t>
      </w:r>
      <w:r w:rsidRPr="00B3626F">
        <w:t xml:space="preserve">du groupe de travail) ; à ce titre, </w:t>
      </w:r>
      <w:r w:rsidR="00C0134E" w:rsidRPr="00B3626F">
        <w:t xml:space="preserve">ces </w:t>
      </w:r>
      <w:r w:rsidR="00AF3E1B" w:rsidRPr="00B3626F">
        <w:t>révisions</w:t>
      </w:r>
      <w:r w:rsidR="00C0134E" w:rsidRPr="00B3626F">
        <w:t xml:space="preserve"> </w:t>
      </w:r>
      <w:r w:rsidRPr="00B3626F">
        <w:t xml:space="preserve">ne sont pas à discuter par la présente session extraordinaire du Comité. Toutefois, le paragraphe 22 nécessiterait </w:t>
      </w:r>
      <w:r w:rsidR="00C052A0" w:rsidRPr="00B3626F">
        <w:t xml:space="preserve">des </w:t>
      </w:r>
      <w:r w:rsidRPr="00B3626F">
        <w:t xml:space="preserve">ajustements techniques à la lumière de la </w:t>
      </w:r>
      <w:r w:rsidR="00BE1203" w:rsidRPr="00B3626F">
        <w:t>r</w:t>
      </w:r>
      <w:r w:rsidRPr="00B3626F">
        <w:t>ecommandation 2.</w:t>
      </w:r>
    </w:p>
    <w:p w14:paraId="06EEEC4F" w14:textId="4B7AF0EE" w:rsidR="00D179F7" w:rsidRPr="00B3626F" w:rsidRDefault="00D179F7" w:rsidP="001E070C">
      <w:pPr>
        <w:pStyle w:val="COMPara"/>
        <w:numPr>
          <w:ilvl w:val="0"/>
          <w:numId w:val="31"/>
        </w:numPr>
        <w:jc w:val="both"/>
      </w:pPr>
      <w:r w:rsidRPr="00B3626F">
        <w:t xml:space="preserve">La portée de la </w:t>
      </w:r>
      <w:r w:rsidR="00BE1203" w:rsidRPr="00B3626F">
        <w:t>r</w:t>
      </w:r>
      <w:r w:rsidRPr="00B3626F">
        <w:t xml:space="preserve">ecommandation 7 se traduit dans le paragraphe 27 des </w:t>
      </w:r>
      <w:r w:rsidR="00BE1203" w:rsidRPr="00B3626F">
        <w:t>d</w:t>
      </w:r>
      <w:r w:rsidRPr="00B3626F">
        <w:t>irectives opérationnelles, selon lequel l</w:t>
      </w:r>
      <w:r w:rsidR="00DE5604" w:rsidRPr="00B3626F">
        <w:t>’</w:t>
      </w:r>
      <w:r w:rsidRPr="00B3626F">
        <w:t>Organe d</w:t>
      </w:r>
      <w:r w:rsidR="00DE5604" w:rsidRPr="00B3626F">
        <w:t>’</w:t>
      </w:r>
      <w:r w:rsidRPr="00B3626F">
        <w:t xml:space="preserve">évaluation ne sera plus de nature expérimentale, puisque la recommandation </w:t>
      </w:r>
      <w:r w:rsidR="00BE1203" w:rsidRPr="00B3626F">
        <w:t xml:space="preserve">de la partie III </w:t>
      </w:r>
      <w:r w:rsidRPr="00B3626F">
        <w:t>du groupe de travail a confirmé la composition et les méthodes de travail de l</w:t>
      </w:r>
      <w:r w:rsidR="00DE5604" w:rsidRPr="00B3626F">
        <w:t>’</w:t>
      </w:r>
      <w:r w:rsidRPr="00B3626F">
        <w:t>Organe.</w:t>
      </w:r>
    </w:p>
    <w:p w14:paraId="3E960E81" w14:textId="54CF9CD7" w:rsidR="00BB2B89" w:rsidRPr="00B3626F" w:rsidRDefault="008B2F03" w:rsidP="00B20CEC">
      <w:pPr>
        <w:pStyle w:val="COMPara"/>
        <w:ind w:left="561" w:hanging="561"/>
        <w:jc w:val="both"/>
      </w:pPr>
      <w:r w:rsidRPr="00B3626F">
        <w:t xml:space="preserve">Toutes les autres recommandations peuvent être </w:t>
      </w:r>
      <w:r w:rsidR="003A1384" w:rsidRPr="00B3626F">
        <w:t xml:space="preserve">mises en œuvre </w:t>
      </w:r>
      <w:r w:rsidRPr="00B3626F">
        <w:t>de diverses manières, par exemple par une décision du Comité ou de l</w:t>
      </w:r>
      <w:r w:rsidR="00DE5604" w:rsidRPr="00B3626F">
        <w:t>’</w:t>
      </w:r>
      <w:r w:rsidRPr="00B3626F">
        <w:t>Assemblée générale (Recommandations 5, 6, 8 et 11), en présentant une proposition aux organes directeurs de la Convention (Recommandation 3), ou en incluant un sujet à l</w:t>
      </w:r>
      <w:r w:rsidR="00DE5604" w:rsidRPr="00B3626F">
        <w:t>’</w:t>
      </w:r>
      <w:r w:rsidRPr="00B3626F">
        <w:t xml:space="preserve">ordre du jour </w:t>
      </w:r>
      <w:r w:rsidR="00280AE3" w:rsidRPr="00B3626F">
        <w:t>de l</w:t>
      </w:r>
      <w:r w:rsidR="00DE5604" w:rsidRPr="00B3626F">
        <w:t>’</w:t>
      </w:r>
      <w:r w:rsidRPr="00B3626F">
        <w:t>autre réunion d</w:t>
      </w:r>
      <w:r w:rsidR="00DE5604" w:rsidRPr="00B3626F">
        <w:t>’</w:t>
      </w:r>
      <w:r w:rsidRPr="00B3626F">
        <w:t>experts de catégorie VI et/ou</w:t>
      </w:r>
      <w:r w:rsidR="009E34B0" w:rsidRPr="00B3626F">
        <w:t xml:space="preserve"> de la réunion</w:t>
      </w:r>
      <w:r w:rsidRPr="00B3626F">
        <w:t xml:space="preserve"> d</w:t>
      </w:r>
      <w:r w:rsidR="00280AE3" w:rsidRPr="00B3626F">
        <w:t>u</w:t>
      </w:r>
      <w:r w:rsidRPr="00B3626F">
        <w:t xml:space="preserve"> groupe de travail intergouvernemental à composition non limitée</w:t>
      </w:r>
      <w:r w:rsidR="00280AE3" w:rsidRPr="00B3626F">
        <w:t xml:space="preserve"> prévu</w:t>
      </w:r>
      <w:r w:rsidR="009E34B0" w:rsidRPr="00B3626F">
        <w:t>e</w:t>
      </w:r>
      <w:r w:rsidR="00BE1203" w:rsidRPr="00B3626F">
        <w:t>(</w:t>
      </w:r>
      <w:r w:rsidR="00280AE3" w:rsidRPr="00B3626F">
        <w:t>s</w:t>
      </w:r>
      <w:r w:rsidR="00BE1203" w:rsidRPr="00B3626F">
        <w:t>)</w:t>
      </w:r>
      <w:r w:rsidRPr="00B3626F">
        <w:t xml:space="preserve"> dans le cadre de la réflexion sur la mise en œuvre plus </w:t>
      </w:r>
      <w:r w:rsidR="0099709D" w:rsidRPr="00B3626F">
        <w:t xml:space="preserve">vaste </w:t>
      </w:r>
      <w:r w:rsidRPr="00B3626F">
        <w:t>de l</w:t>
      </w:r>
      <w:r w:rsidR="00DE5604" w:rsidRPr="00B3626F">
        <w:t>’</w:t>
      </w:r>
      <w:r w:rsidRPr="00B3626F">
        <w:t>article 18 de la Convention</w:t>
      </w:r>
      <w:r w:rsidR="009E34B0" w:rsidRPr="00B3626F">
        <w:t>, soutenue par la Suède</w:t>
      </w:r>
      <w:r w:rsidRPr="00B3626F">
        <w:t xml:space="preserve"> (Recommandation 10) ; en outre, plusieurs recommandations ne semblent pas avoir besoin de mesures spécifiques pour le moment (Recommandations 9 et 12).</w:t>
      </w:r>
    </w:p>
    <w:p w14:paraId="6FE79D74" w14:textId="3566AE69" w:rsidR="00C811C8" w:rsidRPr="00B3626F" w:rsidRDefault="00144BE5" w:rsidP="00F11092">
      <w:pPr>
        <w:pStyle w:val="COMPara"/>
        <w:keepNext/>
        <w:numPr>
          <w:ilvl w:val="0"/>
          <w:numId w:val="0"/>
        </w:numPr>
        <w:spacing w:before="240"/>
        <w:ind w:left="567"/>
        <w:jc w:val="both"/>
        <w:rPr>
          <w:b/>
          <w:bCs/>
        </w:rPr>
      </w:pPr>
      <w:r w:rsidRPr="00B3626F">
        <w:rPr>
          <w:b/>
        </w:rPr>
        <w:t>Étapes suivantes</w:t>
      </w:r>
    </w:p>
    <w:p w14:paraId="1716E0B3" w14:textId="704E9007" w:rsidR="005A149A" w:rsidRPr="00B3626F" w:rsidRDefault="006D19E6" w:rsidP="00AD0674">
      <w:pPr>
        <w:pStyle w:val="COMPara"/>
        <w:ind w:left="567" w:hanging="567"/>
        <w:jc w:val="both"/>
        <w:rPr>
          <w:rFonts w:eastAsiaTheme="minorEastAsia"/>
        </w:rPr>
      </w:pPr>
      <w:r w:rsidRPr="00B3626F">
        <w:t xml:space="preserve">Si la cinquième session extraordinaire du Comité le décide, les amendements </w:t>
      </w:r>
      <w:r w:rsidR="007C5A69" w:rsidRPr="00B3626F">
        <w:t xml:space="preserve">aux </w:t>
      </w:r>
      <w:r w:rsidR="00BE1203" w:rsidRPr="00B3626F">
        <w:t>d</w:t>
      </w:r>
      <w:r w:rsidRPr="00B3626F">
        <w:t>irectives opérationnelles qui correspondent aux recommandations formulées lors de la réunion du groupe de travail (</w:t>
      </w:r>
      <w:r w:rsidR="00BE1203" w:rsidRPr="00B3626F">
        <w:t>p</w:t>
      </w:r>
      <w:r w:rsidRPr="00B3626F">
        <w:t xml:space="preserve">artie III) peuvent être présentés (avec ceux recommandés par </w:t>
      </w:r>
      <w:r w:rsidR="00BE1203" w:rsidRPr="00B3626F">
        <w:t>l</w:t>
      </w:r>
      <w:r w:rsidR="007C5A69" w:rsidRPr="00B3626F">
        <w:t xml:space="preserve">es </w:t>
      </w:r>
      <w:r w:rsidR="00BE1203" w:rsidRPr="00B3626F">
        <w:t>p</w:t>
      </w:r>
      <w:r w:rsidR="007C5A69" w:rsidRPr="00B3626F">
        <w:t>arties I et II</w:t>
      </w:r>
      <w:r w:rsidRPr="00B3626F">
        <w:t xml:space="preserve"> </w:t>
      </w:r>
      <w:r w:rsidR="00BE1203" w:rsidRPr="00B3626F">
        <w:t xml:space="preserve">de la réunion </w:t>
      </w:r>
      <w:r w:rsidRPr="00B3626F">
        <w:t>du groupe de travail) à l</w:t>
      </w:r>
      <w:r w:rsidR="00DE5604" w:rsidRPr="00B3626F">
        <w:t>’</w:t>
      </w:r>
      <w:r w:rsidRPr="00B3626F">
        <w:t>Assemblée générale pour examen et adoption lors de sa neuvième session (siège de l</w:t>
      </w:r>
      <w:r w:rsidR="00DE5604" w:rsidRPr="00B3626F">
        <w:t>’</w:t>
      </w:r>
      <w:r w:rsidRPr="00B3626F">
        <w:t xml:space="preserve">UNESCO, 5 </w:t>
      </w:r>
      <w:r w:rsidR="00BE1203" w:rsidRPr="00B3626F">
        <w:t>–</w:t>
      </w:r>
      <w:r w:rsidRPr="00B3626F">
        <w:t xml:space="preserve"> 7</w:t>
      </w:r>
      <w:r w:rsidR="00BE1203" w:rsidRPr="00B3626F">
        <w:t xml:space="preserve"> </w:t>
      </w:r>
      <w:r w:rsidRPr="00B3626F">
        <w:t>juillet 2022).</w:t>
      </w:r>
    </w:p>
    <w:p w14:paraId="50D3EAFF" w14:textId="1F1CCA66" w:rsidR="00D95C4C" w:rsidRPr="00B3626F" w:rsidRDefault="004E2D48" w:rsidP="00AD0674">
      <w:pPr>
        <w:pStyle w:val="COMPara"/>
        <w:keepNext/>
        <w:ind w:left="567" w:hanging="567"/>
        <w:jc w:val="both"/>
      </w:pPr>
      <w:r w:rsidRPr="00B3626F">
        <w:lastRenderedPageBreak/>
        <w:t>Le Comité</w:t>
      </w:r>
      <w:r w:rsidR="000B1C8F" w:rsidRPr="00B3626F">
        <w:t xml:space="preserve"> souhaitera peut-être adopter la </w:t>
      </w:r>
      <w:r w:rsidR="009A7F16" w:rsidRPr="00B3626F">
        <w:t xml:space="preserve">décision </w:t>
      </w:r>
      <w:r w:rsidR="000B1C8F" w:rsidRPr="00B3626F">
        <w:t>suivante :</w:t>
      </w:r>
    </w:p>
    <w:p w14:paraId="6CEB1E9D" w14:textId="2E8D7BFB" w:rsidR="00D95C4C" w:rsidRPr="00B3626F" w:rsidRDefault="004A34A0" w:rsidP="00AD0674">
      <w:pPr>
        <w:pStyle w:val="COMTitleDecision"/>
        <w:rPr>
          <w:rFonts w:eastAsia="SimSun"/>
        </w:rPr>
      </w:pPr>
      <w:r w:rsidRPr="00B3626F">
        <w:t xml:space="preserve">PROJET DE </w:t>
      </w:r>
      <w:r w:rsidR="007C56F3" w:rsidRPr="00B3626F">
        <w:t>D</w:t>
      </w:r>
      <w:r w:rsidR="00AD0674" w:rsidRPr="00B3626F">
        <w:t>É</w:t>
      </w:r>
      <w:r w:rsidR="007C56F3" w:rsidRPr="00B3626F">
        <w:t xml:space="preserve">CISION </w:t>
      </w:r>
      <w:r w:rsidRPr="00B3626F">
        <w:t>5.EXT.COM 4</w:t>
      </w:r>
    </w:p>
    <w:p w14:paraId="13024F0B" w14:textId="77777777" w:rsidR="00D95C4C" w:rsidRPr="00B3626F" w:rsidRDefault="00285BB4" w:rsidP="00AD0674">
      <w:pPr>
        <w:pStyle w:val="COMPreambulaDecisions"/>
        <w:rPr>
          <w:rFonts w:eastAsia="SimSun"/>
        </w:rPr>
      </w:pPr>
      <w:r w:rsidRPr="00B3626F">
        <w:t>Le Comité,</w:t>
      </w:r>
    </w:p>
    <w:p w14:paraId="5A9F22F3" w14:textId="0D0FFEAC" w:rsidR="0057439C" w:rsidRPr="00B3626F" w:rsidRDefault="00D95C4C" w:rsidP="00AD0674">
      <w:pPr>
        <w:pStyle w:val="COMParaDecision"/>
        <w:keepNext/>
        <w:ind w:left="1134" w:hanging="567"/>
      </w:pPr>
      <w:r w:rsidRPr="00B3626F">
        <w:t>Ayant examiné</w:t>
      </w:r>
      <w:r w:rsidRPr="00B3626F">
        <w:rPr>
          <w:u w:val="none"/>
        </w:rPr>
        <w:t xml:space="preserve"> le document LHE/22/5.EXT.COM/4 et ses annexes,</w:t>
      </w:r>
    </w:p>
    <w:p w14:paraId="5637EF09" w14:textId="3B2EBCB0" w:rsidR="00834447" w:rsidRPr="00B3626F" w:rsidRDefault="0057439C" w:rsidP="00AD0674">
      <w:pPr>
        <w:pStyle w:val="COMParaDecision"/>
        <w:keepNext/>
        <w:ind w:left="1134" w:hanging="567"/>
      </w:pPr>
      <w:r w:rsidRPr="00B3626F">
        <w:t>Rappelant</w:t>
      </w:r>
      <w:r w:rsidRPr="00B3626F">
        <w:rPr>
          <w:u w:val="none"/>
        </w:rPr>
        <w:t xml:space="preserve"> la </w:t>
      </w:r>
      <w:r w:rsidRPr="00B3626F">
        <w:rPr>
          <w:rFonts w:asciiTheme="minorBidi" w:hAnsiTheme="minorBidi"/>
          <w:u w:val="none"/>
        </w:rPr>
        <w:t xml:space="preserve">décision </w:t>
      </w:r>
      <w:hyperlink r:id="rId25" w:history="1">
        <w:r w:rsidRPr="00B3626F">
          <w:rPr>
            <w:rStyle w:val="Lienhypertexte"/>
            <w:rFonts w:asciiTheme="minorBidi" w:hAnsiTheme="minorBidi"/>
          </w:rPr>
          <w:t>16.COM 14</w:t>
        </w:r>
      </w:hyperlink>
      <w:r w:rsidRPr="00B3626F">
        <w:rPr>
          <w:rStyle w:val="Lienhypertexte"/>
          <w:rFonts w:asciiTheme="minorBidi" w:hAnsiTheme="minorBidi"/>
          <w:u w:val="none"/>
        </w:rPr>
        <w:t xml:space="preserve"> </w:t>
      </w:r>
      <w:r w:rsidRPr="00B3626F">
        <w:rPr>
          <w:rStyle w:val="Lienhypertexte"/>
          <w:rFonts w:asciiTheme="minorBidi" w:hAnsiTheme="minorBidi"/>
          <w:color w:val="auto"/>
          <w:u w:val="none"/>
        </w:rPr>
        <w:t xml:space="preserve">et le document </w:t>
      </w:r>
      <w:hyperlink r:id="rId26" w:history="1">
        <w:r w:rsidRPr="00B3626F">
          <w:rPr>
            <w:rStyle w:val="Lienhypertexte"/>
          </w:rPr>
          <w:t>LHE/21/16.COM 14</w:t>
        </w:r>
      </w:hyperlink>
      <w:r w:rsidRPr="00B3626F">
        <w:rPr>
          <w:u w:val="none"/>
        </w:rPr>
        <w:t>,</w:t>
      </w:r>
    </w:p>
    <w:p w14:paraId="4A7EFE92" w14:textId="73CD9C92" w:rsidR="00C42CC6" w:rsidRPr="00B3626F" w:rsidRDefault="00C42CC6" w:rsidP="00AD0674">
      <w:pPr>
        <w:pStyle w:val="COMParaDecision"/>
        <w:keepNext/>
        <w:ind w:left="1134" w:hanging="567"/>
      </w:pPr>
      <w:r w:rsidRPr="00B3626F">
        <w:t>Réitère sa gratitude</w:t>
      </w:r>
      <w:r w:rsidRPr="00B3626F">
        <w:rPr>
          <w:u w:val="none"/>
        </w:rPr>
        <w:t xml:space="preserve"> au Japon pour son soutien à la réflexion globale sur les mécanismes d</w:t>
      </w:r>
      <w:r w:rsidR="00DE5604" w:rsidRPr="00B3626F">
        <w:rPr>
          <w:u w:val="none"/>
        </w:rPr>
        <w:t>’</w:t>
      </w:r>
      <w:r w:rsidRPr="00B3626F">
        <w:rPr>
          <w:u w:val="none"/>
        </w:rPr>
        <w:t>inscription sur les listes de la Convention ;</w:t>
      </w:r>
    </w:p>
    <w:p w14:paraId="002502E1" w14:textId="0B0973F2" w:rsidR="00CB46D6" w:rsidRPr="00B3626F" w:rsidRDefault="00CB46D6" w:rsidP="00CB46D6">
      <w:pPr>
        <w:pStyle w:val="COMParaDecision"/>
        <w:ind w:left="1134" w:hanging="567"/>
      </w:pPr>
      <w:r w:rsidRPr="00B3626F">
        <w:t>Exprime son appréciation</w:t>
      </w:r>
      <w:r w:rsidRPr="00B3626F">
        <w:rPr>
          <w:u w:val="none"/>
        </w:rPr>
        <w:t xml:space="preserve"> à l</w:t>
      </w:r>
      <w:r w:rsidR="00DE5604" w:rsidRPr="00B3626F">
        <w:rPr>
          <w:u w:val="none"/>
        </w:rPr>
        <w:t>’</w:t>
      </w:r>
      <w:r w:rsidRPr="00B3626F">
        <w:rPr>
          <w:u w:val="none"/>
        </w:rPr>
        <w:t xml:space="preserve">égard du travail du groupe de travail intergouvernemental à composition non limitée, pour avoir conclu sur tous les </w:t>
      </w:r>
      <w:r w:rsidR="007E72B5" w:rsidRPr="00B3626F">
        <w:rPr>
          <w:u w:val="none"/>
        </w:rPr>
        <w:t xml:space="preserve">sujets </w:t>
      </w:r>
      <w:r w:rsidRPr="00B3626F">
        <w:rPr>
          <w:u w:val="none"/>
        </w:rPr>
        <w:t xml:space="preserve">qui lui ont été confiés pour </w:t>
      </w:r>
      <w:r w:rsidR="00AD0674" w:rsidRPr="00B3626F">
        <w:rPr>
          <w:u w:val="none"/>
        </w:rPr>
        <w:t xml:space="preserve">la partie III de </w:t>
      </w:r>
      <w:r w:rsidRPr="00B3626F">
        <w:rPr>
          <w:u w:val="none"/>
        </w:rPr>
        <w:t xml:space="preserve">sa réunion et </w:t>
      </w:r>
      <w:r w:rsidRPr="00B3626F">
        <w:t>remercie</w:t>
      </w:r>
      <w:r w:rsidRPr="00B3626F">
        <w:rPr>
          <w:u w:val="none"/>
        </w:rPr>
        <w:t xml:space="preserve"> ses membres pour leur engagement ;</w:t>
      </w:r>
    </w:p>
    <w:p w14:paraId="1DD58ECB" w14:textId="35150F25" w:rsidR="00A10387" w:rsidRPr="00B3626F" w:rsidRDefault="00A10387" w:rsidP="002877B9">
      <w:pPr>
        <w:pStyle w:val="COMParaDecision"/>
        <w:ind w:left="1134" w:hanging="567"/>
        <w:rPr>
          <w:b/>
          <w:bCs/>
          <w:u w:val="none"/>
        </w:rPr>
      </w:pPr>
      <w:bookmarkStart w:id="0" w:name="Annex_1"/>
      <w:bookmarkEnd w:id="0"/>
      <w:r w:rsidRPr="00B3626F">
        <w:t>Recommande</w:t>
      </w:r>
      <w:r w:rsidRPr="00B3626F">
        <w:rPr>
          <w:u w:val="none"/>
        </w:rPr>
        <w:t xml:space="preserve"> à l</w:t>
      </w:r>
      <w:r w:rsidR="00DE5604" w:rsidRPr="00B3626F">
        <w:rPr>
          <w:u w:val="none"/>
        </w:rPr>
        <w:t>’</w:t>
      </w:r>
      <w:r w:rsidRPr="00B3626F">
        <w:rPr>
          <w:u w:val="none"/>
        </w:rPr>
        <w:t xml:space="preserve">Assemblée générale de réviser les </w:t>
      </w:r>
      <w:r w:rsidR="00AD0674" w:rsidRPr="00B3626F">
        <w:rPr>
          <w:u w:val="none"/>
        </w:rPr>
        <w:t>d</w:t>
      </w:r>
      <w:r w:rsidRPr="00B3626F">
        <w:rPr>
          <w:u w:val="none"/>
        </w:rPr>
        <w:t xml:space="preserve">irectives opérationnelles pour la mise en œuvre de la Convention (telles </w:t>
      </w:r>
      <w:r w:rsidR="00AD0674" w:rsidRPr="00B3626F">
        <w:rPr>
          <w:u w:val="none"/>
        </w:rPr>
        <w:t>que</w:t>
      </w:r>
      <w:r w:rsidRPr="00B3626F">
        <w:rPr>
          <w:u w:val="none"/>
        </w:rPr>
        <w:t xml:space="preserve"> présentées </w:t>
      </w:r>
      <w:r w:rsidR="00AD0674" w:rsidRPr="00B3626F">
        <w:rPr>
          <w:u w:val="none"/>
        </w:rPr>
        <w:t>dans</w:t>
      </w:r>
      <w:r w:rsidRPr="00B3626F">
        <w:rPr>
          <w:u w:val="none"/>
        </w:rPr>
        <w:t xml:space="preserve"> l</w:t>
      </w:r>
      <w:r w:rsidR="00DE5604" w:rsidRPr="00B3626F">
        <w:rPr>
          <w:u w:val="none"/>
        </w:rPr>
        <w:t>’</w:t>
      </w:r>
      <w:r w:rsidR="00AD0674" w:rsidRPr="00B3626F">
        <w:rPr>
          <w:u w:val="none"/>
        </w:rPr>
        <w:t>a</w:t>
      </w:r>
      <w:r w:rsidRPr="00B3626F">
        <w:rPr>
          <w:u w:val="none"/>
        </w:rPr>
        <w:t xml:space="preserve">nnexe II ci-dessous), </w:t>
      </w:r>
      <w:r w:rsidR="007E72B5" w:rsidRPr="00B3626F">
        <w:rPr>
          <w:u w:val="none"/>
        </w:rPr>
        <w:t xml:space="preserve">en se conformant aux recommandations de la </w:t>
      </w:r>
      <w:r w:rsidR="00AD0674" w:rsidRPr="00B3626F">
        <w:rPr>
          <w:u w:val="none"/>
        </w:rPr>
        <w:t>p</w:t>
      </w:r>
      <w:r w:rsidR="007E72B5" w:rsidRPr="00B3626F">
        <w:rPr>
          <w:u w:val="none"/>
        </w:rPr>
        <w:t xml:space="preserve">artie III du groupe de travail intergouvernemental et en reflétant leur esprit </w:t>
      </w:r>
      <w:r w:rsidRPr="00B3626F">
        <w:rPr>
          <w:u w:val="none"/>
        </w:rPr>
        <w:t>(</w:t>
      </w:r>
      <w:r w:rsidR="007E72B5" w:rsidRPr="00B3626F">
        <w:rPr>
          <w:u w:val="none"/>
        </w:rPr>
        <w:t xml:space="preserve">telles </w:t>
      </w:r>
      <w:r w:rsidR="00AD0674" w:rsidRPr="00B3626F">
        <w:rPr>
          <w:u w:val="none"/>
        </w:rPr>
        <w:t>que</w:t>
      </w:r>
      <w:r w:rsidR="007E72B5" w:rsidRPr="00B3626F">
        <w:rPr>
          <w:u w:val="none"/>
        </w:rPr>
        <w:t xml:space="preserve"> présentées </w:t>
      </w:r>
      <w:r w:rsidR="00AD0674" w:rsidRPr="00B3626F">
        <w:rPr>
          <w:u w:val="none"/>
        </w:rPr>
        <w:t>dans</w:t>
      </w:r>
      <w:r w:rsidRPr="00B3626F">
        <w:rPr>
          <w:u w:val="none"/>
        </w:rPr>
        <w:t xml:space="preserve"> l</w:t>
      </w:r>
      <w:r w:rsidR="00DE5604" w:rsidRPr="00B3626F">
        <w:rPr>
          <w:u w:val="none"/>
        </w:rPr>
        <w:t>’</w:t>
      </w:r>
      <w:r w:rsidR="00AD0674" w:rsidRPr="00B3626F">
        <w:rPr>
          <w:u w:val="none"/>
        </w:rPr>
        <w:t>a</w:t>
      </w:r>
      <w:r w:rsidRPr="00B3626F">
        <w:rPr>
          <w:u w:val="none"/>
        </w:rPr>
        <w:t>nnexe I ci-dessous)</w:t>
      </w:r>
      <w:r w:rsidR="00AD0674" w:rsidRPr="00B3626F">
        <w:rPr>
          <w:u w:val="none"/>
        </w:rPr>
        <w:t>.</w:t>
      </w:r>
      <w:r w:rsidRPr="00B3626F">
        <w:rPr>
          <w:u w:val="none"/>
        </w:rPr>
        <w:br w:type="page"/>
      </w:r>
    </w:p>
    <w:p w14:paraId="2EC587E6" w14:textId="4080875B" w:rsidR="00190205" w:rsidRPr="00B3626F" w:rsidRDefault="0013743B" w:rsidP="00514B9A">
      <w:pPr>
        <w:pStyle w:val="COMParaDecision"/>
        <w:numPr>
          <w:ilvl w:val="0"/>
          <w:numId w:val="0"/>
        </w:numPr>
        <w:jc w:val="center"/>
        <w:rPr>
          <w:b/>
          <w:bCs/>
          <w:u w:val="none"/>
        </w:rPr>
      </w:pPr>
      <w:r w:rsidRPr="00B3626F">
        <w:rPr>
          <w:b/>
          <w:u w:val="none"/>
        </w:rPr>
        <w:lastRenderedPageBreak/>
        <w:t>Annexe I</w:t>
      </w:r>
    </w:p>
    <w:p w14:paraId="004643D6" w14:textId="618703E9" w:rsidR="00EF31D9" w:rsidRPr="00B3626F" w:rsidRDefault="00EF31D9" w:rsidP="00B3626F">
      <w:pPr>
        <w:pStyle w:val="Sansinterligne1"/>
        <w:snapToGrid w:val="0"/>
        <w:spacing w:before="120"/>
        <w:ind w:left="567"/>
        <w:jc w:val="center"/>
        <w:rPr>
          <w:rFonts w:asciiTheme="minorBidi" w:eastAsiaTheme="minorEastAsia" w:hAnsiTheme="minorBidi" w:cstheme="minorBidi"/>
          <w:b/>
          <w:bCs/>
          <w:sz w:val="22"/>
          <w:szCs w:val="22"/>
        </w:rPr>
      </w:pPr>
      <w:r w:rsidRPr="00B3626F">
        <w:rPr>
          <w:rFonts w:asciiTheme="minorBidi" w:eastAsiaTheme="minorEastAsia" w:hAnsiTheme="minorBidi" w:cstheme="minorBidi"/>
          <w:b/>
          <w:bCs/>
          <w:sz w:val="22"/>
          <w:szCs w:val="22"/>
        </w:rPr>
        <w:t>Recommandations du groupe de travail intergouvernemental à composition non limitée (Partie III)</w:t>
      </w:r>
    </w:p>
    <w:p w14:paraId="22A51AF2" w14:textId="77777777" w:rsidR="00EF31D9" w:rsidRPr="00B3626F" w:rsidRDefault="00EF31D9" w:rsidP="00EF31D9">
      <w:pPr>
        <w:pBdr>
          <w:top w:val="single" w:sz="4" w:space="1" w:color="auto"/>
          <w:left w:val="single" w:sz="4" w:space="4" w:color="auto"/>
          <w:bottom w:val="single" w:sz="4" w:space="1" w:color="auto"/>
          <w:right w:val="single" w:sz="4" w:space="4" w:color="auto"/>
        </w:pBdr>
        <w:shd w:val="clear" w:color="auto" w:fill="DBE5F1" w:themeFill="accent1" w:themeFillTint="33"/>
        <w:spacing w:before="360"/>
        <w:jc w:val="both"/>
        <w:rPr>
          <w:rFonts w:asciiTheme="minorBidi" w:hAnsiTheme="minorBidi" w:cstheme="minorBidi"/>
          <w:snapToGrid w:val="0"/>
          <w:sz w:val="22"/>
          <w:szCs w:val="22"/>
          <w:lang w:eastAsia="en-US"/>
        </w:rPr>
      </w:pPr>
      <w:r w:rsidRPr="00B3626F">
        <w:rPr>
          <w:rFonts w:asciiTheme="minorBidi" w:hAnsiTheme="minorBidi" w:cstheme="minorBidi"/>
          <w:b/>
          <w:bCs/>
          <w:snapToGrid w:val="0"/>
          <w:sz w:val="22"/>
          <w:szCs w:val="22"/>
          <w:lang w:eastAsia="en-US"/>
        </w:rPr>
        <w:t>Questions liées au nombre annuel de dossiers</w:t>
      </w:r>
    </w:p>
    <w:p w14:paraId="33078437" w14:textId="77777777" w:rsidR="00EF31D9" w:rsidRPr="00B3626F" w:rsidRDefault="00EF31D9" w:rsidP="00EF31D9">
      <w:pPr>
        <w:spacing w:before="240"/>
        <w:jc w:val="both"/>
        <w:rPr>
          <w:rFonts w:asciiTheme="minorBidi" w:hAnsiTheme="minorBidi" w:cstheme="minorBidi"/>
          <w:b/>
          <w:bCs/>
          <w:snapToGrid w:val="0"/>
          <w:sz w:val="22"/>
          <w:szCs w:val="22"/>
          <w:lang w:eastAsia="en-US"/>
        </w:rPr>
      </w:pPr>
      <w:r w:rsidRPr="00B3626F">
        <w:rPr>
          <w:rFonts w:asciiTheme="minorBidi" w:hAnsiTheme="minorBidi" w:cstheme="minorBidi"/>
          <w:b/>
          <w:bCs/>
          <w:snapToGrid w:val="0"/>
          <w:sz w:val="22"/>
          <w:szCs w:val="22"/>
          <w:lang w:eastAsia="en-US"/>
        </w:rPr>
        <w:t>Plafond annuel</w:t>
      </w:r>
    </w:p>
    <w:p w14:paraId="42681316" w14:textId="77777777" w:rsidR="00EF31D9" w:rsidRPr="00B3626F" w:rsidRDefault="00EF31D9" w:rsidP="00EF31D9">
      <w:pPr>
        <w:numPr>
          <w:ilvl w:val="0"/>
          <w:numId w:val="37"/>
        </w:numPr>
        <w:spacing w:before="120" w:after="120"/>
        <w:ind w:left="567" w:hanging="567"/>
        <w:jc w:val="both"/>
        <w:rPr>
          <w:rFonts w:asciiTheme="minorBidi" w:hAnsiTheme="minorBidi" w:cstheme="minorBidi"/>
          <w:snapToGrid w:val="0"/>
          <w:sz w:val="22"/>
          <w:szCs w:val="22"/>
          <w:lang w:eastAsia="en-US"/>
        </w:rPr>
      </w:pPr>
      <w:r w:rsidRPr="00B3626F">
        <w:rPr>
          <w:rFonts w:asciiTheme="minorBidi" w:hAnsiTheme="minorBidi" w:cstheme="minorBidi"/>
          <w:snapToGrid w:val="0"/>
          <w:sz w:val="22"/>
          <w:szCs w:val="22"/>
          <w:lang w:eastAsia="en-US"/>
        </w:rPr>
        <w:t>Le nombre annuel de candidatures à la Liste de sauvegarde urgente, à la Liste représentative et au Registre de bonnes pratiques de sauvegarde pouvant être traités au total ne doit pas dépasser soixante.</w:t>
      </w:r>
    </w:p>
    <w:p w14:paraId="2DB11C6B" w14:textId="29A53498" w:rsidR="00EF31D9" w:rsidRPr="00B3626F" w:rsidRDefault="00EF31D9" w:rsidP="00EF31D9">
      <w:pPr>
        <w:numPr>
          <w:ilvl w:val="0"/>
          <w:numId w:val="37"/>
        </w:numPr>
        <w:spacing w:before="120" w:after="120"/>
        <w:ind w:left="567" w:hanging="567"/>
        <w:jc w:val="both"/>
        <w:rPr>
          <w:rFonts w:asciiTheme="minorBidi" w:hAnsiTheme="minorBidi" w:cstheme="minorBidi"/>
          <w:snapToGrid w:val="0"/>
          <w:sz w:val="22"/>
          <w:szCs w:val="22"/>
          <w:lang w:eastAsia="en-US"/>
        </w:rPr>
      </w:pPr>
      <w:r w:rsidRPr="00B3626F">
        <w:rPr>
          <w:rFonts w:asciiTheme="minorBidi" w:hAnsiTheme="minorBidi" w:cstheme="minorBidi"/>
          <w:snapToGrid w:val="0"/>
          <w:sz w:val="22"/>
          <w:szCs w:val="22"/>
          <w:lang w:eastAsia="en-US"/>
        </w:rPr>
        <w:t>Toutes les demandes d</w:t>
      </w:r>
      <w:r w:rsidR="00DE5604" w:rsidRPr="00B3626F">
        <w:rPr>
          <w:rFonts w:asciiTheme="minorBidi" w:hAnsiTheme="minorBidi" w:cstheme="minorBidi"/>
          <w:snapToGrid w:val="0"/>
          <w:sz w:val="22"/>
          <w:szCs w:val="22"/>
          <w:lang w:eastAsia="en-US"/>
        </w:rPr>
        <w:t>’</w:t>
      </w:r>
      <w:r w:rsidRPr="00B3626F">
        <w:rPr>
          <w:rFonts w:asciiTheme="minorBidi" w:hAnsiTheme="minorBidi" w:cstheme="minorBidi"/>
          <w:snapToGrid w:val="0"/>
          <w:sz w:val="22"/>
          <w:szCs w:val="22"/>
          <w:lang w:eastAsia="en-US"/>
        </w:rPr>
        <w:t>assistance internationale doivent être examinées par le Bureau du Comité. Les demandes ne doivent pas dépasser 100 000 dollars des États-Unis, à l</w:t>
      </w:r>
      <w:r w:rsidR="00DE5604" w:rsidRPr="00B3626F">
        <w:rPr>
          <w:rFonts w:asciiTheme="minorBidi" w:hAnsiTheme="minorBidi" w:cstheme="minorBidi"/>
          <w:snapToGrid w:val="0"/>
          <w:sz w:val="22"/>
          <w:szCs w:val="22"/>
          <w:lang w:eastAsia="en-US"/>
        </w:rPr>
        <w:t>’</w:t>
      </w:r>
      <w:r w:rsidRPr="00B3626F">
        <w:rPr>
          <w:rFonts w:asciiTheme="minorBidi" w:hAnsiTheme="minorBidi" w:cstheme="minorBidi"/>
          <w:snapToGrid w:val="0"/>
          <w:sz w:val="22"/>
          <w:szCs w:val="22"/>
          <w:lang w:eastAsia="en-US"/>
        </w:rPr>
        <w:t>exception des demandes d</w:t>
      </w:r>
      <w:r w:rsidR="00DE5604" w:rsidRPr="00B3626F">
        <w:rPr>
          <w:rFonts w:asciiTheme="minorBidi" w:hAnsiTheme="minorBidi" w:cstheme="minorBidi"/>
          <w:snapToGrid w:val="0"/>
          <w:sz w:val="22"/>
          <w:szCs w:val="22"/>
          <w:lang w:eastAsia="en-US"/>
        </w:rPr>
        <w:t>’</w:t>
      </w:r>
      <w:r w:rsidRPr="00B3626F">
        <w:rPr>
          <w:rFonts w:asciiTheme="minorBidi" w:hAnsiTheme="minorBidi" w:cstheme="minorBidi"/>
          <w:snapToGrid w:val="0"/>
          <w:sz w:val="22"/>
          <w:szCs w:val="22"/>
          <w:lang w:eastAsia="en-US"/>
        </w:rPr>
        <w:t>urgence.</w:t>
      </w:r>
    </w:p>
    <w:p w14:paraId="7E9BFE26" w14:textId="2F39EF05" w:rsidR="00EF31D9" w:rsidRPr="00B3626F" w:rsidRDefault="00EF31D9" w:rsidP="00EF31D9">
      <w:pPr>
        <w:numPr>
          <w:ilvl w:val="0"/>
          <w:numId w:val="37"/>
        </w:numPr>
        <w:spacing w:before="120" w:after="120"/>
        <w:ind w:left="567" w:hanging="567"/>
        <w:jc w:val="both"/>
        <w:rPr>
          <w:rFonts w:asciiTheme="minorBidi" w:hAnsiTheme="minorBidi" w:cstheme="minorBidi"/>
          <w:snapToGrid w:val="0"/>
          <w:sz w:val="22"/>
          <w:szCs w:val="22"/>
          <w:lang w:eastAsia="en-US"/>
        </w:rPr>
      </w:pPr>
      <w:r w:rsidRPr="00B3626F">
        <w:rPr>
          <w:rFonts w:asciiTheme="minorBidi" w:hAnsiTheme="minorBidi" w:cstheme="minorBidi"/>
          <w:snapToGrid w:val="0"/>
          <w:sz w:val="22"/>
          <w:szCs w:val="22"/>
          <w:lang w:eastAsia="en-US"/>
        </w:rPr>
        <w:t>Les besoins durables en personnel du Secrétariat doivent être résolus pour le soutien requis pour la poursuite de la mise en œuvre la Convention de 2003. Le Secrétariat doit préparer une proposition détaillée sur les ressources financières et humaines nécessaires pour renforcer les mécanismes d</w:t>
      </w:r>
      <w:r w:rsidR="00DE5604" w:rsidRPr="00B3626F">
        <w:rPr>
          <w:rFonts w:asciiTheme="minorBidi" w:hAnsiTheme="minorBidi" w:cstheme="minorBidi"/>
          <w:snapToGrid w:val="0"/>
          <w:sz w:val="22"/>
          <w:szCs w:val="22"/>
          <w:lang w:eastAsia="en-US"/>
        </w:rPr>
        <w:t>’</w:t>
      </w:r>
      <w:r w:rsidRPr="00B3626F">
        <w:rPr>
          <w:rFonts w:asciiTheme="minorBidi" w:hAnsiTheme="minorBidi" w:cstheme="minorBidi"/>
          <w:snapToGrid w:val="0"/>
          <w:sz w:val="22"/>
          <w:szCs w:val="22"/>
          <w:lang w:eastAsia="en-US"/>
        </w:rPr>
        <w:t>inscription sur les Listes, y compris le travail du système d</w:t>
      </w:r>
      <w:r w:rsidR="00DE5604" w:rsidRPr="00B3626F">
        <w:rPr>
          <w:rFonts w:asciiTheme="minorBidi" w:hAnsiTheme="minorBidi" w:cstheme="minorBidi"/>
          <w:snapToGrid w:val="0"/>
          <w:sz w:val="22"/>
          <w:szCs w:val="22"/>
          <w:lang w:eastAsia="en-US"/>
        </w:rPr>
        <w:t>’</w:t>
      </w:r>
      <w:r w:rsidRPr="00B3626F">
        <w:rPr>
          <w:rFonts w:asciiTheme="minorBidi" w:hAnsiTheme="minorBidi" w:cstheme="minorBidi"/>
          <w:snapToGrid w:val="0"/>
          <w:sz w:val="22"/>
          <w:szCs w:val="22"/>
          <w:lang w:eastAsia="en-US"/>
        </w:rPr>
        <w:t>évaluation, afin d</w:t>
      </w:r>
      <w:r w:rsidR="00DE5604" w:rsidRPr="00B3626F">
        <w:rPr>
          <w:rFonts w:asciiTheme="minorBidi" w:hAnsiTheme="minorBidi" w:cstheme="minorBidi"/>
          <w:snapToGrid w:val="0"/>
          <w:sz w:val="22"/>
          <w:szCs w:val="22"/>
          <w:lang w:eastAsia="en-US"/>
        </w:rPr>
        <w:t>’</w:t>
      </w:r>
      <w:r w:rsidRPr="00B3626F">
        <w:rPr>
          <w:rFonts w:asciiTheme="minorBidi" w:hAnsiTheme="minorBidi" w:cstheme="minorBidi"/>
          <w:snapToGrid w:val="0"/>
          <w:sz w:val="22"/>
          <w:szCs w:val="22"/>
          <w:lang w:eastAsia="en-US"/>
        </w:rPr>
        <w:t>augmenter le plafond annuel des candidatures. Cette proposition devra être soumise pour l</w:t>
      </w:r>
      <w:r w:rsidR="00DE5604" w:rsidRPr="00B3626F">
        <w:rPr>
          <w:rFonts w:asciiTheme="minorBidi" w:hAnsiTheme="minorBidi" w:cstheme="minorBidi"/>
          <w:snapToGrid w:val="0"/>
          <w:sz w:val="22"/>
          <w:szCs w:val="22"/>
          <w:lang w:eastAsia="en-US"/>
        </w:rPr>
        <w:t>’</w:t>
      </w:r>
      <w:r w:rsidRPr="00B3626F">
        <w:rPr>
          <w:rFonts w:asciiTheme="minorBidi" w:hAnsiTheme="minorBidi" w:cstheme="minorBidi"/>
          <w:snapToGrid w:val="0"/>
          <w:sz w:val="22"/>
          <w:szCs w:val="22"/>
          <w:lang w:eastAsia="en-US"/>
        </w:rPr>
        <w:t>examen du Comité en vue de sa transmission au Conseil exécutif de l</w:t>
      </w:r>
      <w:r w:rsidR="00DE5604" w:rsidRPr="00B3626F">
        <w:rPr>
          <w:rFonts w:asciiTheme="minorBidi" w:hAnsiTheme="minorBidi" w:cstheme="minorBidi"/>
          <w:snapToGrid w:val="0"/>
          <w:sz w:val="22"/>
          <w:szCs w:val="22"/>
          <w:lang w:eastAsia="en-US"/>
        </w:rPr>
        <w:t>’</w:t>
      </w:r>
      <w:r w:rsidRPr="00B3626F">
        <w:rPr>
          <w:rFonts w:asciiTheme="minorBidi" w:hAnsiTheme="minorBidi" w:cstheme="minorBidi"/>
          <w:snapToGrid w:val="0"/>
          <w:sz w:val="22"/>
          <w:szCs w:val="22"/>
          <w:lang w:eastAsia="en-US"/>
        </w:rPr>
        <w:t>UNESCO et à la dixième session de l</w:t>
      </w:r>
      <w:r w:rsidR="00DE5604" w:rsidRPr="00B3626F">
        <w:rPr>
          <w:rFonts w:asciiTheme="minorBidi" w:hAnsiTheme="minorBidi" w:cstheme="minorBidi"/>
          <w:snapToGrid w:val="0"/>
          <w:sz w:val="22"/>
          <w:szCs w:val="22"/>
          <w:lang w:eastAsia="en-US"/>
        </w:rPr>
        <w:t>’</w:t>
      </w:r>
      <w:r w:rsidRPr="00B3626F">
        <w:rPr>
          <w:rFonts w:asciiTheme="minorBidi" w:hAnsiTheme="minorBidi" w:cstheme="minorBidi"/>
          <w:snapToGrid w:val="0"/>
          <w:sz w:val="22"/>
          <w:szCs w:val="22"/>
          <w:lang w:eastAsia="en-US"/>
        </w:rPr>
        <w:t>Assemblée générale, afin de décider de l</w:t>
      </w:r>
      <w:r w:rsidR="00DE5604" w:rsidRPr="00B3626F">
        <w:rPr>
          <w:rFonts w:asciiTheme="minorBidi" w:hAnsiTheme="minorBidi" w:cstheme="minorBidi"/>
          <w:snapToGrid w:val="0"/>
          <w:sz w:val="22"/>
          <w:szCs w:val="22"/>
          <w:lang w:eastAsia="en-US"/>
        </w:rPr>
        <w:t>’</w:t>
      </w:r>
      <w:r w:rsidRPr="00B3626F">
        <w:rPr>
          <w:rFonts w:asciiTheme="minorBidi" w:hAnsiTheme="minorBidi" w:cstheme="minorBidi"/>
          <w:snapToGrid w:val="0"/>
          <w:sz w:val="22"/>
          <w:szCs w:val="22"/>
          <w:lang w:eastAsia="en-US"/>
        </w:rPr>
        <w:t>allocation des ressources nécessaires pour les besoins durables en personnel du Secrétariat.</w:t>
      </w:r>
    </w:p>
    <w:p w14:paraId="4171EA5F" w14:textId="77777777" w:rsidR="00EF31D9" w:rsidRPr="00B3626F" w:rsidRDefault="00EF31D9" w:rsidP="00EF31D9">
      <w:pPr>
        <w:spacing w:before="240"/>
        <w:jc w:val="both"/>
        <w:rPr>
          <w:rFonts w:asciiTheme="minorBidi" w:hAnsiTheme="minorBidi" w:cstheme="minorBidi"/>
          <w:b/>
          <w:bCs/>
          <w:snapToGrid w:val="0"/>
          <w:sz w:val="22"/>
          <w:szCs w:val="22"/>
          <w:lang w:eastAsia="en-US"/>
        </w:rPr>
      </w:pPr>
      <w:r w:rsidRPr="00B3626F">
        <w:rPr>
          <w:rFonts w:asciiTheme="minorBidi" w:hAnsiTheme="minorBidi" w:cstheme="minorBidi"/>
          <w:b/>
          <w:bCs/>
          <w:snapToGrid w:val="0"/>
          <w:sz w:val="22"/>
          <w:szCs w:val="22"/>
          <w:lang w:eastAsia="en-US"/>
        </w:rPr>
        <w:t>Ordre de priorités</w:t>
      </w:r>
    </w:p>
    <w:p w14:paraId="4A390E03" w14:textId="77777777" w:rsidR="00EF31D9" w:rsidRPr="00B3626F" w:rsidRDefault="00EF31D9" w:rsidP="00EF31D9">
      <w:pPr>
        <w:numPr>
          <w:ilvl w:val="0"/>
          <w:numId w:val="37"/>
        </w:numPr>
        <w:spacing w:before="120" w:after="120"/>
        <w:ind w:left="567" w:hanging="567"/>
        <w:jc w:val="both"/>
        <w:rPr>
          <w:rFonts w:asciiTheme="minorBidi" w:hAnsiTheme="minorBidi" w:cstheme="minorBidi"/>
          <w:snapToGrid w:val="0"/>
          <w:sz w:val="22"/>
          <w:szCs w:val="22"/>
          <w:lang w:eastAsia="en-US"/>
        </w:rPr>
      </w:pPr>
      <w:r w:rsidRPr="00B3626F">
        <w:rPr>
          <w:rFonts w:asciiTheme="minorBidi" w:hAnsiTheme="minorBidi" w:cstheme="minorBidi"/>
          <w:snapToGrid w:val="0"/>
          <w:sz w:val="22"/>
          <w:szCs w:val="22"/>
          <w:lang w:eastAsia="en-US"/>
        </w:rPr>
        <w:t>Le système actuel de priorités doit être poursuivi, mais une allocation sera faite, sur une base expérimentale, à un nombre fixe à consacrer aux dossiers multinationaux au sein du plafond global, sans affecter les catégories de priorité (0) et de priorité (i), et pour établir un système de priorisation dans le cadre du quota alloué aux dossiers multinationaux.</w:t>
      </w:r>
    </w:p>
    <w:p w14:paraId="09DB5838" w14:textId="1CF8EF02" w:rsidR="00EF31D9" w:rsidRPr="00B3626F" w:rsidRDefault="00EF31D9" w:rsidP="00EF31D9">
      <w:pPr>
        <w:numPr>
          <w:ilvl w:val="0"/>
          <w:numId w:val="37"/>
        </w:numPr>
        <w:spacing w:before="120" w:after="120"/>
        <w:ind w:left="567" w:hanging="567"/>
        <w:jc w:val="both"/>
        <w:rPr>
          <w:rFonts w:asciiTheme="minorBidi" w:hAnsiTheme="minorBidi" w:cstheme="minorBidi"/>
          <w:snapToGrid w:val="0"/>
          <w:sz w:val="22"/>
          <w:szCs w:val="22"/>
          <w:lang w:eastAsia="en-US"/>
        </w:rPr>
      </w:pPr>
      <w:r w:rsidRPr="00B3626F">
        <w:rPr>
          <w:rFonts w:asciiTheme="minorBidi" w:hAnsiTheme="minorBidi" w:cstheme="minorBidi"/>
          <w:snapToGrid w:val="0"/>
          <w:sz w:val="22"/>
          <w:szCs w:val="22"/>
          <w:lang w:eastAsia="en-US"/>
        </w:rPr>
        <w:t>Les demandes dans le cadre des nouvelles procédures concernant le transfert de la Liste de sauvegarde urgente à la Liste représentative doivent être considérées en dehors du plafond annuel, sur une base expérimentale pour examen à la dixième session de l</w:t>
      </w:r>
      <w:r w:rsidR="00DE5604" w:rsidRPr="00B3626F">
        <w:rPr>
          <w:rFonts w:asciiTheme="minorBidi" w:hAnsiTheme="minorBidi" w:cstheme="minorBidi"/>
          <w:snapToGrid w:val="0"/>
          <w:sz w:val="22"/>
          <w:szCs w:val="22"/>
          <w:lang w:eastAsia="en-US"/>
        </w:rPr>
        <w:t>’</w:t>
      </w:r>
      <w:r w:rsidRPr="00B3626F">
        <w:rPr>
          <w:rFonts w:asciiTheme="minorBidi" w:hAnsiTheme="minorBidi" w:cstheme="minorBidi"/>
          <w:snapToGrid w:val="0"/>
          <w:sz w:val="22"/>
          <w:szCs w:val="22"/>
          <w:lang w:eastAsia="en-US"/>
        </w:rPr>
        <w:t>Assemblée générale.</w:t>
      </w:r>
    </w:p>
    <w:p w14:paraId="3ED408A0" w14:textId="711BE439" w:rsidR="00EF31D9" w:rsidRPr="00B3626F" w:rsidRDefault="00EF31D9" w:rsidP="00EF31D9">
      <w:pPr>
        <w:numPr>
          <w:ilvl w:val="0"/>
          <w:numId w:val="37"/>
        </w:numPr>
        <w:spacing w:before="120" w:after="120"/>
        <w:ind w:left="567" w:hanging="567"/>
        <w:jc w:val="both"/>
        <w:rPr>
          <w:rFonts w:asciiTheme="minorBidi" w:hAnsiTheme="minorBidi" w:cstheme="minorBidi"/>
          <w:snapToGrid w:val="0"/>
          <w:sz w:val="22"/>
          <w:szCs w:val="22"/>
          <w:lang w:eastAsia="en-US"/>
        </w:rPr>
      </w:pPr>
      <w:r w:rsidRPr="00B3626F">
        <w:rPr>
          <w:rFonts w:asciiTheme="minorBidi" w:hAnsiTheme="minorBidi" w:cstheme="minorBidi"/>
          <w:snapToGrid w:val="0"/>
          <w:sz w:val="22"/>
          <w:szCs w:val="22"/>
          <w:lang w:eastAsia="en-US"/>
        </w:rPr>
        <w:t>Les demandes dans le cadre des nouvelles procédures concernant l</w:t>
      </w:r>
      <w:r w:rsidR="00DE5604" w:rsidRPr="00B3626F">
        <w:rPr>
          <w:rFonts w:asciiTheme="minorBidi" w:hAnsiTheme="minorBidi" w:cstheme="minorBidi"/>
          <w:snapToGrid w:val="0"/>
          <w:sz w:val="22"/>
          <w:szCs w:val="22"/>
          <w:lang w:eastAsia="en-US"/>
        </w:rPr>
        <w:t>’</w:t>
      </w:r>
      <w:r w:rsidRPr="00B3626F">
        <w:rPr>
          <w:rFonts w:asciiTheme="minorBidi" w:hAnsiTheme="minorBidi" w:cstheme="minorBidi"/>
          <w:snapToGrid w:val="0"/>
          <w:sz w:val="22"/>
          <w:szCs w:val="22"/>
          <w:lang w:eastAsia="en-US"/>
        </w:rPr>
        <w:t>inscription élargie ou réduite doivent être considérées en dehors du plafond annuel, sur une base expérimentale pour examen à la dixième session de l</w:t>
      </w:r>
      <w:r w:rsidR="00DE5604" w:rsidRPr="00B3626F">
        <w:rPr>
          <w:rFonts w:asciiTheme="minorBidi" w:hAnsiTheme="minorBidi" w:cstheme="minorBidi"/>
          <w:snapToGrid w:val="0"/>
          <w:sz w:val="22"/>
          <w:szCs w:val="22"/>
          <w:lang w:eastAsia="en-US"/>
        </w:rPr>
        <w:t>’</w:t>
      </w:r>
      <w:r w:rsidRPr="00B3626F">
        <w:rPr>
          <w:rFonts w:asciiTheme="minorBidi" w:hAnsiTheme="minorBidi" w:cstheme="minorBidi"/>
          <w:snapToGrid w:val="0"/>
          <w:sz w:val="22"/>
          <w:szCs w:val="22"/>
          <w:lang w:eastAsia="en-US"/>
        </w:rPr>
        <w:t>Assemblée générale.</w:t>
      </w:r>
    </w:p>
    <w:p w14:paraId="675BC960" w14:textId="7E09BC10" w:rsidR="00EF31D9" w:rsidRPr="00B3626F" w:rsidRDefault="00EF31D9" w:rsidP="00EF31D9">
      <w:pPr>
        <w:keepNext/>
        <w:keepLines/>
        <w:spacing w:before="240"/>
        <w:jc w:val="both"/>
        <w:rPr>
          <w:rFonts w:asciiTheme="minorBidi" w:hAnsiTheme="minorBidi" w:cstheme="minorBidi"/>
          <w:b/>
          <w:bCs/>
          <w:snapToGrid w:val="0"/>
          <w:sz w:val="22"/>
          <w:szCs w:val="22"/>
          <w:lang w:eastAsia="en-US"/>
        </w:rPr>
      </w:pPr>
      <w:r w:rsidRPr="00B3626F">
        <w:rPr>
          <w:rFonts w:asciiTheme="minorBidi" w:hAnsiTheme="minorBidi" w:cstheme="minorBidi"/>
          <w:b/>
          <w:bCs/>
          <w:snapToGrid w:val="0"/>
          <w:sz w:val="22"/>
          <w:szCs w:val="22"/>
          <w:lang w:eastAsia="en-US"/>
        </w:rPr>
        <w:t>Composition et méthodes de travail de l</w:t>
      </w:r>
      <w:r w:rsidR="00DE5604" w:rsidRPr="00B3626F">
        <w:rPr>
          <w:rFonts w:asciiTheme="minorBidi" w:hAnsiTheme="minorBidi" w:cstheme="minorBidi"/>
          <w:b/>
          <w:bCs/>
          <w:snapToGrid w:val="0"/>
          <w:sz w:val="22"/>
          <w:szCs w:val="22"/>
          <w:lang w:eastAsia="en-US"/>
        </w:rPr>
        <w:t>’</w:t>
      </w:r>
      <w:r w:rsidRPr="00B3626F">
        <w:rPr>
          <w:rFonts w:asciiTheme="minorBidi" w:hAnsiTheme="minorBidi" w:cstheme="minorBidi"/>
          <w:b/>
          <w:bCs/>
          <w:snapToGrid w:val="0"/>
          <w:sz w:val="22"/>
          <w:szCs w:val="22"/>
          <w:lang w:eastAsia="en-US"/>
        </w:rPr>
        <w:t>Organe d</w:t>
      </w:r>
      <w:r w:rsidR="00DE5604" w:rsidRPr="00B3626F">
        <w:rPr>
          <w:rFonts w:asciiTheme="minorBidi" w:hAnsiTheme="minorBidi" w:cstheme="minorBidi"/>
          <w:b/>
          <w:bCs/>
          <w:snapToGrid w:val="0"/>
          <w:sz w:val="22"/>
          <w:szCs w:val="22"/>
          <w:lang w:eastAsia="en-US"/>
        </w:rPr>
        <w:t>’</w:t>
      </w:r>
      <w:r w:rsidRPr="00B3626F">
        <w:rPr>
          <w:rFonts w:asciiTheme="minorBidi" w:hAnsiTheme="minorBidi" w:cstheme="minorBidi"/>
          <w:b/>
          <w:bCs/>
          <w:snapToGrid w:val="0"/>
          <w:sz w:val="22"/>
          <w:szCs w:val="22"/>
          <w:lang w:eastAsia="en-US"/>
        </w:rPr>
        <w:t>évaluation</w:t>
      </w:r>
    </w:p>
    <w:p w14:paraId="47494D41" w14:textId="00DD0584" w:rsidR="00EF31D9" w:rsidRPr="00B3626F" w:rsidRDefault="00EF31D9" w:rsidP="00EF31D9">
      <w:pPr>
        <w:keepLines/>
        <w:numPr>
          <w:ilvl w:val="0"/>
          <w:numId w:val="37"/>
        </w:numPr>
        <w:spacing w:before="120" w:after="120"/>
        <w:ind w:left="567" w:hanging="567"/>
        <w:jc w:val="both"/>
        <w:rPr>
          <w:rFonts w:asciiTheme="minorBidi" w:hAnsiTheme="minorBidi" w:cstheme="minorBidi"/>
          <w:snapToGrid w:val="0"/>
          <w:sz w:val="22"/>
          <w:szCs w:val="22"/>
          <w:lang w:eastAsia="en-US"/>
        </w:rPr>
      </w:pPr>
      <w:r w:rsidRPr="00B3626F">
        <w:rPr>
          <w:rFonts w:asciiTheme="minorBidi" w:hAnsiTheme="minorBidi" w:cstheme="minorBidi"/>
          <w:snapToGrid w:val="0"/>
          <w:sz w:val="22"/>
          <w:szCs w:val="22"/>
          <w:lang w:eastAsia="en-US"/>
        </w:rPr>
        <w:t>La composition de l</w:t>
      </w:r>
      <w:r w:rsidR="00DE5604" w:rsidRPr="00B3626F">
        <w:rPr>
          <w:rFonts w:asciiTheme="minorBidi" w:hAnsiTheme="minorBidi" w:cstheme="minorBidi"/>
          <w:snapToGrid w:val="0"/>
          <w:sz w:val="22"/>
          <w:szCs w:val="22"/>
          <w:lang w:eastAsia="en-US"/>
        </w:rPr>
        <w:t>’</w:t>
      </w:r>
      <w:r w:rsidRPr="00B3626F">
        <w:rPr>
          <w:rFonts w:asciiTheme="minorBidi" w:hAnsiTheme="minorBidi" w:cstheme="minorBidi"/>
          <w:snapToGrid w:val="0"/>
          <w:sz w:val="22"/>
          <w:szCs w:val="22"/>
          <w:lang w:eastAsia="en-US"/>
        </w:rPr>
        <w:t>Organe d</w:t>
      </w:r>
      <w:r w:rsidR="00DE5604" w:rsidRPr="00B3626F">
        <w:rPr>
          <w:rFonts w:asciiTheme="minorBidi" w:hAnsiTheme="minorBidi" w:cstheme="minorBidi"/>
          <w:snapToGrid w:val="0"/>
          <w:sz w:val="22"/>
          <w:szCs w:val="22"/>
          <w:lang w:eastAsia="en-US"/>
        </w:rPr>
        <w:t>’</w:t>
      </w:r>
      <w:r w:rsidRPr="00B3626F">
        <w:rPr>
          <w:rFonts w:asciiTheme="minorBidi" w:hAnsiTheme="minorBidi" w:cstheme="minorBidi"/>
          <w:snapToGrid w:val="0"/>
          <w:sz w:val="22"/>
          <w:szCs w:val="22"/>
          <w:lang w:eastAsia="en-US"/>
        </w:rPr>
        <w:t>évaluation reste inchangée, en conservant la méthodologie globale et basée sur le consensus, appliquée à chaque critère de chaque dossier de candidature, et conformément aux dispositions pertinentes énoncées dans les directives opérationnelles.</w:t>
      </w:r>
    </w:p>
    <w:p w14:paraId="6225873C" w14:textId="77777777" w:rsidR="00EF31D9" w:rsidRPr="00B3626F" w:rsidRDefault="00EF31D9" w:rsidP="00EF31D9">
      <w:pPr>
        <w:spacing w:before="240"/>
        <w:jc w:val="both"/>
        <w:rPr>
          <w:rFonts w:asciiTheme="minorBidi" w:hAnsiTheme="minorBidi" w:cstheme="minorBidi"/>
          <w:b/>
          <w:bCs/>
          <w:snapToGrid w:val="0"/>
          <w:sz w:val="22"/>
          <w:szCs w:val="22"/>
          <w:lang w:eastAsia="en-US"/>
        </w:rPr>
      </w:pPr>
      <w:r w:rsidRPr="00B3626F">
        <w:rPr>
          <w:rFonts w:asciiTheme="minorBidi" w:hAnsiTheme="minorBidi" w:cstheme="minorBidi"/>
          <w:b/>
          <w:bCs/>
          <w:snapToGrid w:val="0"/>
          <w:sz w:val="22"/>
          <w:szCs w:val="22"/>
          <w:lang w:eastAsia="en-US"/>
        </w:rPr>
        <w:t>Dossiers en attente</w:t>
      </w:r>
    </w:p>
    <w:p w14:paraId="54C1F3B8" w14:textId="19F2B56E" w:rsidR="00EF31D9" w:rsidRPr="00B3626F" w:rsidRDefault="00EF31D9" w:rsidP="00EF31D9">
      <w:pPr>
        <w:numPr>
          <w:ilvl w:val="0"/>
          <w:numId w:val="37"/>
        </w:numPr>
        <w:spacing w:before="120" w:after="120"/>
        <w:ind w:left="567" w:hanging="567"/>
        <w:jc w:val="both"/>
        <w:rPr>
          <w:rFonts w:asciiTheme="minorBidi" w:hAnsiTheme="minorBidi" w:cstheme="minorBidi"/>
          <w:snapToGrid w:val="0"/>
          <w:sz w:val="22"/>
          <w:szCs w:val="22"/>
          <w:lang w:eastAsia="en-US"/>
        </w:rPr>
      </w:pPr>
      <w:r w:rsidRPr="00B3626F">
        <w:rPr>
          <w:rFonts w:asciiTheme="minorBidi" w:hAnsiTheme="minorBidi" w:cstheme="minorBidi"/>
          <w:snapToGrid w:val="0"/>
          <w:sz w:val="22"/>
          <w:szCs w:val="22"/>
          <w:lang w:eastAsia="en-US"/>
        </w:rPr>
        <w:t>Les dossiers en attente depuis plus de quatre ans sont à retirer du « backlog », tout en invitant les États membres à soumettre des versions mises à jour qui doivent être traitées de manière expéditive dans le cadre du système de priorisation. Il est entendu que le retrait de dossiers en attente ne portera pas préjudice au mérite de l</w:t>
      </w:r>
      <w:r w:rsidR="00DE5604" w:rsidRPr="00B3626F">
        <w:rPr>
          <w:rFonts w:asciiTheme="minorBidi" w:hAnsiTheme="minorBidi" w:cstheme="minorBidi"/>
          <w:snapToGrid w:val="0"/>
          <w:sz w:val="22"/>
          <w:szCs w:val="22"/>
          <w:lang w:eastAsia="en-US"/>
        </w:rPr>
        <w:t>’</w:t>
      </w:r>
      <w:r w:rsidRPr="00B3626F">
        <w:rPr>
          <w:rFonts w:asciiTheme="minorBidi" w:hAnsiTheme="minorBidi" w:cstheme="minorBidi"/>
          <w:snapToGrid w:val="0"/>
          <w:sz w:val="22"/>
          <w:szCs w:val="22"/>
          <w:lang w:eastAsia="en-US"/>
        </w:rPr>
        <w:t>élément et qu</w:t>
      </w:r>
      <w:r w:rsidR="00DE5604" w:rsidRPr="00B3626F">
        <w:rPr>
          <w:rFonts w:asciiTheme="minorBidi" w:hAnsiTheme="minorBidi" w:cstheme="minorBidi"/>
          <w:snapToGrid w:val="0"/>
          <w:sz w:val="22"/>
          <w:szCs w:val="22"/>
          <w:lang w:eastAsia="en-US"/>
        </w:rPr>
        <w:t>’</w:t>
      </w:r>
      <w:r w:rsidRPr="00B3626F">
        <w:rPr>
          <w:rFonts w:asciiTheme="minorBidi" w:hAnsiTheme="minorBidi" w:cstheme="minorBidi"/>
          <w:snapToGrid w:val="0"/>
          <w:sz w:val="22"/>
          <w:szCs w:val="22"/>
          <w:lang w:eastAsia="en-US"/>
        </w:rPr>
        <w:t>il n</w:t>
      </w:r>
      <w:r w:rsidR="00DE5604" w:rsidRPr="00B3626F">
        <w:rPr>
          <w:rFonts w:asciiTheme="minorBidi" w:hAnsiTheme="minorBidi" w:cstheme="minorBidi"/>
          <w:snapToGrid w:val="0"/>
          <w:sz w:val="22"/>
          <w:szCs w:val="22"/>
          <w:lang w:eastAsia="en-US"/>
        </w:rPr>
        <w:t>’</w:t>
      </w:r>
      <w:r w:rsidRPr="00B3626F">
        <w:rPr>
          <w:rFonts w:asciiTheme="minorBidi" w:hAnsiTheme="minorBidi" w:cstheme="minorBidi"/>
          <w:snapToGrid w:val="0"/>
          <w:sz w:val="22"/>
          <w:szCs w:val="22"/>
          <w:lang w:eastAsia="en-US"/>
        </w:rPr>
        <w:t>influencera pas les résultats d</w:t>
      </w:r>
      <w:r w:rsidR="00DE5604" w:rsidRPr="00B3626F">
        <w:rPr>
          <w:rFonts w:asciiTheme="minorBidi" w:hAnsiTheme="minorBidi" w:cstheme="minorBidi"/>
          <w:snapToGrid w:val="0"/>
          <w:sz w:val="22"/>
          <w:szCs w:val="22"/>
          <w:lang w:eastAsia="en-US"/>
        </w:rPr>
        <w:t>’</w:t>
      </w:r>
      <w:r w:rsidRPr="00B3626F">
        <w:rPr>
          <w:rFonts w:asciiTheme="minorBidi" w:hAnsiTheme="minorBidi" w:cstheme="minorBidi"/>
          <w:snapToGrid w:val="0"/>
          <w:sz w:val="22"/>
          <w:szCs w:val="22"/>
          <w:lang w:eastAsia="en-US"/>
        </w:rPr>
        <w:t>une quelconque future évaluation.</w:t>
      </w:r>
    </w:p>
    <w:p w14:paraId="3416AF01" w14:textId="654493F3" w:rsidR="00A05B3C" w:rsidRPr="00B3626F" w:rsidRDefault="00A05B3C" w:rsidP="00A05B3C">
      <w:pPr>
        <w:spacing w:before="120" w:after="120"/>
        <w:ind w:left="567"/>
        <w:jc w:val="both"/>
        <w:rPr>
          <w:rFonts w:asciiTheme="minorBidi" w:hAnsiTheme="minorBidi" w:cstheme="minorBidi"/>
          <w:snapToGrid w:val="0"/>
          <w:sz w:val="22"/>
          <w:szCs w:val="22"/>
          <w:lang w:eastAsia="en-US"/>
        </w:rPr>
      </w:pPr>
    </w:p>
    <w:p w14:paraId="12ECC246" w14:textId="77777777" w:rsidR="00A05B3C" w:rsidRPr="00B3626F" w:rsidRDefault="00A05B3C" w:rsidP="00A05B3C">
      <w:pPr>
        <w:spacing w:before="120" w:after="120"/>
        <w:ind w:left="567"/>
        <w:jc w:val="both"/>
        <w:rPr>
          <w:rFonts w:asciiTheme="minorBidi" w:hAnsiTheme="minorBidi" w:cstheme="minorBidi"/>
          <w:snapToGrid w:val="0"/>
          <w:sz w:val="22"/>
          <w:szCs w:val="22"/>
          <w:lang w:eastAsia="en-US"/>
        </w:rPr>
      </w:pPr>
    </w:p>
    <w:p w14:paraId="2FAFBB67" w14:textId="77777777" w:rsidR="00EF31D9" w:rsidRPr="00B3626F" w:rsidRDefault="00EF31D9" w:rsidP="00EF31D9">
      <w:pPr>
        <w:pBdr>
          <w:top w:val="single" w:sz="4" w:space="1" w:color="auto"/>
          <w:left w:val="single" w:sz="4" w:space="4" w:color="auto"/>
          <w:bottom w:val="single" w:sz="4" w:space="1" w:color="auto"/>
          <w:right w:val="single" w:sz="4" w:space="4" w:color="auto"/>
        </w:pBdr>
        <w:shd w:val="clear" w:color="auto" w:fill="DBE5F1" w:themeFill="accent1" w:themeFillTint="33"/>
        <w:spacing w:before="360"/>
        <w:jc w:val="both"/>
        <w:rPr>
          <w:rFonts w:asciiTheme="minorBidi" w:hAnsiTheme="minorBidi" w:cstheme="minorBidi"/>
          <w:b/>
          <w:bCs/>
          <w:snapToGrid w:val="0"/>
          <w:sz w:val="22"/>
          <w:szCs w:val="22"/>
          <w:lang w:eastAsia="en-US"/>
        </w:rPr>
      </w:pPr>
      <w:r w:rsidRPr="00B3626F">
        <w:rPr>
          <w:rFonts w:asciiTheme="minorBidi" w:hAnsiTheme="minorBidi" w:cstheme="minorBidi"/>
          <w:b/>
          <w:bCs/>
          <w:snapToGrid w:val="0"/>
          <w:sz w:val="22"/>
          <w:szCs w:val="22"/>
          <w:lang w:eastAsia="en-US"/>
        </w:rPr>
        <w:lastRenderedPageBreak/>
        <w:t>Autres sujets</w:t>
      </w:r>
    </w:p>
    <w:p w14:paraId="03B524EE" w14:textId="47FE82D7" w:rsidR="00EF31D9" w:rsidRPr="00B3626F" w:rsidRDefault="00EF31D9" w:rsidP="00EF31D9">
      <w:pPr>
        <w:spacing w:before="240"/>
        <w:jc w:val="both"/>
        <w:rPr>
          <w:rFonts w:asciiTheme="minorBidi" w:hAnsiTheme="minorBidi" w:cstheme="minorBidi"/>
          <w:b/>
          <w:bCs/>
          <w:sz w:val="22"/>
          <w:szCs w:val="22"/>
        </w:rPr>
      </w:pPr>
      <w:r w:rsidRPr="00B3626F">
        <w:rPr>
          <w:rFonts w:asciiTheme="minorBidi" w:hAnsiTheme="minorBidi" w:cstheme="minorBidi"/>
          <w:b/>
          <w:bCs/>
          <w:sz w:val="22"/>
          <w:szCs w:val="22"/>
        </w:rPr>
        <w:t>« Réviser la priorité pour l</w:t>
      </w:r>
      <w:r w:rsidR="00DE5604" w:rsidRPr="00B3626F">
        <w:rPr>
          <w:rFonts w:asciiTheme="minorBidi" w:hAnsiTheme="minorBidi" w:cstheme="minorBidi"/>
          <w:b/>
          <w:bCs/>
          <w:sz w:val="22"/>
          <w:szCs w:val="22"/>
        </w:rPr>
        <w:t>’</w:t>
      </w:r>
      <w:r w:rsidRPr="00B3626F">
        <w:rPr>
          <w:rFonts w:asciiTheme="minorBidi" w:hAnsiTheme="minorBidi" w:cstheme="minorBidi"/>
          <w:b/>
          <w:bCs/>
          <w:sz w:val="22"/>
          <w:szCs w:val="22"/>
        </w:rPr>
        <w:t>examen des dossiers de candidature des États parties qui n</w:t>
      </w:r>
      <w:r w:rsidR="00DE5604" w:rsidRPr="00B3626F">
        <w:rPr>
          <w:rFonts w:asciiTheme="minorBidi" w:hAnsiTheme="minorBidi" w:cstheme="minorBidi"/>
          <w:b/>
          <w:bCs/>
          <w:sz w:val="22"/>
          <w:szCs w:val="22"/>
        </w:rPr>
        <w:t>’</w:t>
      </w:r>
      <w:r w:rsidRPr="00B3626F">
        <w:rPr>
          <w:rFonts w:asciiTheme="minorBidi" w:hAnsiTheme="minorBidi" w:cstheme="minorBidi"/>
          <w:b/>
          <w:bCs/>
          <w:sz w:val="22"/>
          <w:szCs w:val="22"/>
        </w:rPr>
        <w:t>ont pas rempli leurs obligations de rapport concernant la mise en œuvre de la Convention et le statut des éléments inscrits sur la Liste représentative ou sur la Liste de sauvegarde urgente »</w:t>
      </w:r>
    </w:p>
    <w:p w14:paraId="57566F03" w14:textId="3B5CD982" w:rsidR="00EF31D9" w:rsidRPr="00B3626F" w:rsidRDefault="00EF31D9" w:rsidP="00EF31D9">
      <w:pPr>
        <w:numPr>
          <w:ilvl w:val="0"/>
          <w:numId w:val="37"/>
        </w:numPr>
        <w:spacing w:before="120" w:after="120"/>
        <w:ind w:left="567" w:hanging="567"/>
        <w:jc w:val="both"/>
        <w:rPr>
          <w:rFonts w:asciiTheme="minorBidi" w:hAnsiTheme="minorBidi" w:cstheme="minorBidi"/>
          <w:snapToGrid w:val="0"/>
          <w:sz w:val="22"/>
          <w:szCs w:val="22"/>
          <w:lang w:eastAsia="en-US"/>
        </w:rPr>
      </w:pPr>
      <w:r w:rsidRPr="00B3626F">
        <w:rPr>
          <w:rFonts w:asciiTheme="minorBidi" w:hAnsiTheme="minorBidi" w:cstheme="minorBidi"/>
          <w:snapToGrid w:val="0"/>
          <w:sz w:val="22"/>
          <w:szCs w:val="22"/>
          <w:lang w:eastAsia="en-US"/>
        </w:rPr>
        <w:t>La proposition de réviser la priorité pour l</w:t>
      </w:r>
      <w:r w:rsidR="00DE5604" w:rsidRPr="00B3626F">
        <w:rPr>
          <w:rFonts w:asciiTheme="minorBidi" w:hAnsiTheme="minorBidi" w:cstheme="minorBidi"/>
          <w:snapToGrid w:val="0"/>
          <w:sz w:val="22"/>
          <w:szCs w:val="22"/>
          <w:lang w:eastAsia="en-US"/>
        </w:rPr>
        <w:t>’</w:t>
      </w:r>
      <w:r w:rsidRPr="00B3626F">
        <w:rPr>
          <w:rFonts w:asciiTheme="minorBidi" w:hAnsiTheme="minorBidi" w:cstheme="minorBidi"/>
          <w:snapToGrid w:val="0"/>
          <w:sz w:val="22"/>
          <w:szCs w:val="22"/>
          <w:lang w:eastAsia="en-US"/>
        </w:rPr>
        <w:t>examen des dossiers de candidature des États parties qui n</w:t>
      </w:r>
      <w:r w:rsidR="00DE5604" w:rsidRPr="00B3626F">
        <w:rPr>
          <w:rFonts w:asciiTheme="minorBidi" w:hAnsiTheme="minorBidi" w:cstheme="minorBidi"/>
          <w:snapToGrid w:val="0"/>
          <w:sz w:val="22"/>
          <w:szCs w:val="22"/>
          <w:lang w:eastAsia="en-US"/>
        </w:rPr>
        <w:t>’</w:t>
      </w:r>
      <w:r w:rsidRPr="00B3626F">
        <w:rPr>
          <w:rFonts w:asciiTheme="minorBidi" w:hAnsiTheme="minorBidi" w:cstheme="minorBidi"/>
          <w:snapToGrid w:val="0"/>
          <w:sz w:val="22"/>
          <w:szCs w:val="22"/>
          <w:lang w:eastAsia="en-US"/>
        </w:rPr>
        <w:t>ont pas rempli leurs obligations de rapport peut être reconsidérée à un stade ultérieur, en particulier si l</w:t>
      </w:r>
      <w:r w:rsidR="00DE5604" w:rsidRPr="00B3626F">
        <w:rPr>
          <w:rFonts w:asciiTheme="minorBidi" w:hAnsiTheme="minorBidi" w:cstheme="minorBidi"/>
          <w:snapToGrid w:val="0"/>
          <w:sz w:val="22"/>
          <w:szCs w:val="22"/>
          <w:lang w:eastAsia="en-US"/>
        </w:rPr>
        <w:t>’</w:t>
      </w:r>
      <w:r w:rsidRPr="00B3626F">
        <w:rPr>
          <w:rFonts w:asciiTheme="minorBidi" w:hAnsiTheme="minorBidi" w:cstheme="minorBidi"/>
          <w:snapToGrid w:val="0"/>
          <w:sz w:val="22"/>
          <w:szCs w:val="22"/>
          <w:lang w:eastAsia="en-US"/>
        </w:rPr>
        <w:t>amélioration des taux de soumission des rapports périodiques au cours des cycles récents ne peut être maintenue.</w:t>
      </w:r>
    </w:p>
    <w:p w14:paraId="29EDBAE8" w14:textId="50EF46B4" w:rsidR="00EF31D9" w:rsidRPr="00B3626F" w:rsidRDefault="00EF31D9" w:rsidP="00EF31D9">
      <w:pPr>
        <w:spacing w:before="240"/>
        <w:jc w:val="both"/>
        <w:rPr>
          <w:rFonts w:asciiTheme="minorBidi" w:hAnsiTheme="minorBidi" w:cstheme="minorBidi"/>
          <w:b/>
          <w:bCs/>
          <w:sz w:val="22"/>
          <w:szCs w:val="22"/>
        </w:rPr>
      </w:pPr>
      <w:r w:rsidRPr="00B3626F">
        <w:rPr>
          <w:rFonts w:asciiTheme="minorBidi" w:hAnsiTheme="minorBidi" w:cstheme="minorBidi"/>
          <w:b/>
          <w:bCs/>
          <w:sz w:val="22"/>
          <w:szCs w:val="22"/>
        </w:rPr>
        <w:t>« </w:t>
      </w:r>
      <w:r w:rsidRPr="00B3626F">
        <w:rPr>
          <w:rFonts w:asciiTheme="minorBidi" w:hAnsiTheme="minorBidi" w:cstheme="minorBidi"/>
          <w:b/>
          <w:bCs/>
          <w:snapToGrid w:val="0"/>
          <w:sz w:val="22"/>
          <w:szCs w:val="22"/>
          <w:lang w:eastAsia="en-US"/>
        </w:rPr>
        <w:t>Considérer</w:t>
      </w:r>
      <w:r w:rsidRPr="00B3626F">
        <w:rPr>
          <w:rFonts w:asciiTheme="minorBidi" w:hAnsiTheme="minorBidi" w:cstheme="minorBidi"/>
          <w:b/>
          <w:bCs/>
          <w:sz w:val="22"/>
          <w:szCs w:val="22"/>
        </w:rPr>
        <w:t xml:space="preserve"> la possibilité d</w:t>
      </w:r>
      <w:r w:rsidR="00DE5604" w:rsidRPr="00B3626F">
        <w:rPr>
          <w:rFonts w:asciiTheme="minorBidi" w:hAnsiTheme="minorBidi" w:cstheme="minorBidi"/>
          <w:b/>
          <w:bCs/>
          <w:sz w:val="22"/>
          <w:szCs w:val="22"/>
        </w:rPr>
        <w:t>’</w:t>
      </w:r>
      <w:r w:rsidRPr="00B3626F">
        <w:rPr>
          <w:rFonts w:asciiTheme="minorBidi" w:hAnsiTheme="minorBidi" w:cstheme="minorBidi"/>
          <w:b/>
          <w:bCs/>
          <w:sz w:val="22"/>
          <w:szCs w:val="22"/>
        </w:rPr>
        <w:t>obtenir des informations supplémentaires concernant les candidatures en utilisant un processus de dialogue avec les ONG accréditées et les communautés, les groupes et, le cas échéant, les individus concernés »</w:t>
      </w:r>
    </w:p>
    <w:p w14:paraId="20281094" w14:textId="4C999B0E" w:rsidR="00EF31D9" w:rsidRPr="00B3626F" w:rsidRDefault="00EF31D9" w:rsidP="00EF31D9">
      <w:pPr>
        <w:numPr>
          <w:ilvl w:val="0"/>
          <w:numId w:val="37"/>
        </w:numPr>
        <w:spacing w:before="120" w:after="120"/>
        <w:ind w:left="567" w:hanging="567"/>
        <w:jc w:val="both"/>
        <w:rPr>
          <w:rFonts w:asciiTheme="minorBidi" w:hAnsiTheme="minorBidi" w:cstheme="minorBidi"/>
          <w:snapToGrid w:val="0"/>
          <w:sz w:val="22"/>
          <w:szCs w:val="22"/>
          <w:lang w:eastAsia="en-US"/>
        </w:rPr>
      </w:pPr>
      <w:r w:rsidRPr="00B3626F">
        <w:rPr>
          <w:rFonts w:asciiTheme="minorBidi" w:hAnsiTheme="minorBidi" w:cstheme="minorBidi"/>
          <w:snapToGrid w:val="0"/>
          <w:sz w:val="22"/>
          <w:szCs w:val="22"/>
          <w:lang w:eastAsia="en-US"/>
        </w:rPr>
        <w:t>Les questions couvertes par ce sujet doivent être intégrées dans la nouvelle initiative sur la mise en œuvre plus large de l</w:t>
      </w:r>
      <w:r w:rsidR="00DE5604" w:rsidRPr="00B3626F">
        <w:rPr>
          <w:rFonts w:asciiTheme="minorBidi" w:hAnsiTheme="minorBidi" w:cstheme="minorBidi"/>
          <w:snapToGrid w:val="0"/>
          <w:sz w:val="22"/>
          <w:szCs w:val="22"/>
          <w:lang w:eastAsia="en-US"/>
        </w:rPr>
        <w:t>’</w:t>
      </w:r>
      <w:r w:rsidRPr="00B3626F">
        <w:rPr>
          <w:rFonts w:asciiTheme="minorBidi" w:hAnsiTheme="minorBidi" w:cstheme="minorBidi"/>
          <w:snapToGrid w:val="0"/>
          <w:sz w:val="22"/>
          <w:szCs w:val="22"/>
          <w:lang w:eastAsia="en-US"/>
        </w:rPr>
        <w:t xml:space="preserve">article 18 de la Convention de 2003, conformément à la décision </w:t>
      </w:r>
      <w:hyperlink r:id="rId27" w:history="1">
        <w:r w:rsidRPr="00B3626F">
          <w:rPr>
            <w:rStyle w:val="Lienhypertexte"/>
            <w:rFonts w:asciiTheme="minorBidi" w:hAnsiTheme="minorBidi" w:cstheme="minorBidi"/>
            <w:snapToGrid w:val="0"/>
            <w:sz w:val="22"/>
            <w:szCs w:val="22"/>
            <w:lang w:eastAsia="en-US"/>
          </w:rPr>
          <w:t>16.COM 14</w:t>
        </w:r>
      </w:hyperlink>
      <w:r w:rsidRPr="00B3626F">
        <w:rPr>
          <w:rFonts w:asciiTheme="minorBidi" w:hAnsiTheme="minorBidi" w:cstheme="minorBidi"/>
          <w:snapToGrid w:val="0"/>
          <w:sz w:val="22"/>
          <w:szCs w:val="22"/>
          <w:lang w:eastAsia="en-US"/>
        </w:rPr>
        <w:t xml:space="preserve"> (paragraphe 9).</w:t>
      </w:r>
    </w:p>
    <w:p w14:paraId="3C10BD61" w14:textId="77777777" w:rsidR="00EF31D9" w:rsidRPr="00B3626F" w:rsidRDefault="00EF31D9" w:rsidP="00EF31D9">
      <w:pPr>
        <w:spacing w:before="240"/>
        <w:jc w:val="both"/>
        <w:rPr>
          <w:rFonts w:asciiTheme="minorBidi" w:hAnsiTheme="minorBidi" w:cstheme="minorBidi"/>
          <w:b/>
          <w:bCs/>
          <w:sz w:val="22"/>
          <w:szCs w:val="22"/>
        </w:rPr>
      </w:pPr>
      <w:r w:rsidRPr="00B3626F">
        <w:rPr>
          <w:rFonts w:asciiTheme="minorBidi" w:hAnsiTheme="minorBidi" w:cstheme="minorBidi"/>
          <w:b/>
          <w:bCs/>
          <w:sz w:val="22"/>
          <w:szCs w:val="22"/>
        </w:rPr>
        <w:t xml:space="preserve">« La </w:t>
      </w:r>
      <w:r w:rsidRPr="00B3626F">
        <w:rPr>
          <w:rFonts w:asciiTheme="minorBidi" w:hAnsiTheme="minorBidi" w:cstheme="minorBidi"/>
          <w:b/>
          <w:bCs/>
          <w:snapToGrid w:val="0"/>
          <w:sz w:val="22"/>
          <w:szCs w:val="22"/>
          <w:lang w:eastAsia="en-US"/>
        </w:rPr>
        <w:t>procédure</w:t>
      </w:r>
      <w:r w:rsidRPr="00B3626F">
        <w:rPr>
          <w:rFonts w:asciiTheme="minorBidi" w:hAnsiTheme="minorBidi" w:cstheme="minorBidi"/>
          <w:b/>
          <w:bCs/>
          <w:sz w:val="22"/>
          <w:szCs w:val="22"/>
        </w:rPr>
        <w:t xml:space="preserve"> nécessaire pour examiner les cas exceptionnels »</w:t>
      </w:r>
    </w:p>
    <w:p w14:paraId="693E143E" w14:textId="706FFC7A" w:rsidR="00EF31D9" w:rsidRPr="00B3626F" w:rsidRDefault="00EF31D9" w:rsidP="00EF31D9">
      <w:pPr>
        <w:numPr>
          <w:ilvl w:val="0"/>
          <w:numId w:val="37"/>
        </w:numPr>
        <w:spacing w:before="120" w:after="120"/>
        <w:ind w:left="567" w:hanging="567"/>
        <w:jc w:val="both"/>
        <w:rPr>
          <w:rFonts w:asciiTheme="minorBidi" w:hAnsiTheme="minorBidi" w:cstheme="minorBidi"/>
          <w:sz w:val="22"/>
          <w:szCs w:val="22"/>
        </w:rPr>
      </w:pPr>
      <w:r w:rsidRPr="00B3626F">
        <w:rPr>
          <w:rFonts w:asciiTheme="minorBidi" w:hAnsiTheme="minorBidi" w:cstheme="minorBidi"/>
          <w:sz w:val="22"/>
          <w:szCs w:val="22"/>
        </w:rPr>
        <w:t>En raison de l</w:t>
      </w:r>
      <w:r w:rsidR="00DE5604" w:rsidRPr="00B3626F">
        <w:rPr>
          <w:rFonts w:asciiTheme="minorBidi" w:hAnsiTheme="minorBidi" w:cstheme="minorBidi"/>
          <w:sz w:val="22"/>
          <w:szCs w:val="22"/>
        </w:rPr>
        <w:t>’</w:t>
      </w:r>
      <w:r w:rsidRPr="00B3626F">
        <w:rPr>
          <w:rFonts w:asciiTheme="minorBidi" w:hAnsiTheme="minorBidi" w:cstheme="minorBidi"/>
          <w:sz w:val="22"/>
          <w:szCs w:val="22"/>
        </w:rPr>
        <w:t>augmentation du nombre de dossiers devant être examinés par le Comité qui résulte d</w:t>
      </w:r>
      <w:r w:rsidR="00DE5604" w:rsidRPr="00B3626F">
        <w:rPr>
          <w:rFonts w:asciiTheme="minorBidi" w:hAnsiTheme="minorBidi" w:cstheme="minorBidi"/>
          <w:sz w:val="22"/>
          <w:szCs w:val="22"/>
        </w:rPr>
        <w:t>’</w:t>
      </w:r>
      <w:r w:rsidRPr="00B3626F">
        <w:rPr>
          <w:rFonts w:asciiTheme="minorBidi" w:hAnsiTheme="minorBidi" w:cstheme="minorBidi"/>
          <w:sz w:val="22"/>
          <w:szCs w:val="22"/>
        </w:rPr>
        <w:t>un élément imprévu pouvant justifier un traitement accéléré, le groupe de travail recommande au Comité que tout cas exceptionnel augmentant le plafond annuel soit examiné par le Comité, après la discussion initiale du Bureau du Comité dès que possible, sur la base des critères agréés, étant entendu que cela ne concerne pas les cas relevant de « l</w:t>
      </w:r>
      <w:r w:rsidR="00DE5604" w:rsidRPr="00B3626F">
        <w:rPr>
          <w:rFonts w:asciiTheme="minorBidi" w:hAnsiTheme="minorBidi" w:cstheme="minorBidi"/>
          <w:sz w:val="22"/>
          <w:szCs w:val="22"/>
        </w:rPr>
        <w:t>’</w:t>
      </w:r>
      <w:r w:rsidRPr="00B3626F">
        <w:rPr>
          <w:rFonts w:asciiTheme="minorBidi" w:hAnsiTheme="minorBidi" w:cstheme="minorBidi"/>
          <w:sz w:val="22"/>
          <w:szCs w:val="22"/>
        </w:rPr>
        <w:t>extrême urgence » prévus à l</w:t>
      </w:r>
      <w:r w:rsidR="00DE5604" w:rsidRPr="00B3626F">
        <w:rPr>
          <w:rFonts w:asciiTheme="minorBidi" w:hAnsiTheme="minorBidi" w:cstheme="minorBidi"/>
          <w:sz w:val="22"/>
          <w:szCs w:val="22"/>
        </w:rPr>
        <w:t>’</w:t>
      </w:r>
      <w:r w:rsidRPr="00B3626F">
        <w:rPr>
          <w:rFonts w:asciiTheme="minorBidi" w:hAnsiTheme="minorBidi" w:cstheme="minorBidi"/>
          <w:sz w:val="22"/>
          <w:szCs w:val="22"/>
        </w:rPr>
        <w:t>article 17.3 de la Convention. En outre, le groupe de travail invite le Secrétariat à proposer d</w:t>
      </w:r>
      <w:r w:rsidR="00DE5604" w:rsidRPr="00B3626F">
        <w:rPr>
          <w:rFonts w:asciiTheme="minorBidi" w:hAnsiTheme="minorBidi" w:cstheme="minorBidi"/>
          <w:sz w:val="22"/>
          <w:szCs w:val="22"/>
        </w:rPr>
        <w:t>’</w:t>
      </w:r>
      <w:r w:rsidRPr="00B3626F">
        <w:rPr>
          <w:rFonts w:asciiTheme="minorBidi" w:hAnsiTheme="minorBidi" w:cstheme="minorBidi"/>
          <w:sz w:val="22"/>
          <w:szCs w:val="22"/>
        </w:rPr>
        <w:t>éventuels critères pour définir les cas exceptionnels.</w:t>
      </w:r>
    </w:p>
    <w:p w14:paraId="0D9B7ED8" w14:textId="45F69E23" w:rsidR="00EF31D9" w:rsidRPr="00B3626F" w:rsidRDefault="00EF31D9" w:rsidP="00EF31D9">
      <w:pPr>
        <w:spacing w:before="240"/>
        <w:jc w:val="both"/>
        <w:rPr>
          <w:rFonts w:asciiTheme="minorBidi" w:hAnsiTheme="minorBidi" w:cstheme="minorBidi"/>
          <w:b/>
          <w:bCs/>
          <w:sz w:val="22"/>
          <w:szCs w:val="22"/>
        </w:rPr>
      </w:pPr>
      <w:r w:rsidRPr="00B3626F">
        <w:rPr>
          <w:rFonts w:asciiTheme="minorBidi" w:hAnsiTheme="minorBidi" w:cstheme="minorBidi"/>
          <w:b/>
          <w:bCs/>
          <w:sz w:val="22"/>
          <w:szCs w:val="22"/>
        </w:rPr>
        <w:t>« Les réflexions sur la possibilité d</w:t>
      </w:r>
      <w:r w:rsidR="00DE5604" w:rsidRPr="00B3626F">
        <w:rPr>
          <w:rFonts w:asciiTheme="minorBidi" w:hAnsiTheme="minorBidi" w:cstheme="minorBidi"/>
          <w:b/>
          <w:bCs/>
          <w:sz w:val="22"/>
          <w:szCs w:val="22"/>
        </w:rPr>
        <w:t>’</w:t>
      </w:r>
      <w:r w:rsidRPr="00B3626F">
        <w:rPr>
          <w:rFonts w:asciiTheme="minorBidi" w:hAnsiTheme="minorBidi" w:cstheme="minorBidi"/>
          <w:b/>
          <w:bCs/>
          <w:sz w:val="22"/>
          <w:szCs w:val="22"/>
        </w:rPr>
        <w:t>intégrer des procédures d</w:t>
      </w:r>
      <w:r w:rsidR="00DE5604" w:rsidRPr="00B3626F">
        <w:rPr>
          <w:rFonts w:asciiTheme="minorBidi" w:hAnsiTheme="minorBidi" w:cstheme="minorBidi"/>
          <w:b/>
          <w:bCs/>
          <w:sz w:val="22"/>
          <w:szCs w:val="22"/>
        </w:rPr>
        <w:t>’</w:t>
      </w:r>
      <w:r w:rsidRPr="00B3626F">
        <w:rPr>
          <w:rFonts w:asciiTheme="minorBidi" w:hAnsiTheme="minorBidi" w:cstheme="minorBidi"/>
          <w:b/>
          <w:bCs/>
          <w:sz w:val="22"/>
          <w:szCs w:val="22"/>
        </w:rPr>
        <w:t>évaluation préliminaires au processus en amont existant »</w:t>
      </w:r>
    </w:p>
    <w:p w14:paraId="7471FEF1" w14:textId="2CA177CA" w:rsidR="00CD108B" w:rsidRPr="00B3626F" w:rsidRDefault="00EF31D9" w:rsidP="00EF31D9">
      <w:pPr>
        <w:numPr>
          <w:ilvl w:val="0"/>
          <w:numId w:val="37"/>
        </w:numPr>
        <w:spacing w:before="120" w:after="120"/>
        <w:ind w:left="567" w:hanging="567"/>
        <w:jc w:val="both"/>
        <w:rPr>
          <w:rFonts w:asciiTheme="minorBidi" w:eastAsiaTheme="minorEastAsia" w:hAnsiTheme="minorBidi" w:cstheme="minorBidi"/>
          <w:sz w:val="22"/>
          <w:szCs w:val="22"/>
        </w:rPr>
        <w:sectPr w:rsidR="00CD108B" w:rsidRPr="00B3626F" w:rsidSect="00655736">
          <w:headerReference w:type="even" r:id="rId28"/>
          <w:headerReference w:type="default" r:id="rId29"/>
          <w:headerReference w:type="first" r:id="rId30"/>
          <w:pgSz w:w="11906" w:h="16838" w:code="9"/>
          <w:pgMar w:top="1418" w:right="1134" w:bottom="1134" w:left="1134" w:header="397" w:footer="284" w:gutter="0"/>
          <w:cols w:space="708"/>
          <w:titlePg/>
          <w:docGrid w:linePitch="360"/>
        </w:sectPr>
      </w:pPr>
      <w:r w:rsidRPr="00B3626F">
        <w:rPr>
          <w:rFonts w:asciiTheme="minorBidi" w:eastAsiaTheme="minorEastAsia" w:hAnsiTheme="minorBidi" w:cstheme="minorBidi"/>
          <w:sz w:val="22"/>
          <w:szCs w:val="22"/>
        </w:rPr>
        <w:t>L</w:t>
      </w:r>
      <w:r w:rsidR="00DE5604" w:rsidRPr="00B3626F">
        <w:rPr>
          <w:rFonts w:asciiTheme="minorBidi" w:eastAsiaTheme="minorEastAsia" w:hAnsiTheme="minorBidi" w:cstheme="minorBidi"/>
          <w:sz w:val="22"/>
          <w:szCs w:val="22"/>
        </w:rPr>
        <w:t>’</w:t>
      </w:r>
      <w:r w:rsidRPr="00B3626F">
        <w:rPr>
          <w:rFonts w:asciiTheme="minorBidi" w:eastAsiaTheme="minorEastAsia" w:hAnsiTheme="minorBidi" w:cstheme="minorBidi"/>
          <w:sz w:val="22"/>
          <w:szCs w:val="22"/>
        </w:rPr>
        <w:t>efficacité du processus de dialogue, tel que récemment adopté par la huitième session de l</w:t>
      </w:r>
      <w:r w:rsidR="00DE5604" w:rsidRPr="00B3626F">
        <w:rPr>
          <w:rFonts w:asciiTheme="minorBidi" w:eastAsiaTheme="minorEastAsia" w:hAnsiTheme="minorBidi" w:cstheme="minorBidi"/>
          <w:sz w:val="22"/>
          <w:szCs w:val="22"/>
        </w:rPr>
        <w:t>’</w:t>
      </w:r>
      <w:r w:rsidRPr="00B3626F">
        <w:rPr>
          <w:rFonts w:asciiTheme="minorBidi" w:eastAsiaTheme="minorEastAsia" w:hAnsiTheme="minorBidi" w:cstheme="minorBidi"/>
          <w:sz w:val="22"/>
          <w:szCs w:val="22"/>
        </w:rPr>
        <w:t xml:space="preserve">Assemblée </w:t>
      </w:r>
      <w:r w:rsidRPr="00B3626F">
        <w:rPr>
          <w:rFonts w:asciiTheme="minorBidi" w:hAnsiTheme="minorBidi" w:cstheme="minorBidi"/>
          <w:snapToGrid w:val="0"/>
          <w:sz w:val="22"/>
          <w:szCs w:val="22"/>
          <w:lang w:eastAsia="en-US"/>
        </w:rPr>
        <w:t>générale</w:t>
      </w:r>
      <w:r w:rsidRPr="00B3626F">
        <w:rPr>
          <w:rFonts w:asciiTheme="minorBidi" w:eastAsiaTheme="minorEastAsia" w:hAnsiTheme="minorBidi" w:cstheme="minorBidi"/>
          <w:sz w:val="22"/>
          <w:szCs w:val="22"/>
        </w:rPr>
        <w:t xml:space="preserve">, doit </w:t>
      </w:r>
      <w:r w:rsidRPr="00B3626F">
        <w:rPr>
          <w:rFonts w:asciiTheme="minorBidi" w:hAnsiTheme="minorBidi" w:cstheme="minorBidi"/>
          <w:sz w:val="22"/>
          <w:szCs w:val="22"/>
        </w:rPr>
        <w:t>continuer</w:t>
      </w:r>
      <w:r w:rsidRPr="00B3626F">
        <w:rPr>
          <w:rFonts w:asciiTheme="minorBidi" w:eastAsiaTheme="minorEastAsia" w:hAnsiTheme="minorBidi" w:cstheme="minorBidi"/>
          <w:sz w:val="22"/>
          <w:szCs w:val="22"/>
        </w:rPr>
        <w:t xml:space="preserve"> à être </w:t>
      </w:r>
      <w:r w:rsidRPr="00B3626F">
        <w:rPr>
          <w:rFonts w:asciiTheme="minorBidi" w:hAnsiTheme="minorBidi" w:cstheme="minorBidi"/>
          <w:snapToGrid w:val="0"/>
          <w:sz w:val="22"/>
          <w:szCs w:val="22"/>
          <w:lang w:eastAsia="en-US"/>
        </w:rPr>
        <w:t>renforcée</w:t>
      </w:r>
      <w:r w:rsidRPr="00B3626F">
        <w:rPr>
          <w:rFonts w:asciiTheme="minorBidi" w:eastAsiaTheme="minorEastAsia" w:hAnsiTheme="minorBidi" w:cstheme="minorBidi"/>
          <w:sz w:val="22"/>
          <w:szCs w:val="22"/>
        </w:rPr>
        <w:t xml:space="preserve"> et observée.</w:t>
      </w:r>
    </w:p>
    <w:p w14:paraId="1313D03C" w14:textId="00CFE883" w:rsidR="00C21E5A" w:rsidRPr="00B3626F" w:rsidRDefault="00C21E5A" w:rsidP="00C21E5A">
      <w:pPr>
        <w:jc w:val="center"/>
        <w:rPr>
          <w:rFonts w:asciiTheme="minorHAnsi" w:hAnsiTheme="minorHAnsi" w:cstheme="minorHAnsi"/>
          <w:b/>
          <w:bCs/>
        </w:rPr>
      </w:pPr>
      <w:bookmarkStart w:id="1" w:name="Annex_2"/>
      <w:bookmarkEnd w:id="1"/>
      <w:r w:rsidRPr="00B3626F">
        <w:rPr>
          <w:rFonts w:asciiTheme="minorHAnsi" w:hAnsiTheme="minorHAnsi"/>
          <w:b/>
        </w:rPr>
        <w:lastRenderedPageBreak/>
        <w:t>Annexe II</w:t>
      </w:r>
    </w:p>
    <w:p w14:paraId="7A2842EB" w14:textId="389ABE81" w:rsidR="00C21E5A" w:rsidRPr="00B3626F" w:rsidRDefault="00E14E32" w:rsidP="00C21E5A">
      <w:pPr>
        <w:spacing w:before="240" w:after="360"/>
        <w:jc w:val="center"/>
        <w:rPr>
          <w:rFonts w:asciiTheme="minorHAnsi" w:hAnsiTheme="minorHAnsi" w:cstheme="minorHAnsi"/>
          <w:b/>
          <w:bCs/>
        </w:rPr>
      </w:pPr>
      <w:r w:rsidRPr="00B3626F">
        <w:rPr>
          <w:rFonts w:asciiTheme="minorHAnsi" w:hAnsiTheme="minorHAnsi"/>
          <w:b/>
        </w:rPr>
        <w:t>Proposition d</w:t>
      </w:r>
      <w:r w:rsidR="00DE5604" w:rsidRPr="00B3626F">
        <w:rPr>
          <w:rFonts w:asciiTheme="minorHAnsi" w:hAnsiTheme="minorHAnsi"/>
          <w:b/>
        </w:rPr>
        <w:t>’</w:t>
      </w:r>
      <w:r w:rsidRPr="00B3626F">
        <w:rPr>
          <w:rFonts w:asciiTheme="minorHAnsi" w:hAnsiTheme="minorHAnsi"/>
          <w:b/>
        </w:rPr>
        <w:t>a</w:t>
      </w:r>
      <w:r w:rsidR="00C21E5A" w:rsidRPr="00B3626F">
        <w:rPr>
          <w:rFonts w:asciiTheme="minorHAnsi" w:hAnsiTheme="minorHAnsi"/>
          <w:b/>
        </w:rPr>
        <w:t xml:space="preserve">mendements </w:t>
      </w:r>
      <w:r w:rsidR="003F37C9" w:rsidRPr="00B3626F">
        <w:rPr>
          <w:rFonts w:asciiTheme="minorHAnsi" w:hAnsiTheme="minorHAnsi"/>
          <w:b/>
        </w:rPr>
        <w:t>aux</w:t>
      </w:r>
      <w:r w:rsidR="00C21E5A" w:rsidRPr="00B3626F">
        <w:rPr>
          <w:rFonts w:asciiTheme="minorHAnsi" w:hAnsiTheme="minorHAnsi"/>
          <w:b/>
        </w:rPr>
        <w:t xml:space="preserve"> </w:t>
      </w:r>
      <w:r w:rsidR="00AD0674" w:rsidRPr="00B3626F">
        <w:rPr>
          <w:rFonts w:asciiTheme="minorHAnsi" w:hAnsiTheme="minorHAnsi"/>
          <w:b/>
        </w:rPr>
        <w:t>d</w:t>
      </w:r>
      <w:r w:rsidR="00C21E5A" w:rsidRPr="00B3626F">
        <w:rPr>
          <w:rFonts w:asciiTheme="minorHAnsi" w:hAnsiTheme="minorHAnsi"/>
          <w:b/>
        </w:rPr>
        <w:t>irectives opérationnelles pour la mise en œuvre de la Convention</w:t>
      </w:r>
    </w:p>
    <w:p w14:paraId="7A3E9F53" w14:textId="238B23EC" w:rsidR="00344E3D" w:rsidRPr="00B3626F" w:rsidRDefault="00344E3D" w:rsidP="00BD61EE">
      <w:pPr>
        <w:spacing w:before="120" w:after="120"/>
        <w:jc w:val="both"/>
        <w:rPr>
          <w:rFonts w:asciiTheme="minorHAnsi" w:hAnsiTheme="minorHAnsi" w:cstheme="minorHAnsi"/>
          <w:sz w:val="20"/>
          <w:szCs w:val="20"/>
        </w:rPr>
      </w:pPr>
      <w:r w:rsidRPr="00B3626F">
        <w:rPr>
          <w:rFonts w:asciiTheme="minorHAnsi" w:hAnsiTheme="minorHAnsi"/>
          <w:b/>
          <w:sz w:val="20"/>
        </w:rPr>
        <w:t>Remarque 1 </w:t>
      </w:r>
      <w:r w:rsidRPr="00B3626F">
        <w:rPr>
          <w:rFonts w:asciiTheme="minorHAnsi" w:hAnsiTheme="minorHAnsi"/>
          <w:sz w:val="20"/>
        </w:rPr>
        <w:t>: Les amendements proposés dans ce tableau concernent les Recommandations 1, 2, 4 et 7 d</w:t>
      </w:r>
      <w:r w:rsidR="00603352" w:rsidRPr="00B3626F">
        <w:rPr>
          <w:rFonts w:asciiTheme="minorHAnsi" w:hAnsiTheme="minorHAnsi"/>
          <w:sz w:val="20"/>
        </w:rPr>
        <w:t xml:space="preserve">e la </w:t>
      </w:r>
      <w:r w:rsidR="00AD0674" w:rsidRPr="00B3626F">
        <w:rPr>
          <w:rFonts w:asciiTheme="minorHAnsi" w:hAnsiTheme="minorHAnsi"/>
          <w:sz w:val="20"/>
        </w:rPr>
        <w:t>p</w:t>
      </w:r>
      <w:r w:rsidR="00603352" w:rsidRPr="00B3626F">
        <w:rPr>
          <w:rFonts w:asciiTheme="minorHAnsi" w:hAnsiTheme="minorHAnsi"/>
          <w:sz w:val="20"/>
        </w:rPr>
        <w:t>artie III d</w:t>
      </w:r>
      <w:r w:rsidRPr="00B3626F">
        <w:rPr>
          <w:rFonts w:asciiTheme="minorHAnsi" w:hAnsiTheme="minorHAnsi"/>
          <w:sz w:val="20"/>
        </w:rPr>
        <w:t>u groupe de travail intergouvernemental à composition non limitée (</w:t>
      </w:r>
      <w:r w:rsidR="00603352" w:rsidRPr="00B3626F">
        <w:rPr>
          <w:rFonts w:asciiTheme="minorHAnsi" w:hAnsiTheme="minorHAnsi"/>
          <w:sz w:val="20"/>
        </w:rPr>
        <w:t xml:space="preserve">les </w:t>
      </w:r>
      <w:r w:rsidRPr="00B3626F">
        <w:rPr>
          <w:rFonts w:asciiTheme="minorHAnsi" w:hAnsiTheme="minorHAnsi"/>
          <w:sz w:val="20"/>
        </w:rPr>
        <w:t>25 et 26 avril 2022).</w:t>
      </w:r>
    </w:p>
    <w:p w14:paraId="4F73384D" w14:textId="2AF24EFF" w:rsidR="00344E3D" w:rsidRPr="00B3626F" w:rsidRDefault="00344E3D" w:rsidP="00344E3D">
      <w:pPr>
        <w:spacing w:before="240" w:after="360"/>
        <w:jc w:val="both"/>
        <w:rPr>
          <w:rFonts w:asciiTheme="minorHAnsi" w:hAnsiTheme="minorHAnsi" w:cstheme="minorHAnsi"/>
          <w:b/>
          <w:bCs/>
          <w:sz w:val="20"/>
          <w:szCs w:val="20"/>
        </w:rPr>
      </w:pPr>
      <w:r w:rsidRPr="00B3626F">
        <w:rPr>
          <w:rFonts w:asciiTheme="minorHAnsi" w:hAnsiTheme="minorHAnsi"/>
          <w:b/>
          <w:sz w:val="20"/>
        </w:rPr>
        <w:t>Remarque 2 </w:t>
      </w:r>
      <w:r w:rsidRPr="00B3626F">
        <w:rPr>
          <w:rFonts w:asciiTheme="minorHAnsi" w:hAnsiTheme="minorHAnsi"/>
          <w:sz w:val="20"/>
        </w:rPr>
        <w:t>: Les textes des dispositions qui apparaissent grisés dans la colonne droit</w:t>
      </w:r>
      <w:r w:rsidR="00AD0674" w:rsidRPr="00B3626F">
        <w:rPr>
          <w:rFonts w:asciiTheme="minorHAnsi" w:hAnsiTheme="minorHAnsi"/>
          <w:sz w:val="20"/>
        </w:rPr>
        <w:t>e</w:t>
      </w:r>
      <w:r w:rsidRPr="00B3626F">
        <w:rPr>
          <w:rFonts w:asciiTheme="minorHAnsi" w:hAnsiTheme="minorHAnsi"/>
          <w:sz w:val="20"/>
        </w:rPr>
        <w:t xml:space="preserve"> sont des propositions de révision des </w:t>
      </w:r>
      <w:r w:rsidR="00AD0674" w:rsidRPr="00B3626F">
        <w:rPr>
          <w:rFonts w:asciiTheme="minorHAnsi" w:hAnsiTheme="minorHAnsi"/>
          <w:sz w:val="20"/>
        </w:rPr>
        <w:t>d</w:t>
      </w:r>
      <w:r w:rsidRPr="00B3626F">
        <w:rPr>
          <w:rFonts w:asciiTheme="minorHAnsi" w:hAnsiTheme="minorHAnsi"/>
          <w:sz w:val="20"/>
        </w:rPr>
        <w:t>irectives opérationnelles destinées à être examinées par la neuvième session de l</w:t>
      </w:r>
      <w:r w:rsidR="00DE5604" w:rsidRPr="00B3626F">
        <w:rPr>
          <w:rFonts w:asciiTheme="minorHAnsi" w:hAnsiTheme="minorHAnsi"/>
          <w:sz w:val="20"/>
        </w:rPr>
        <w:t>’</w:t>
      </w:r>
      <w:r w:rsidRPr="00B3626F">
        <w:rPr>
          <w:rFonts w:asciiTheme="minorHAnsi" w:hAnsiTheme="minorHAnsi"/>
          <w:sz w:val="20"/>
        </w:rPr>
        <w:t xml:space="preserve">Assemblée générale ; ils suivent les recommandations de la seizième session du Comité (décision </w:t>
      </w:r>
      <w:hyperlink r:id="rId31" w:history="1">
        <w:r w:rsidRPr="00B3626F">
          <w:rPr>
            <w:rStyle w:val="Lienhypertexte"/>
            <w:rFonts w:asciiTheme="minorHAnsi" w:hAnsiTheme="minorHAnsi"/>
            <w:sz w:val="20"/>
          </w:rPr>
          <w:t>16.COM 14</w:t>
        </w:r>
      </w:hyperlink>
      <w:r w:rsidRPr="00B3626F">
        <w:rPr>
          <w:rFonts w:asciiTheme="minorHAnsi" w:hAnsiTheme="minorHAnsi"/>
          <w:sz w:val="20"/>
        </w:rPr>
        <w:t>) en s</w:t>
      </w:r>
      <w:r w:rsidR="00DE5604" w:rsidRPr="00B3626F">
        <w:rPr>
          <w:rFonts w:asciiTheme="minorHAnsi" w:hAnsiTheme="minorHAnsi"/>
          <w:sz w:val="20"/>
        </w:rPr>
        <w:t>’</w:t>
      </w:r>
      <w:r w:rsidRPr="00B3626F">
        <w:rPr>
          <w:rFonts w:asciiTheme="minorHAnsi" w:hAnsiTheme="minorHAnsi"/>
          <w:sz w:val="20"/>
        </w:rPr>
        <w:t xml:space="preserve">appuyant sur les recommandations des </w:t>
      </w:r>
      <w:r w:rsidR="00AD0674" w:rsidRPr="00B3626F">
        <w:rPr>
          <w:rFonts w:asciiTheme="minorHAnsi" w:hAnsiTheme="minorHAnsi"/>
          <w:sz w:val="20"/>
        </w:rPr>
        <w:t>p</w:t>
      </w:r>
      <w:r w:rsidRPr="00B3626F">
        <w:rPr>
          <w:rFonts w:asciiTheme="minorHAnsi" w:hAnsiTheme="minorHAnsi"/>
          <w:sz w:val="20"/>
        </w:rPr>
        <w:t xml:space="preserve">arties I et II du groupe de travail intergouvernemental à composition non limitée. Par conséquent, ils ne sont pas </w:t>
      </w:r>
      <w:r w:rsidR="00D00BF7" w:rsidRPr="00B3626F">
        <w:rPr>
          <w:rFonts w:asciiTheme="minorHAnsi" w:hAnsiTheme="minorHAnsi"/>
          <w:sz w:val="20"/>
        </w:rPr>
        <w:t xml:space="preserve">destinés </w:t>
      </w:r>
      <w:r w:rsidRPr="00B3626F">
        <w:rPr>
          <w:rFonts w:asciiTheme="minorHAnsi" w:hAnsiTheme="minorHAnsi"/>
          <w:sz w:val="20"/>
        </w:rPr>
        <w:t xml:space="preserve">à </w:t>
      </w:r>
      <w:r w:rsidR="00D00BF7" w:rsidRPr="00B3626F">
        <w:rPr>
          <w:rFonts w:asciiTheme="minorHAnsi" w:hAnsiTheme="minorHAnsi"/>
          <w:sz w:val="20"/>
        </w:rPr>
        <w:t>être discutés</w:t>
      </w:r>
      <w:r w:rsidRPr="00B3626F">
        <w:rPr>
          <w:rFonts w:asciiTheme="minorHAnsi" w:hAnsiTheme="minorHAnsi"/>
          <w:sz w:val="20"/>
        </w:rPr>
        <w:t xml:space="preserve"> par la présente session extraordinaire du Comité, sauf indication contraire au paragraphe 22.</w:t>
      </w:r>
    </w:p>
    <w:tbl>
      <w:tblPr>
        <w:tblStyle w:val="Grilledutableau2"/>
        <w:tblW w:w="14312" w:type="dxa"/>
        <w:tblLayout w:type="fixed"/>
        <w:tblLook w:val="04A0" w:firstRow="1" w:lastRow="0" w:firstColumn="1" w:lastColumn="0" w:noHBand="0" w:noVBand="1"/>
      </w:tblPr>
      <w:tblGrid>
        <w:gridCol w:w="831"/>
        <w:gridCol w:w="1858"/>
        <w:gridCol w:w="4394"/>
        <w:gridCol w:w="709"/>
        <w:gridCol w:w="1984"/>
        <w:gridCol w:w="4536"/>
      </w:tblGrid>
      <w:tr w:rsidR="005A49E9" w:rsidRPr="00B3626F" w14:paraId="001F9F72" w14:textId="77777777" w:rsidTr="00BD61EE">
        <w:tc>
          <w:tcPr>
            <w:tcW w:w="7083" w:type="dxa"/>
            <w:gridSpan w:val="3"/>
            <w:shd w:val="clear" w:color="auto" w:fill="E2EFD9"/>
          </w:tcPr>
          <w:p w14:paraId="4899ABA1" w14:textId="77777777" w:rsidR="005A49E9" w:rsidRPr="00B3626F" w:rsidRDefault="005A49E9" w:rsidP="00BD61EE">
            <w:pPr>
              <w:spacing w:before="120" w:after="120"/>
              <w:jc w:val="center"/>
              <w:rPr>
                <w:rFonts w:asciiTheme="minorHAnsi" w:hAnsiTheme="minorHAnsi" w:cstheme="minorHAnsi"/>
                <w:b/>
                <w:bCs/>
                <w:sz w:val="20"/>
                <w:szCs w:val="20"/>
              </w:rPr>
            </w:pPr>
            <w:r w:rsidRPr="00B3626F">
              <w:rPr>
                <w:rFonts w:asciiTheme="minorHAnsi" w:hAnsiTheme="minorHAnsi"/>
                <w:b/>
                <w:sz w:val="20"/>
              </w:rPr>
              <w:t xml:space="preserve">Directives opérationnelles (édition 2020) </w:t>
            </w:r>
          </w:p>
        </w:tc>
        <w:tc>
          <w:tcPr>
            <w:tcW w:w="7229" w:type="dxa"/>
            <w:gridSpan w:val="3"/>
            <w:shd w:val="clear" w:color="auto" w:fill="DEEAF6"/>
          </w:tcPr>
          <w:p w14:paraId="4A5A2A8F" w14:textId="2A3A1CBD" w:rsidR="005A49E9" w:rsidRPr="00B3626F" w:rsidRDefault="005A49E9" w:rsidP="00BD61EE">
            <w:pPr>
              <w:spacing w:before="120" w:after="120"/>
              <w:jc w:val="center"/>
              <w:rPr>
                <w:rFonts w:asciiTheme="minorHAnsi" w:hAnsiTheme="minorHAnsi" w:cstheme="minorHAnsi"/>
                <w:b/>
                <w:bCs/>
                <w:sz w:val="20"/>
                <w:szCs w:val="20"/>
              </w:rPr>
            </w:pPr>
            <w:r w:rsidRPr="00B3626F">
              <w:rPr>
                <w:rFonts w:asciiTheme="minorHAnsi" w:hAnsiTheme="minorHAnsi"/>
                <w:b/>
                <w:sz w:val="20"/>
              </w:rPr>
              <w:t>Amendements proposés</w:t>
            </w:r>
          </w:p>
        </w:tc>
      </w:tr>
      <w:tr w:rsidR="005A49E9" w:rsidRPr="00B3626F" w14:paraId="054EAFDB" w14:textId="77777777" w:rsidTr="00BD61EE">
        <w:tc>
          <w:tcPr>
            <w:tcW w:w="831" w:type="dxa"/>
            <w:shd w:val="clear" w:color="auto" w:fill="F2F2F2" w:themeFill="background1" w:themeFillShade="F2"/>
            <w:vAlign w:val="center"/>
          </w:tcPr>
          <w:p w14:paraId="583496AE" w14:textId="77777777" w:rsidR="005A49E9" w:rsidRPr="00B3626F" w:rsidRDefault="005A49E9" w:rsidP="00BD61EE">
            <w:pPr>
              <w:widowControl w:val="0"/>
              <w:spacing w:before="120" w:after="120"/>
              <w:rPr>
                <w:rFonts w:asciiTheme="minorHAnsi" w:hAnsiTheme="minorHAnsi" w:cstheme="minorHAnsi"/>
                <w:b/>
                <w:bCs/>
                <w:color w:val="1F4E79"/>
                <w:sz w:val="20"/>
                <w:szCs w:val="20"/>
              </w:rPr>
            </w:pPr>
            <w:r w:rsidRPr="00B3626F">
              <w:rPr>
                <w:rFonts w:asciiTheme="minorHAnsi" w:hAnsiTheme="minorHAnsi"/>
                <w:b/>
                <w:color w:val="1F4E79"/>
                <w:sz w:val="20"/>
              </w:rPr>
              <w:t>I.7</w:t>
            </w:r>
          </w:p>
        </w:tc>
        <w:tc>
          <w:tcPr>
            <w:tcW w:w="6252" w:type="dxa"/>
            <w:gridSpan w:val="2"/>
            <w:shd w:val="clear" w:color="auto" w:fill="F2F2F2" w:themeFill="background1" w:themeFillShade="F2"/>
            <w:vAlign w:val="center"/>
          </w:tcPr>
          <w:p w14:paraId="748568E0" w14:textId="77777777" w:rsidR="005A49E9" w:rsidRPr="00B3626F" w:rsidRDefault="005A49E9" w:rsidP="00BD61EE">
            <w:pPr>
              <w:widowControl w:val="0"/>
              <w:spacing w:before="120" w:after="120"/>
              <w:rPr>
                <w:rFonts w:asciiTheme="minorHAnsi" w:hAnsiTheme="minorHAnsi" w:cstheme="minorHAnsi"/>
                <w:b/>
                <w:bCs/>
                <w:color w:val="1F4E79"/>
                <w:sz w:val="20"/>
                <w:szCs w:val="20"/>
              </w:rPr>
            </w:pPr>
            <w:r w:rsidRPr="00B3626F">
              <w:rPr>
                <w:rFonts w:asciiTheme="minorHAnsi" w:hAnsiTheme="minorHAnsi"/>
                <w:b/>
                <w:color w:val="1F4E79"/>
                <w:sz w:val="20"/>
              </w:rPr>
              <w:t>Soumission des dossiers</w:t>
            </w:r>
          </w:p>
        </w:tc>
        <w:tc>
          <w:tcPr>
            <w:tcW w:w="709" w:type="dxa"/>
            <w:shd w:val="clear" w:color="auto" w:fill="F2F2F2" w:themeFill="background1" w:themeFillShade="F2"/>
            <w:vAlign w:val="center"/>
          </w:tcPr>
          <w:p w14:paraId="3D155588" w14:textId="77777777" w:rsidR="005A49E9" w:rsidRPr="00B3626F" w:rsidRDefault="005A49E9" w:rsidP="00BD61EE">
            <w:pPr>
              <w:widowControl w:val="0"/>
              <w:spacing w:before="60" w:after="60"/>
              <w:rPr>
                <w:rFonts w:asciiTheme="minorHAnsi" w:hAnsiTheme="minorHAnsi" w:cstheme="minorHAnsi"/>
                <w:b/>
                <w:bCs/>
                <w:sz w:val="20"/>
                <w:szCs w:val="20"/>
              </w:rPr>
            </w:pPr>
          </w:p>
        </w:tc>
        <w:tc>
          <w:tcPr>
            <w:tcW w:w="6520" w:type="dxa"/>
            <w:gridSpan w:val="2"/>
            <w:shd w:val="clear" w:color="auto" w:fill="F2F2F2" w:themeFill="background1" w:themeFillShade="F2"/>
            <w:vAlign w:val="center"/>
          </w:tcPr>
          <w:p w14:paraId="767F1B7E" w14:textId="77777777" w:rsidR="005A49E9" w:rsidRPr="00B3626F" w:rsidRDefault="005A49E9" w:rsidP="00BD61EE">
            <w:pPr>
              <w:widowControl w:val="0"/>
              <w:tabs>
                <w:tab w:val="left" w:pos="2127"/>
                <w:tab w:val="left" w:pos="2176"/>
              </w:tabs>
              <w:autoSpaceDE w:val="0"/>
              <w:autoSpaceDN w:val="0"/>
              <w:spacing w:before="60" w:after="60"/>
              <w:rPr>
                <w:rFonts w:asciiTheme="minorHAnsi" w:hAnsiTheme="minorHAnsi" w:cstheme="minorHAnsi"/>
                <w:sz w:val="20"/>
                <w:szCs w:val="20"/>
              </w:rPr>
            </w:pPr>
          </w:p>
        </w:tc>
      </w:tr>
      <w:tr w:rsidR="005A49E9" w:rsidRPr="00B3626F" w14:paraId="3316B611" w14:textId="77777777" w:rsidTr="00AC13BE">
        <w:trPr>
          <w:trHeight w:val="416"/>
        </w:trPr>
        <w:tc>
          <w:tcPr>
            <w:tcW w:w="831" w:type="dxa"/>
            <w:shd w:val="clear" w:color="auto" w:fill="FFFFFF" w:themeFill="background1"/>
          </w:tcPr>
          <w:p w14:paraId="36BD1A6F" w14:textId="77777777" w:rsidR="005A49E9" w:rsidRPr="00B3626F" w:rsidRDefault="005A49E9" w:rsidP="00BD61EE">
            <w:pPr>
              <w:widowControl w:val="0"/>
              <w:spacing w:before="120" w:after="120"/>
              <w:rPr>
                <w:rFonts w:asciiTheme="minorHAnsi" w:hAnsiTheme="minorHAnsi" w:cstheme="minorHAnsi"/>
                <w:sz w:val="20"/>
                <w:szCs w:val="20"/>
              </w:rPr>
            </w:pPr>
            <w:r w:rsidRPr="00B3626F">
              <w:rPr>
                <w:rFonts w:asciiTheme="minorHAnsi" w:hAnsiTheme="minorHAnsi"/>
                <w:sz w:val="20"/>
              </w:rPr>
              <w:t>22.</w:t>
            </w:r>
          </w:p>
        </w:tc>
        <w:tc>
          <w:tcPr>
            <w:tcW w:w="6252" w:type="dxa"/>
            <w:gridSpan w:val="2"/>
            <w:shd w:val="clear" w:color="auto" w:fill="FFFFFF" w:themeFill="background1"/>
          </w:tcPr>
          <w:p w14:paraId="0FABDECE" w14:textId="1EB3BB09" w:rsidR="005A49E9" w:rsidRPr="00B3626F" w:rsidRDefault="00BE0C15" w:rsidP="00BD61EE">
            <w:pPr>
              <w:widowControl w:val="0"/>
              <w:spacing w:before="120" w:after="120"/>
              <w:rPr>
                <w:rFonts w:asciiTheme="minorHAnsi" w:hAnsiTheme="minorHAnsi" w:cstheme="minorHAnsi"/>
                <w:sz w:val="20"/>
                <w:szCs w:val="20"/>
              </w:rPr>
            </w:pPr>
            <w:r w:rsidRPr="00B3626F">
              <w:rPr>
                <w:rFonts w:asciiTheme="minorHAnsi" w:hAnsiTheme="minorHAnsi" w:cstheme="minorHAnsi"/>
                <w:sz w:val="20"/>
                <w:szCs w:val="20"/>
              </w:rPr>
              <w:t>Pour ce qui concerne l</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assistance préparatoire, le formulaire ICH-05 est utilisé pour les demandes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assistance préparatoire pour élaborer une candidature pour l</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inscription sur la Liste du patrimoine culturel immatériel nécessitant une sauvegarde urgente, et le formulaire ICH-06 est utilisé pour les demandes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assistance préparatoire pour élaborer une proposition de programme, projet ou activité susceptible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être sélectionné et promu par le Comité. Toutes les autres demandes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assistance internationale, quel que soit le montant sollicité, doivent être soumises en utilisant le formulaire ICH-04.</w:t>
            </w:r>
          </w:p>
        </w:tc>
        <w:tc>
          <w:tcPr>
            <w:tcW w:w="709" w:type="dxa"/>
            <w:shd w:val="clear" w:color="auto" w:fill="FFFFFF" w:themeFill="background1"/>
          </w:tcPr>
          <w:p w14:paraId="4F8F4D71" w14:textId="77777777" w:rsidR="005A49E9" w:rsidRPr="00B3626F" w:rsidRDefault="005A49E9" w:rsidP="00BD61EE">
            <w:pPr>
              <w:widowControl w:val="0"/>
              <w:spacing w:before="60" w:after="60"/>
              <w:rPr>
                <w:rFonts w:asciiTheme="minorHAnsi" w:hAnsiTheme="minorHAnsi" w:cstheme="minorHAnsi"/>
                <w:sz w:val="20"/>
                <w:szCs w:val="20"/>
              </w:rPr>
            </w:pPr>
            <w:r w:rsidRPr="00B3626F">
              <w:rPr>
                <w:rFonts w:asciiTheme="minorHAnsi" w:hAnsiTheme="minorHAnsi"/>
                <w:sz w:val="20"/>
              </w:rPr>
              <w:t>22.</w:t>
            </w:r>
          </w:p>
        </w:tc>
        <w:tc>
          <w:tcPr>
            <w:tcW w:w="6520" w:type="dxa"/>
            <w:gridSpan w:val="2"/>
            <w:shd w:val="clear" w:color="auto" w:fill="FFFFFF" w:themeFill="background1"/>
          </w:tcPr>
          <w:p w14:paraId="681FB486" w14:textId="1C7B79DC" w:rsidR="00BE0C15" w:rsidRPr="00B3626F" w:rsidRDefault="00BE0C15" w:rsidP="00BD61EE">
            <w:pPr>
              <w:keepLines/>
              <w:snapToGrid w:val="0"/>
              <w:spacing w:before="120" w:after="120"/>
              <w:rPr>
                <w:rFonts w:asciiTheme="minorHAnsi" w:hAnsiTheme="minorHAnsi"/>
                <w:strike/>
                <w:sz w:val="20"/>
                <w:highlight w:val="lightGray"/>
              </w:rPr>
            </w:pPr>
            <w:r w:rsidRPr="00B3626F">
              <w:rPr>
                <w:rFonts w:asciiTheme="minorHAnsi" w:hAnsiTheme="minorHAnsi"/>
                <w:strike/>
                <w:sz w:val="20"/>
                <w:highlight w:val="lightGray"/>
              </w:rPr>
              <w:t>Pour ce qui concerne l</w:t>
            </w:r>
            <w:r w:rsidR="00DE5604" w:rsidRPr="00B3626F">
              <w:rPr>
                <w:rFonts w:asciiTheme="minorHAnsi" w:hAnsiTheme="minorHAnsi"/>
                <w:strike/>
                <w:sz w:val="20"/>
                <w:highlight w:val="lightGray"/>
              </w:rPr>
              <w:t>’</w:t>
            </w:r>
            <w:r w:rsidRPr="00B3626F">
              <w:rPr>
                <w:rFonts w:asciiTheme="minorHAnsi" w:hAnsiTheme="minorHAnsi"/>
                <w:strike/>
                <w:sz w:val="20"/>
                <w:highlight w:val="lightGray"/>
              </w:rPr>
              <w:t>assistance préparatoire, le formulaire ICH-05 est utilisé pour les demandes d</w:t>
            </w:r>
            <w:r w:rsidR="00DE5604" w:rsidRPr="00B3626F">
              <w:rPr>
                <w:rFonts w:asciiTheme="minorHAnsi" w:hAnsiTheme="minorHAnsi"/>
                <w:strike/>
                <w:sz w:val="20"/>
                <w:highlight w:val="lightGray"/>
              </w:rPr>
              <w:t>’</w:t>
            </w:r>
            <w:r w:rsidRPr="00B3626F">
              <w:rPr>
                <w:rFonts w:asciiTheme="minorHAnsi" w:hAnsiTheme="minorHAnsi"/>
                <w:strike/>
                <w:sz w:val="20"/>
                <w:highlight w:val="lightGray"/>
              </w:rPr>
              <w:t>assistance préparatoire pour élaborer une candidature pour l</w:t>
            </w:r>
            <w:r w:rsidR="00DE5604" w:rsidRPr="00B3626F">
              <w:rPr>
                <w:rFonts w:asciiTheme="minorHAnsi" w:hAnsiTheme="minorHAnsi"/>
                <w:strike/>
                <w:sz w:val="20"/>
                <w:highlight w:val="lightGray"/>
              </w:rPr>
              <w:t>’</w:t>
            </w:r>
            <w:r w:rsidRPr="00B3626F">
              <w:rPr>
                <w:rFonts w:asciiTheme="minorHAnsi" w:hAnsiTheme="minorHAnsi"/>
                <w:strike/>
                <w:sz w:val="20"/>
                <w:highlight w:val="lightGray"/>
              </w:rPr>
              <w:t>inscription sur la Liste du patrimoine culturel immatériel nécessitant une sauvegarde urgente, et le formulaire ICH-06 est utilisé pour les demandes d</w:t>
            </w:r>
            <w:r w:rsidR="00DE5604" w:rsidRPr="00B3626F">
              <w:rPr>
                <w:rFonts w:asciiTheme="minorHAnsi" w:hAnsiTheme="minorHAnsi"/>
                <w:strike/>
                <w:sz w:val="20"/>
                <w:highlight w:val="lightGray"/>
              </w:rPr>
              <w:t>’</w:t>
            </w:r>
            <w:r w:rsidRPr="00B3626F">
              <w:rPr>
                <w:rFonts w:asciiTheme="minorHAnsi" w:hAnsiTheme="minorHAnsi"/>
                <w:strike/>
                <w:sz w:val="20"/>
                <w:highlight w:val="lightGray"/>
              </w:rPr>
              <w:t>assistance préparatoire pour élaborer une proposition de programme, projet ou activité susceptible d</w:t>
            </w:r>
            <w:r w:rsidR="00DE5604" w:rsidRPr="00B3626F">
              <w:rPr>
                <w:rFonts w:asciiTheme="minorHAnsi" w:hAnsiTheme="minorHAnsi"/>
                <w:strike/>
                <w:sz w:val="20"/>
                <w:highlight w:val="lightGray"/>
              </w:rPr>
              <w:t>’</w:t>
            </w:r>
            <w:r w:rsidRPr="00B3626F">
              <w:rPr>
                <w:rFonts w:asciiTheme="minorHAnsi" w:hAnsiTheme="minorHAnsi"/>
                <w:strike/>
                <w:sz w:val="20"/>
                <w:highlight w:val="lightGray"/>
              </w:rPr>
              <w:t>être sélectionné et promu par le Comité. Toutes les autres demandes d</w:t>
            </w:r>
            <w:r w:rsidR="00DE5604" w:rsidRPr="00B3626F">
              <w:rPr>
                <w:rFonts w:asciiTheme="minorHAnsi" w:hAnsiTheme="minorHAnsi"/>
                <w:strike/>
                <w:sz w:val="20"/>
                <w:highlight w:val="lightGray"/>
              </w:rPr>
              <w:t>’</w:t>
            </w:r>
            <w:r w:rsidRPr="00B3626F">
              <w:rPr>
                <w:rFonts w:asciiTheme="minorHAnsi" w:hAnsiTheme="minorHAnsi"/>
                <w:strike/>
                <w:sz w:val="20"/>
                <w:highlight w:val="lightGray"/>
              </w:rPr>
              <w:t>assistance internationale, quel que soit le montant sollicité, doivent être soumises en utilisant le formulaire ICH-04.</w:t>
            </w:r>
          </w:p>
          <w:p w14:paraId="13F82E59" w14:textId="53DCA87C" w:rsidR="005A49E9" w:rsidRPr="00B3626F" w:rsidRDefault="00F81EC9" w:rsidP="00F81EC9">
            <w:pPr>
              <w:rPr>
                <w:rFonts w:asciiTheme="minorHAnsi" w:hAnsiTheme="minorHAnsi" w:cstheme="minorHAnsi"/>
                <w:sz w:val="20"/>
                <w:szCs w:val="20"/>
              </w:rPr>
            </w:pPr>
            <w:r w:rsidRPr="00B3626F">
              <w:rPr>
                <w:rFonts w:asciiTheme="minorHAnsi" w:hAnsiTheme="minorHAnsi"/>
                <w:sz w:val="20"/>
                <w:highlight w:val="lightGray"/>
                <w:u w:val="single"/>
              </w:rPr>
              <w:t>Les demandes pour toute assistance préparatoire doivent être soumises en utilisant le formulaire ICH-05. Les demandes d</w:t>
            </w:r>
            <w:r w:rsidR="00DE5604" w:rsidRPr="00B3626F">
              <w:rPr>
                <w:rFonts w:asciiTheme="minorHAnsi" w:hAnsiTheme="minorHAnsi"/>
                <w:sz w:val="20"/>
                <w:highlight w:val="lightGray"/>
                <w:u w:val="single"/>
              </w:rPr>
              <w:t>’</w:t>
            </w:r>
            <w:r w:rsidRPr="00B3626F">
              <w:rPr>
                <w:rFonts w:asciiTheme="minorHAnsi" w:hAnsiTheme="minorHAnsi"/>
                <w:sz w:val="20"/>
                <w:highlight w:val="lightGray"/>
                <w:u w:val="single"/>
              </w:rPr>
              <w:t>assistance internationale,</w:t>
            </w:r>
            <w:r w:rsidRPr="00B3626F">
              <w:rPr>
                <w:rFonts w:asciiTheme="minorHAnsi" w:hAnsiTheme="minorHAnsi"/>
                <w:sz w:val="20"/>
                <w:u w:val="single"/>
              </w:rPr>
              <w:t xml:space="preserve"> </w:t>
            </w:r>
            <w:r w:rsidRPr="00B3626F">
              <w:rPr>
                <w:rFonts w:asciiTheme="minorHAnsi" w:hAnsiTheme="minorHAnsi"/>
                <w:strike/>
                <w:sz w:val="20"/>
                <w:u w:val="single"/>
              </w:rPr>
              <w:t>quel que soit le montant sollicité</w:t>
            </w:r>
            <w:r w:rsidRPr="00B3626F">
              <w:rPr>
                <w:rStyle w:val="Appelnotedebasdep"/>
                <w:rFonts w:asciiTheme="minorHAnsi" w:hAnsiTheme="minorHAnsi" w:cstheme="minorHAnsi"/>
                <w:sz w:val="20"/>
                <w:szCs w:val="20"/>
                <w:u w:val="single"/>
              </w:rPr>
              <w:footnoteReference w:id="2"/>
            </w:r>
            <w:r w:rsidRPr="00B3626F">
              <w:rPr>
                <w:rFonts w:asciiTheme="minorHAnsi" w:hAnsiTheme="minorHAnsi"/>
                <w:sz w:val="20"/>
                <w:highlight w:val="lightGray"/>
                <w:u w:val="single"/>
              </w:rPr>
              <w:t>, doivent être soumises en utilisant le formulaire ICH-04</w:t>
            </w:r>
            <w:r w:rsidRPr="00B3626F">
              <w:rPr>
                <w:rFonts w:asciiTheme="minorHAnsi" w:hAnsiTheme="minorHAnsi"/>
                <w:sz w:val="20"/>
                <w:u w:val="single"/>
              </w:rPr>
              <w:t>,</w:t>
            </w:r>
            <w:r w:rsidR="005A49E9" w:rsidRPr="00B3626F">
              <w:rPr>
                <w:rFonts w:asciiTheme="minorHAnsi" w:hAnsiTheme="minorHAnsi"/>
                <w:sz w:val="20"/>
                <w:u w:val="single"/>
              </w:rPr>
              <w:t xml:space="preserve"> à l</w:t>
            </w:r>
            <w:r w:rsidR="00DE5604" w:rsidRPr="00B3626F">
              <w:rPr>
                <w:rFonts w:asciiTheme="minorHAnsi" w:hAnsiTheme="minorHAnsi"/>
                <w:sz w:val="20"/>
                <w:u w:val="single"/>
              </w:rPr>
              <w:t>’</w:t>
            </w:r>
            <w:r w:rsidR="005A49E9" w:rsidRPr="00B3626F">
              <w:rPr>
                <w:rFonts w:asciiTheme="minorHAnsi" w:hAnsiTheme="minorHAnsi"/>
                <w:sz w:val="20"/>
                <w:u w:val="single"/>
              </w:rPr>
              <w:t xml:space="preserve">exception des demandes soumises </w:t>
            </w:r>
            <w:r w:rsidR="00AD0674" w:rsidRPr="00B3626F">
              <w:rPr>
                <w:rFonts w:asciiTheme="minorHAnsi" w:hAnsiTheme="minorHAnsi"/>
                <w:sz w:val="20"/>
                <w:u w:val="single"/>
              </w:rPr>
              <w:t>simultanément à des</w:t>
            </w:r>
            <w:r w:rsidR="005A49E9" w:rsidRPr="00B3626F">
              <w:rPr>
                <w:rFonts w:asciiTheme="minorHAnsi" w:hAnsiTheme="minorHAnsi"/>
                <w:sz w:val="20"/>
                <w:u w:val="single"/>
              </w:rPr>
              <w:t xml:space="preserve"> candidatures </w:t>
            </w:r>
            <w:r w:rsidR="00AD0674" w:rsidRPr="00B3626F">
              <w:rPr>
                <w:rFonts w:asciiTheme="minorHAnsi" w:hAnsiTheme="minorHAnsi"/>
                <w:sz w:val="20"/>
                <w:u w:val="single"/>
              </w:rPr>
              <w:t>pou</w:t>
            </w:r>
            <w:r w:rsidR="00B3626F" w:rsidRPr="00B3626F">
              <w:rPr>
                <w:rFonts w:asciiTheme="minorHAnsi" w:hAnsiTheme="minorHAnsi"/>
                <w:sz w:val="20"/>
                <w:u w:val="single"/>
              </w:rPr>
              <w:t>r</w:t>
            </w:r>
            <w:r w:rsidR="005A49E9" w:rsidRPr="00B3626F">
              <w:rPr>
                <w:rFonts w:asciiTheme="minorHAnsi" w:hAnsiTheme="minorHAnsi"/>
                <w:sz w:val="20"/>
                <w:u w:val="single"/>
              </w:rPr>
              <w:t xml:space="preserve"> la Liste du patrimoine culturel immatériel nécessitant une sauvegarde urgente ou dans le cadre d</w:t>
            </w:r>
            <w:r w:rsidR="00DE5604" w:rsidRPr="00B3626F">
              <w:rPr>
                <w:rFonts w:asciiTheme="minorHAnsi" w:hAnsiTheme="minorHAnsi"/>
                <w:sz w:val="20"/>
                <w:u w:val="single"/>
              </w:rPr>
              <w:t>’</w:t>
            </w:r>
            <w:r w:rsidR="005A49E9" w:rsidRPr="00B3626F">
              <w:rPr>
                <w:rFonts w:asciiTheme="minorHAnsi" w:hAnsiTheme="minorHAnsi"/>
                <w:sz w:val="20"/>
                <w:u w:val="single"/>
              </w:rPr>
              <w:t>une demande de transfert d</w:t>
            </w:r>
            <w:r w:rsidR="00DE5604" w:rsidRPr="00B3626F">
              <w:rPr>
                <w:rFonts w:asciiTheme="minorHAnsi" w:hAnsiTheme="minorHAnsi"/>
                <w:sz w:val="20"/>
                <w:u w:val="single"/>
              </w:rPr>
              <w:t>’</w:t>
            </w:r>
            <w:r w:rsidR="005A49E9" w:rsidRPr="00B3626F">
              <w:rPr>
                <w:rFonts w:asciiTheme="minorHAnsi" w:hAnsiTheme="minorHAnsi"/>
                <w:sz w:val="20"/>
                <w:u w:val="single"/>
              </w:rPr>
              <w:t>un élément</w:t>
            </w:r>
            <w:r w:rsidR="00237DDA" w:rsidRPr="00B3626F">
              <w:rPr>
                <w:rFonts w:asciiTheme="minorHAnsi" w:hAnsiTheme="minorHAnsi"/>
                <w:sz w:val="20"/>
                <w:u w:val="single"/>
              </w:rPr>
              <w:t xml:space="preserve"> de la Liste représentative du patrimoine culturel immatériel de </w:t>
            </w:r>
            <w:r w:rsidR="00237DDA" w:rsidRPr="00B3626F">
              <w:rPr>
                <w:rFonts w:asciiTheme="minorHAnsi" w:hAnsiTheme="minorHAnsi"/>
                <w:sz w:val="20"/>
                <w:u w:val="single"/>
              </w:rPr>
              <w:lastRenderedPageBreak/>
              <w:t>l</w:t>
            </w:r>
            <w:r w:rsidR="00DE5604" w:rsidRPr="00B3626F">
              <w:rPr>
                <w:rFonts w:asciiTheme="minorHAnsi" w:hAnsiTheme="minorHAnsi"/>
                <w:sz w:val="20"/>
                <w:u w:val="single"/>
              </w:rPr>
              <w:t>’</w:t>
            </w:r>
            <w:r w:rsidR="00237DDA" w:rsidRPr="00B3626F">
              <w:rPr>
                <w:rFonts w:asciiTheme="minorHAnsi" w:hAnsiTheme="minorHAnsi"/>
                <w:sz w:val="20"/>
                <w:u w:val="single"/>
              </w:rPr>
              <w:t xml:space="preserve">humanité </w:t>
            </w:r>
            <w:r w:rsidR="006373E6" w:rsidRPr="00B3626F">
              <w:rPr>
                <w:rFonts w:asciiTheme="minorHAnsi" w:hAnsiTheme="minorHAnsi"/>
                <w:sz w:val="20"/>
                <w:u w:val="single"/>
              </w:rPr>
              <w:t>à</w:t>
            </w:r>
            <w:r w:rsidR="00237DDA" w:rsidRPr="00B3626F">
              <w:rPr>
                <w:rFonts w:asciiTheme="minorHAnsi" w:hAnsiTheme="minorHAnsi"/>
                <w:sz w:val="20"/>
                <w:u w:val="single"/>
              </w:rPr>
              <w:t xml:space="preserve"> la Liste du patrimoine culturel immatériel nécessitant une sauvegarde urgente</w:t>
            </w:r>
            <w:r w:rsidR="005A49E9" w:rsidRPr="00B3626F">
              <w:rPr>
                <w:rFonts w:asciiTheme="minorHAnsi" w:hAnsiTheme="minorHAnsi"/>
                <w:sz w:val="20"/>
                <w:u w:val="single"/>
              </w:rPr>
              <w:t>.</w:t>
            </w:r>
          </w:p>
        </w:tc>
      </w:tr>
      <w:tr w:rsidR="005A49E9" w:rsidRPr="00B3626F" w14:paraId="080B91CF" w14:textId="77777777" w:rsidTr="00BD61EE">
        <w:tc>
          <w:tcPr>
            <w:tcW w:w="831" w:type="dxa"/>
            <w:shd w:val="clear" w:color="auto" w:fill="F2F2F2" w:themeFill="background1" w:themeFillShade="F2"/>
            <w:vAlign w:val="center"/>
          </w:tcPr>
          <w:p w14:paraId="09538AB0" w14:textId="77777777" w:rsidR="005A49E9" w:rsidRPr="00B3626F" w:rsidRDefault="005A49E9" w:rsidP="00BD61EE">
            <w:pPr>
              <w:widowControl w:val="0"/>
              <w:spacing w:before="120" w:after="120"/>
              <w:rPr>
                <w:rFonts w:asciiTheme="minorHAnsi" w:hAnsiTheme="minorHAnsi" w:cstheme="minorHAnsi"/>
                <w:b/>
                <w:bCs/>
                <w:color w:val="1F4E79"/>
                <w:sz w:val="20"/>
                <w:szCs w:val="20"/>
              </w:rPr>
            </w:pPr>
            <w:r w:rsidRPr="00B3626F">
              <w:rPr>
                <w:rFonts w:asciiTheme="minorHAnsi" w:hAnsiTheme="minorHAnsi"/>
                <w:b/>
                <w:color w:val="1F4E79"/>
                <w:sz w:val="20"/>
              </w:rPr>
              <w:lastRenderedPageBreak/>
              <w:t>I.8</w:t>
            </w:r>
          </w:p>
        </w:tc>
        <w:tc>
          <w:tcPr>
            <w:tcW w:w="6252" w:type="dxa"/>
            <w:gridSpan w:val="2"/>
            <w:shd w:val="clear" w:color="auto" w:fill="F2F2F2" w:themeFill="background1" w:themeFillShade="F2"/>
            <w:vAlign w:val="center"/>
          </w:tcPr>
          <w:p w14:paraId="64FC339D" w14:textId="77777777" w:rsidR="005A49E9" w:rsidRPr="00B3626F" w:rsidRDefault="005A49E9" w:rsidP="00BD61EE">
            <w:pPr>
              <w:widowControl w:val="0"/>
              <w:spacing w:before="120" w:after="120"/>
              <w:rPr>
                <w:rFonts w:asciiTheme="minorHAnsi" w:hAnsiTheme="minorHAnsi" w:cstheme="minorHAnsi"/>
                <w:b/>
                <w:bCs/>
                <w:color w:val="1F4E79"/>
                <w:sz w:val="20"/>
                <w:szCs w:val="20"/>
              </w:rPr>
            </w:pPr>
            <w:r w:rsidRPr="00B3626F">
              <w:rPr>
                <w:rFonts w:asciiTheme="minorHAnsi" w:hAnsiTheme="minorHAnsi"/>
                <w:b/>
                <w:color w:val="1F4E79"/>
                <w:sz w:val="20"/>
              </w:rPr>
              <w:t>Évaluation des dossiers</w:t>
            </w:r>
          </w:p>
        </w:tc>
        <w:tc>
          <w:tcPr>
            <w:tcW w:w="709" w:type="dxa"/>
            <w:shd w:val="clear" w:color="auto" w:fill="F2F2F2" w:themeFill="background1" w:themeFillShade="F2"/>
            <w:vAlign w:val="center"/>
          </w:tcPr>
          <w:p w14:paraId="3A54F849" w14:textId="77777777" w:rsidR="005A49E9" w:rsidRPr="00B3626F" w:rsidRDefault="005A49E9" w:rsidP="00BD61EE">
            <w:pPr>
              <w:widowControl w:val="0"/>
              <w:spacing w:before="60" w:after="60"/>
              <w:rPr>
                <w:rFonts w:asciiTheme="minorHAnsi" w:hAnsiTheme="minorHAnsi" w:cstheme="minorHAnsi"/>
                <w:sz w:val="20"/>
                <w:szCs w:val="20"/>
              </w:rPr>
            </w:pPr>
            <w:r w:rsidRPr="00B3626F">
              <w:rPr>
                <w:rFonts w:asciiTheme="minorHAnsi" w:hAnsiTheme="minorHAnsi"/>
                <w:b/>
                <w:sz w:val="20"/>
              </w:rPr>
              <w:t>I.8</w:t>
            </w:r>
          </w:p>
        </w:tc>
        <w:tc>
          <w:tcPr>
            <w:tcW w:w="6520" w:type="dxa"/>
            <w:gridSpan w:val="2"/>
            <w:shd w:val="clear" w:color="auto" w:fill="F2F2F2" w:themeFill="background1" w:themeFillShade="F2"/>
            <w:vAlign w:val="center"/>
          </w:tcPr>
          <w:p w14:paraId="68C5D1B9" w14:textId="77777777" w:rsidR="005A49E9" w:rsidRPr="00B3626F" w:rsidRDefault="005A49E9" w:rsidP="00BD61EE">
            <w:pPr>
              <w:widowControl w:val="0"/>
              <w:tabs>
                <w:tab w:val="left" w:pos="2127"/>
                <w:tab w:val="left" w:pos="2176"/>
              </w:tabs>
              <w:autoSpaceDE w:val="0"/>
              <w:autoSpaceDN w:val="0"/>
              <w:spacing w:before="60" w:after="60"/>
              <w:rPr>
                <w:rFonts w:asciiTheme="minorHAnsi" w:eastAsia="Calibri" w:hAnsiTheme="minorHAnsi" w:cstheme="minorHAnsi"/>
                <w:strike/>
                <w:sz w:val="20"/>
                <w:szCs w:val="20"/>
                <w:lang w:eastAsia="en-US"/>
              </w:rPr>
            </w:pPr>
          </w:p>
        </w:tc>
      </w:tr>
      <w:tr w:rsidR="005A49E9" w:rsidRPr="00B3626F" w14:paraId="5CDE4C71" w14:textId="77777777" w:rsidTr="00BD61EE">
        <w:tc>
          <w:tcPr>
            <w:tcW w:w="831" w:type="dxa"/>
          </w:tcPr>
          <w:p w14:paraId="3EE55F62" w14:textId="77777777" w:rsidR="005A49E9" w:rsidRPr="00B3626F" w:rsidRDefault="005A49E9" w:rsidP="00BD61EE">
            <w:pPr>
              <w:spacing w:before="60" w:after="60"/>
              <w:rPr>
                <w:rFonts w:asciiTheme="minorHAnsi" w:hAnsiTheme="minorHAnsi" w:cstheme="minorHAnsi"/>
                <w:sz w:val="20"/>
                <w:szCs w:val="20"/>
              </w:rPr>
            </w:pPr>
            <w:r w:rsidRPr="00B3626F">
              <w:rPr>
                <w:rFonts w:asciiTheme="minorHAnsi" w:hAnsiTheme="minorHAnsi"/>
                <w:sz w:val="20"/>
              </w:rPr>
              <w:t>27.</w:t>
            </w:r>
          </w:p>
        </w:tc>
        <w:tc>
          <w:tcPr>
            <w:tcW w:w="6252" w:type="dxa"/>
            <w:gridSpan w:val="2"/>
          </w:tcPr>
          <w:p w14:paraId="0088FA63" w14:textId="4B0D01DA" w:rsidR="005A49E9" w:rsidRPr="00B3626F" w:rsidRDefault="00BE0C15" w:rsidP="00BE0C15">
            <w:pPr>
              <w:widowControl w:val="0"/>
              <w:spacing w:before="120" w:after="120"/>
              <w:rPr>
                <w:rFonts w:asciiTheme="minorHAnsi" w:eastAsia="SimSun" w:hAnsiTheme="minorHAnsi" w:cstheme="minorHAnsi"/>
                <w:sz w:val="20"/>
                <w:szCs w:val="20"/>
              </w:rPr>
            </w:pPr>
            <w:r w:rsidRPr="00B3626F">
              <w:rPr>
                <w:rFonts w:asciiTheme="minorHAnsi" w:hAnsiTheme="minorHAnsi" w:cstheme="minorHAnsi"/>
                <w:sz w:val="20"/>
                <w:szCs w:val="20"/>
              </w:rPr>
              <w:t>Sur une base expérimentale, l</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évaluation des candidatures pour inscription sur la Liste du patrimoine culturel immatériel nécessitant une sauvegarde urgente et sur la Liste représentative du patrimoine culturel immatériel de l</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humanité, des propositions de programmes, projets et activités reflétant le mieux les principes et objectifs de la Convention et des demandes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assistance internationale supérieures à 100 000 dollars des États-Unis est effectuée par un organe consultatif du Comité établi conformément à l</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article 8.3 de la Convention, dénommé l</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 Organe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évaluation ». L</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Organe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évaluation formule des recommandations au Comité pour décision. L</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Organe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évaluation est composé de douze membres nommés par le Comité : six experts qualifiés dans les divers domaines du patrimoine culturel immatériel représentants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États parties non membres du Comité et six organisations non gouvernementales accréditées, en tenant compte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une répartition géographique équitable et des différents domaines du patrimoine culturel immatériel.</w:t>
            </w:r>
          </w:p>
        </w:tc>
        <w:tc>
          <w:tcPr>
            <w:tcW w:w="709" w:type="dxa"/>
          </w:tcPr>
          <w:p w14:paraId="21FA5BE4" w14:textId="77777777" w:rsidR="005A49E9" w:rsidRPr="00B3626F" w:rsidRDefault="005A49E9" w:rsidP="00BD61EE">
            <w:pPr>
              <w:spacing w:before="60" w:after="60"/>
              <w:rPr>
                <w:rFonts w:asciiTheme="minorHAnsi" w:hAnsiTheme="minorHAnsi" w:cstheme="minorHAnsi"/>
                <w:sz w:val="20"/>
                <w:szCs w:val="20"/>
              </w:rPr>
            </w:pPr>
            <w:r w:rsidRPr="00B3626F">
              <w:rPr>
                <w:rFonts w:asciiTheme="minorHAnsi" w:hAnsiTheme="minorHAnsi"/>
                <w:sz w:val="20"/>
              </w:rPr>
              <w:t>27.</w:t>
            </w:r>
          </w:p>
        </w:tc>
        <w:tc>
          <w:tcPr>
            <w:tcW w:w="6520" w:type="dxa"/>
            <w:gridSpan w:val="2"/>
          </w:tcPr>
          <w:p w14:paraId="1CA40EF3" w14:textId="479F220F" w:rsidR="005A49E9" w:rsidRPr="00B3626F" w:rsidRDefault="005173F3" w:rsidP="001301CD">
            <w:pPr>
              <w:widowControl w:val="0"/>
              <w:spacing w:before="120" w:after="120"/>
              <w:rPr>
                <w:rFonts w:asciiTheme="minorHAnsi" w:eastAsia="Calibri" w:hAnsiTheme="minorHAnsi" w:cstheme="minorHAnsi"/>
                <w:strike/>
                <w:sz w:val="20"/>
                <w:szCs w:val="20"/>
              </w:rPr>
            </w:pPr>
            <w:r w:rsidRPr="00B3626F">
              <w:rPr>
                <w:rFonts w:asciiTheme="minorHAnsi" w:hAnsiTheme="minorHAnsi"/>
                <w:strike/>
                <w:sz w:val="20"/>
              </w:rPr>
              <w:t>Sur une base expérimentale, l</w:t>
            </w:r>
            <w:r w:rsidR="004B5F8F" w:rsidRPr="00B3626F">
              <w:rPr>
                <w:rStyle w:val="Appelnotedebasdep"/>
                <w:rFonts w:asciiTheme="minorHAnsi" w:eastAsia="SimSun" w:hAnsiTheme="minorHAnsi" w:cstheme="minorHAnsi"/>
                <w:sz w:val="20"/>
                <w:szCs w:val="20"/>
              </w:rPr>
              <w:footnoteReference w:id="3"/>
            </w:r>
            <w:r w:rsidR="004B5F8F" w:rsidRPr="00B3626F">
              <w:rPr>
                <w:rFonts w:asciiTheme="minorHAnsi" w:hAnsiTheme="minorHAnsi"/>
                <w:sz w:val="20"/>
              </w:rPr>
              <w:t xml:space="preserve"> </w:t>
            </w:r>
            <w:r w:rsidRPr="00B3626F">
              <w:rPr>
                <w:rFonts w:asciiTheme="minorHAnsi" w:hAnsiTheme="minorHAnsi"/>
                <w:sz w:val="20"/>
                <w:u w:val="single"/>
              </w:rPr>
              <w:t>L</w:t>
            </w:r>
            <w:r w:rsidR="00DE5604" w:rsidRPr="00B3626F">
              <w:rPr>
                <w:rFonts w:asciiTheme="minorHAnsi" w:hAnsiTheme="minorHAnsi"/>
                <w:sz w:val="20"/>
              </w:rPr>
              <w:t>’</w:t>
            </w:r>
            <w:r w:rsidRPr="00B3626F">
              <w:rPr>
                <w:rFonts w:asciiTheme="minorHAnsi" w:hAnsiTheme="minorHAnsi"/>
                <w:sz w:val="20"/>
              </w:rPr>
              <w:t xml:space="preserve">évaluation des </w:t>
            </w:r>
            <w:r w:rsidRPr="00B3626F">
              <w:rPr>
                <w:rFonts w:asciiTheme="minorHAnsi" w:hAnsiTheme="minorHAnsi" w:cstheme="minorHAnsi"/>
                <w:sz w:val="20"/>
                <w:szCs w:val="20"/>
              </w:rPr>
              <w:t>candidatures</w:t>
            </w:r>
            <w:r w:rsidRPr="00B3626F">
              <w:rPr>
                <w:rFonts w:asciiTheme="minorHAnsi" w:hAnsiTheme="minorHAnsi"/>
                <w:sz w:val="20"/>
              </w:rPr>
              <w:t xml:space="preserve"> pour inscription sur la Liste du patrimoine culturel immatériel nécessitant une sauvegarde urgente et sur la Liste représentative du patrimoine culturel immatériel de l</w:t>
            </w:r>
            <w:r w:rsidR="00DE5604" w:rsidRPr="00B3626F">
              <w:rPr>
                <w:rFonts w:asciiTheme="minorHAnsi" w:hAnsiTheme="minorHAnsi"/>
                <w:sz w:val="20"/>
              </w:rPr>
              <w:t>’</w:t>
            </w:r>
            <w:r w:rsidRPr="00B3626F">
              <w:rPr>
                <w:rFonts w:asciiTheme="minorHAnsi" w:hAnsiTheme="minorHAnsi"/>
                <w:sz w:val="20"/>
              </w:rPr>
              <w:t>humanité, des propositions de programmes, projets et activités reflétant le mieux les principes et objectifs de la Convention</w:t>
            </w:r>
            <w:r w:rsidR="006373E6" w:rsidRPr="00B3626F">
              <w:rPr>
                <w:rFonts w:asciiTheme="minorHAnsi" w:hAnsiTheme="minorHAnsi"/>
                <w:sz w:val="20"/>
                <w:u w:val="single"/>
              </w:rPr>
              <w:t>,</w:t>
            </w:r>
            <w:r w:rsidRPr="00B3626F">
              <w:rPr>
                <w:rFonts w:asciiTheme="minorHAnsi" w:hAnsiTheme="minorHAnsi"/>
                <w:sz w:val="20"/>
              </w:rPr>
              <w:t xml:space="preserve"> </w:t>
            </w:r>
            <w:r w:rsidR="006373E6" w:rsidRPr="00B3626F">
              <w:rPr>
                <w:rFonts w:asciiTheme="minorHAnsi" w:hAnsiTheme="minorHAnsi"/>
                <w:sz w:val="20"/>
              </w:rPr>
              <w:t>et d</w:t>
            </w:r>
            <w:r w:rsidRPr="00B3626F">
              <w:rPr>
                <w:rFonts w:asciiTheme="minorHAnsi" w:hAnsiTheme="minorHAnsi"/>
                <w:sz w:val="20"/>
              </w:rPr>
              <w:t>es demandes d</w:t>
            </w:r>
            <w:r w:rsidR="00DE5604" w:rsidRPr="00B3626F">
              <w:rPr>
                <w:rFonts w:asciiTheme="minorHAnsi" w:hAnsiTheme="minorHAnsi"/>
                <w:sz w:val="20"/>
              </w:rPr>
              <w:t>’</w:t>
            </w:r>
            <w:r w:rsidRPr="00B3626F">
              <w:rPr>
                <w:rFonts w:asciiTheme="minorHAnsi" w:hAnsiTheme="minorHAnsi"/>
                <w:sz w:val="20"/>
              </w:rPr>
              <w:t xml:space="preserve">assistance internationale </w:t>
            </w:r>
            <w:r w:rsidRPr="00B3626F">
              <w:rPr>
                <w:rFonts w:asciiTheme="minorHAnsi" w:hAnsiTheme="minorHAnsi"/>
                <w:strike/>
                <w:sz w:val="20"/>
              </w:rPr>
              <w:t>supérieures à 100 000 dollars des États-Unis</w:t>
            </w:r>
            <w:r w:rsidR="00800EB2" w:rsidRPr="00B3626F">
              <w:rPr>
                <w:rStyle w:val="Appelnotedebasdep"/>
                <w:rFonts w:asciiTheme="minorHAnsi" w:eastAsia="SimSun" w:hAnsiTheme="minorHAnsi" w:cstheme="minorHAnsi"/>
                <w:sz w:val="20"/>
                <w:szCs w:val="20"/>
              </w:rPr>
              <w:footnoteReference w:id="4"/>
            </w:r>
            <w:r w:rsidRPr="00B3626F">
              <w:rPr>
                <w:rFonts w:asciiTheme="minorHAnsi" w:hAnsiTheme="minorHAnsi"/>
                <w:sz w:val="20"/>
              </w:rPr>
              <w:t xml:space="preserve"> </w:t>
            </w:r>
            <w:r w:rsidR="006373E6" w:rsidRPr="00B3626F">
              <w:rPr>
                <w:rFonts w:asciiTheme="minorHAnsi" w:hAnsiTheme="minorHAnsi"/>
                <w:sz w:val="20"/>
                <w:u w:val="single"/>
              </w:rPr>
              <w:t xml:space="preserve">soumises simultanément </w:t>
            </w:r>
            <w:r w:rsidR="00656B10" w:rsidRPr="00B3626F">
              <w:rPr>
                <w:rFonts w:asciiTheme="minorHAnsi" w:hAnsiTheme="minorHAnsi"/>
                <w:sz w:val="20"/>
                <w:u w:val="single"/>
              </w:rPr>
              <w:t>à</w:t>
            </w:r>
            <w:r w:rsidR="006373E6" w:rsidRPr="00B3626F">
              <w:rPr>
                <w:rFonts w:asciiTheme="minorHAnsi" w:hAnsiTheme="minorHAnsi"/>
                <w:sz w:val="20"/>
                <w:u w:val="single"/>
              </w:rPr>
              <w:t xml:space="preserve"> des candidatures pour la Liste du patrimoine culturel immatériel nécessitant une sauvegarde urgente ou dans le cadre d</w:t>
            </w:r>
            <w:r w:rsidR="00DE5604" w:rsidRPr="00B3626F">
              <w:rPr>
                <w:rFonts w:asciiTheme="minorHAnsi" w:hAnsiTheme="minorHAnsi"/>
                <w:sz w:val="20"/>
                <w:u w:val="single"/>
              </w:rPr>
              <w:t>’</w:t>
            </w:r>
            <w:r w:rsidR="006373E6" w:rsidRPr="00B3626F">
              <w:rPr>
                <w:rFonts w:asciiTheme="minorHAnsi" w:hAnsiTheme="minorHAnsi"/>
                <w:sz w:val="20"/>
                <w:u w:val="single"/>
              </w:rPr>
              <w:t>une demande de transfert d</w:t>
            </w:r>
            <w:r w:rsidR="00DE5604" w:rsidRPr="00B3626F">
              <w:rPr>
                <w:rFonts w:asciiTheme="minorHAnsi" w:hAnsiTheme="minorHAnsi"/>
                <w:sz w:val="20"/>
                <w:u w:val="single"/>
              </w:rPr>
              <w:t>’</w:t>
            </w:r>
            <w:r w:rsidR="006373E6" w:rsidRPr="00B3626F">
              <w:rPr>
                <w:rFonts w:asciiTheme="minorHAnsi" w:hAnsiTheme="minorHAnsi"/>
                <w:sz w:val="20"/>
                <w:u w:val="single"/>
              </w:rPr>
              <w:t>un élément de la Liste représentative du patrimoine culturel immatériel de l</w:t>
            </w:r>
            <w:r w:rsidR="00DE5604" w:rsidRPr="00B3626F">
              <w:rPr>
                <w:rFonts w:asciiTheme="minorHAnsi" w:hAnsiTheme="minorHAnsi"/>
                <w:sz w:val="20"/>
                <w:u w:val="single"/>
              </w:rPr>
              <w:t>’</w:t>
            </w:r>
            <w:r w:rsidR="006373E6" w:rsidRPr="00B3626F">
              <w:rPr>
                <w:rFonts w:asciiTheme="minorHAnsi" w:hAnsiTheme="minorHAnsi"/>
                <w:sz w:val="20"/>
                <w:u w:val="single"/>
              </w:rPr>
              <w:t>humanité à la Liste du patrimoine culturel immatériel nécessitant une sauvegarde urgente</w:t>
            </w:r>
            <w:r w:rsidR="006373E6" w:rsidRPr="00B3626F">
              <w:rPr>
                <w:rFonts w:asciiTheme="minorHAnsi" w:hAnsiTheme="minorHAnsi"/>
                <w:sz w:val="20"/>
              </w:rPr>
              <w:t xml:space="preserve"> </w:t>
            </w:r>
            <w:r w:rsidRPr="00B3626F">
              <w:rPr>
                <w:rFonts w:asciiTheme="minorHAnsi" w:hAnsiTheme="minorHAnsi"/>
                <w:sz w:val="20"/>
              </w:rPr>
              <w:t>est effectuée par un organe consultatif du Comité établi conformément à l</w:t>
            </w:r>
            <w:r w:rsidR="00DE5604" w:rsidRPr="00B3626F">
              <w:rPr>
                <w:rFonts w:asciiTheme="minorHAnsi" w:hAnsiTheme="minorHAnsi"/>
                <w:sz w:val="20"/>
              </w:rPr>
              <w:t>’</w:t>
            </w:r>
            <w:r w:rsidRPr="00B3626F">
              <w:rPr>
                <w:rFonts w:asciiTheme="minorHAnsi" w:hAnsiTheme="minorHAnsi"/>
                <w:sz w:val="20"/>
              </w:rPr>
              <w:t>article 8.3 de la Convention, dénommé l</w:t>
            </w:r>
            <w:r w:rsidR="00DE5604" w:rsidRPr="00B3626F">
              <w:rPr>
                <w:rFonts w:asciiTheme="minorHAnsi" w:hAnsiTheme="minorHAnsi"/>
                <w:sz w:val="20"/>
              </w:rPr>
              <w:t>’</w:t>
            </w:r>
            <w:r w:rsidRPr="00B3626F">
              <w:rPr>
                <w:rFonts w:asciiTheme="minorHAnsi" w:hAnsiTheme="minorHAnsi"/>
                <w:sz w:val="20"/>
              </w:rPr>
              <w:t>« Organe d</w:t>
            </w:r>
            <w:r w:rsidR="00DE5604" w:rsidRPr="00B3626F">
              <w:rPr>
                <w:rFonts w:asciiTheme="minorHAnsi" w:hAnsiTheme="minorHAnsi"/>
                <w:sz w:val="20"/>
              </w:rPr>
              <w:t>’</w:t>
            </w:r>
            <w:r w:rsidRPr="00B3626F">
              <w:rPr>
                <w:rFonts w:asciiTheme="minorHAnsi" w:hAnsiTheme="minorHAnsi"/>
                <w:sz w:val="20"/>
              </w:rPr>
              <w:t>évaluation ». L</w:t>
            </w:r>
            <w:r w:rsidR="00DE5604" w:rsidRPr="00B3626F">
              <w:rPr>
                <w:rFonts w:asciiTheme="minorHAnsi" w:hAnsiTheme="minorHAnsi"/>
                <w:sz w:val="20"/>
              </w:rPr>
              <w:t>’</w:t>
            </w:r>
            <w:r w:rsidRPr="00B3626F">
              <w:rPr>
                <w:rFonts w:asciiTheme="minorHAnsi" w:hAnsiTheme="minorHAnsi"/>
                <w:sz w:val="20"/>
              </w:rPr>
              <w:t>Organe d</w:t>
            </w:r>
            <w:r w:rsidR="00DE5604" w:rsidRPr="00B3626F">
              <w:rPr>
                <w:rFonts w:asciiTheme="minorHAnsi" w:hAnsiTheme="minorHAnsi"/>
                <w:sz w:val="20"/>
              </w:rPr>
              <w:t>’</w:t>
            </w:r>
            <w:r w:rsidRPr="00B3626F">
              <w:rPr>
                <w:rFonts w:asciiTheme="minorHAnsi" w:hAnsiTheme="minorHAnsi"/>
                <w:sz w:val="20"/>
              </w:rPr>
              <w:t>évaluation formule des recommandations au Comité pour décision. L</w:t>
            </w:r>
            <w:r w:rsidR="00DE5604" w:rsidRPr="00B3626F">
              <w:rPr>
                <w:rFonts w:asciiTheme="minorHAnsi" w:hAnsiTheme="minorHAnsi"/>
                <w:sz w:val="20"/>
              </w:rPr>
              <w:t>’</w:t>
            </w:r>
            <w:r w:rsidRPr="00B3626F">
              <w:rPr>
                <w:rFonts w:asciiTheme="minorHAnsi" w:hAnsiTheme="minorHAnsi"/>
                <w:sz w:val="20"/>
              </w:rPr>
              <w:t>Organe d</w:t>
            </w:r>
            <w:r w:rsidR="00DE5604" w:rsidRPr="00B3626F">
              <w:rPr>
                <w:rFonts w:asciiTheme="minorHAnsi" w:hAnsiTheme="minorHAnsi"/>
                <w:sz w:val="20"/>
              </w:rPr>
              <w:t>’</w:t>
            </w:r>
            <w:r w:rsidRPr="00B3626F">
              <w:rPr>
                <w:rFonts w:asciiTheme="minorHAnsi" w:hAnsiTheme="minorHAnsi"/>
                <w:sz w:val="20"/>
              </w:rPr>
              <w:t>évaluation est composé de douze membres nommés par le Comité : six experts qualifiés dans les divers domaines du patrimoine culturel immatériel représentants d</w:t>
            </w:r>
            <w:r w:rsidR="00DE5604" w:rsidRPr="00B3626F">
              <w:rPr>
                <w:rFonts w:asciiTheme="minorHAnsi" w:hAnsiTheme="minorHAnsi"/>
                <w:sz w:val="20"/>
              </w:rPr>
              <w:t>’</w:t>
            </w:r>
            <w:r w:rsidRPr="00B3626F">
              <w:rPr>
                <w:rFonts w:asciiTheme="minorHAnsi" w:hAnsiTheme="minorHAnsi"/>
                <w:sz w:val="20"/>
              </w:rPr>
              <w:t>États parties non membres du Comité et six organisations non gouvernementales accréditées, en tenant compte d</w:t>
            </w:r>
            <w:r w:rsidR="00DE5604" w:rsidRPr="00B3626F">
              <w:rPr>
                <w:rFonts w:asciiTheme="minorHAnsi" w:hAnsiTheme="minorHAnsi"/>
                <w:sz w:val="20"/>
              </w:rPr>
              <w:t>’</w:t>
            </w:r>
            <w:r w:rsidRPr="00B3626F">
              <w:rPr>
                <w:rFonts w:asciiTheme="minorHAnsi" w:hAnsiTheme="minorHAnsi"/>
                <w:sz w:val="20"/>
              </w:rPr>
              <w:t>une répartition géographique équitable et des différents domaines du patrimoine culturel immatériel</w:t>
            </w:r>
            <w:r w:rsidR="002C66B1" w:rsidRPr="00B3626F">
              <w:rPr>
                <w:rFonts w:asciiTheme="minorHAnsi" w:hAnsiTheme="minorHAnsi"/>
                <w:sz w:val="20"/>
              </w:rPr>
              <w:t>.</w:t>
            </w:r>
          </w:p>
        </w:tc>
      </w:tr>
      <w:tr w:rsidR="005A49E9" w:rsidRPr="00B3626F" w14:paraId="410CEB69" w14:textId="77777777" w:rsidTr="00BD61EE">
        <w:tc>
          <w:tcPr>
            <w:tcW w:w="831" w:type="dxa"/>
          </w:tcPr>
          <w:p w14:paraId="57276A2C" w14:textId="77777777" w:rsidR="005A49E9" w:rsidRPr="00B3626F" w:rsidRDefault="005A49E9" w:rsidP="00BD61EE">
            <w:pPr>
              <w:spacing w:before="60" w:after="60"/>
              <w:rPr>
                <w:rFonts w:asciiTheme="minorHAnsi" w:hAnsiTheme="minorHAnsi" w:cstheme="minorHAnsi"/>
                <w:sz w:val="20"/>
                <w:szCs w:val="20"/>
              </w:rPr>
            </w:pPr>
            <w:r w:rsidRPr="00B3626F">
              <w:rPr>
                <w:rFonts w:asciiTheme="minorHAnsi" w:hAnsiTheme="minorHAnsi"/>
                <w:sz w:val="20"/>
              </w:rPr>
              <w:t>30.</w:t>
            </w:r>
          </w:p>
        </w:tc>
        <w:tc>
          <w:tcPr>
            <w:tcW w:w="6252" w:type="dxa"/>
            <w:gridSpan w:val="2"/>
          </w:tcPr>
          <w:p w14:paraId="668D0C05" w14:textId="683EF77F" w:rsidR="006E223D" w:rsidRPr="00B3626F" w:rsidRDefault="006E223D" w:rsidP="001301CD">
            <w:pPr>
              <w:widowControl w:val="0"/>
              <w:spacing w:before="120" w:after="120"/>
              <w:rPr>
                <w:rFonts w:asciiTheme="minorHAnsi" w:hAnsiTheme="minorHAnsi" w:cstheme="minorHAnsi"/>
                <w:sz w:val="20"/>
                <w:szCs w:val="20"/>
              </w:rPr>
            </w:pPr>
            <w:r w:rsidRPr="00B3626F">
              <w:rPr>
                <w:rFonts w:asciiTheme="minorHAnsi" w:hAnsiTheme="minorHAnsi" w:cstheme="minorHAnsi"/>
                <w:sz w:val="20"/>
                <w:szCs w:val="20"/>
              </w:rPr>
              <w:t>L</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Organe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évaluation soumet au Comité un rapport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 xml:space="preserve">évaluation comprenant une recommandation : </w:t>
            </w:r>
          </w:p>
          <w:p w14:paraId="434EABFE" w14:textId="5AFDCF5A" w:rsidR="006E223D" w:rsidRPr="00B3626F" w:rsidRDefault="006E223D" w:rsidP="00F6394F">
            <w:pPr>
              <w:pStyle w:val="Paragraphedeliste"/>
              <w:widowControl w:val="0"/>
              <w:numPr>
                <w:ilvl w:val="0"/>
                <w:numId w:val="38"/>
              </w:numPr>
              <w:autoSpaceDE w:val="0"/>
              <w:autoSpaceDN w:val="0"/>
              <w:spacing w:after="60"/>
              <w:ind w:left="756"/>
              <w:rPr>
                <w:rFonts w:asciiTheme="minorHAnsi" w:hAnsiTheme="minorHAnsi" w:cstheme="minorHAnsi"/>
                <w:sz w:val="20"/>
                <w:szCs w:val="20"/>
              </w:rPr>
            </w:pPr>
            <w:r w:rsidRPr="00B3626F">
              <w:rPr>
                <w:rFonts w:asciiTheme="minorHAnsi" w:hAnsiTheme="minorHAnsi" w:cstheme="minorHAnsi"/>
                <w:sz w:val="20"/>
                <w:szCs w:val="20"/>
              </w:rPr>
              <w:t>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inscription ou de non-inscription de l</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 xml:space="preserve">élément proposé sur la Liste du patrimoine culturel immatériel nécessitant une </w:t>
            </w:r>
            <w:r w:rsidRPr="00B3626F">
              <w:rPr>
                <w:rFonts w:asciiTheme="minorHAnsi" w:hAnsiTheme="minorHAnsi"/>
                <w:sz w:val="20"/>
                <w:lang w:eastAsia="zh-CN"/>
              </w:rPr>
              <w:t>sauvegarde</w:t>
            </w:r>
            <w:r w:rsidRPr="00B3626F">
              <w:rPr>
                <w:rFonts w:asciiTheme="minorHAnsi" w:hAnsiTheme="minorHAnsi" w:cstheme="minorHAnsi"/>
                <w:sz w:val="20"/>
                <w:szCs w:val="20"/>
              </w:rPr>
              <w:t xml:space="preserve"> urgente ou sur la Liste représentative du patrimoine culturel immatériel de l</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humanité, ou de renvoi de la candidature à l</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 xml:space="preserve">(aux) État(s) soumissionnaire(s) pour </w:t>
            </w:r>
            <w:r w:rsidRPr="00B3626F">
              <w:rPr>
                <w:rFonts w:asciiTheme="minorHAnsi" w:hAnsiTheme="minorHAnsi" w:cstheme="minorHAnsi"/>
                <w:sz w:val="20"/>
                <w:szCs w:val="20"/>
              </w:rPr>
              <w:lastRenderedPageBreak/>
              <w:t>complément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 xml:space="preserve">information ; </w:t>
            </w:r>
          </w:p>
          <w:p w14:paraId="7BF8411E" w14:textId="77777777" w:rsidR="00A13A02" w:rsidRPr="00B3626F" w:rsidRDefault="00A13A02" w:rsidP="00F6394F">
            <w:pPr>
              <w:pStyle w:val="Paragraphedeliste"/>
              <w:widowControl w:val="0"/>
              <w:autoSpaceDE w:val="0"/>
              <w:autoSpaceDN w:val="0"/>
              <w:spacing w:after="60"/>
              <w:ind w:left="756"/>
              <w:rPr>
                <w:rFonts w:asciiTheme="minorHAnsi" w:hAnsiTheme="minorHAnsi" w:cstheme="minorHAnsi"/>
                <w:sz w:val="20"/>
                <w:szCs w:val="20"/>
              </w:rPr>
            </w:pPr>
          </w:p>
          <w:p w14:paraId="4EA1B8D6" w14:textId="2EFBD627" w:rsidR="006E223D" w:rsidRPr="00B3626F" w:rsidRDefault="006E223D" w:rsidP="00F6394F">
            <w:pPr>
              <w:pStyle w:val="Paragraphedeliste"/>
              <w:widowControl w:val="0"/>
              <w:numPr>
                <w:ilvl w:val="0"/>
                <w:numId w:val="38"/>
              </w:numPr>
              <w:autoSpaceDE w:val="0"/>
              <w:autoSpaceDN w:val="0"/>
              <w:spacing w:after="60"/>
              <w:ind w:left="756"/>
              <w:rPr>
                <w:rFonts w:asciiTheme="minorHAnsi" w:hAnsiTheme="minorHAnsi" w:cstheme="minorHAnsi"/>
                <w:sz w:val="20"/>
                <w:szCs w:val="20"/>
              </w:rPr>
            </w:pPr>
            <w:r w:rsidRPr="00B3626F">
              <w:rPr>
                <w:rFonts w:asciiTheme="minorHAnsi" w:hAnsiTheme="minorHAnsi" w:cstheme="minorHAnsi"/>
                <w:sz w:val="20"/>
                <w:szCs w:val="20"/>
              </w:rPr>
              <w:t xml:space="preserve">de sélection ou de non-sélection de la proposition de </w:t>
            </w:r>
            <w:r w:rsidRPr="00B3626F">
              <w:rPr>
                <w:rFonts w:asciiTheme="minorHAnsi" w:hAnsiTheme="minorHAnsi"/>
                <w:sz w:val="20"/>
                <w:lang w:eastAsia="zh-CN"/>
              </w:rPr>
              <w:t>programme</w:t>
            </w:r>
            <w:r w:rsidRPr="00B3626F">
              <w:rPr>
                <w:rFonts w:asciiTheme="minorHAnsi" w:hAnsiTheme="minorHAnsi" w:cstheme="minorHAnsi"/>
                <w:sz w:val="20"/>
                <w:szCs w:val="20"/>
              </w:rPr>
              <w:t>, projet ou activité, ou de renvoi de la proposition à l</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(aux) État(s) soumissionnaire(s) pour complément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 xml:space="preserve">information ; ou </w:t>
            </w:r>
          </w:p>
          <w:p w14:paraId="39532741" w14:textId="77777777" w:rsidR="00A13A02" w:rsidRPr="00B3626F" w:rsidRDefault="00A13A02" w:rsidP="00F6394F">
            <w:pPr>
              <w:pStyle w:val="Paragraphedeliste"/>
              <w:widowControl w:val="0"/>
              <w:autoSpaceDE w:val="0"/>
              <w:autoSpaceDN w:val="0"/>
              <w:spacing w:after="60"/>
              <w:ind w:left="756"/>
              <w:rPr>
                <w:rFonts w:asciiTheme="minorHAnsi" w:eastAsia="Calibri" w:hAnsiTheme="minorHAnsi" w:cstheme="minorHAnsi"/>
                <w:color w:val="231F20"/>
                <w:sz w:val="20"/>
                <w:szCs w:val="20"/>
              </w:rPr>
            </w:pPr>
          </w:p>
          <w:p w14:paraId="213A9041" w14:textId="2472F1B9" w:rsidR="005A49E9" w:rsidRPr="00B3626F" w:rsidRDefault="006E223D" w:rsidP="00F6394F">
            <w:pPr>
              <w:pStyle w:val="Paragraphedeliste"/>
              <w:widowControl w:val="0"/>
              <w:numPr>
                <w:ilvl w:val="0"/>
                <w:numId w:val="38"/>
              </w:numPr>
              <w:autoSpaceDE w:val="0"/>
              <w:autoSpaceDN w:val="0"/>
              <w:spacing w:after="60"/>
              <w:ind w:left="756"/>
              <w:rPr>
                <w:rFonts w:asciiTheme="minorHAnsi" w:eastAsia="Calibri" w:hAnsiTheme="minorHAnsi" w:cstheme="minorHAnsi"/>
                <w:color w:val="231F20"/>
                <w:sz w:val="20"/>
                <w:szCs w:val="20"/>
              </w:rPr>
            </w:pPr>
            <w:r w:rsidRPr="00B3626F">
              <w:rPr>
                <w:rFonts w:asciiTheme="minorHAnsi" w:hAnsiTheme="minorHAnsi"/>
                <w:sz w:val="20"/>
                <w:lang w:eastAsia="zh-CN"/>
              </w:rPr>
              <w:t>d</w:t>
            </w:r>
            <w:r w:rsidR="00DE5604" w:rsidRPr="00B3626F">
              <w:rPr>
                <w:rFonts w:asciiTheme="minorHAnsi" w:hAnsiTheme="minorHAnsi"/>
                <w:sz w:val="20"/>
                <w:lang w:eastAsia="zh-CN"/>
              </w:rPr>
              <w:t>’</w:t>
            </w:r>
            <w:r w:rsidRPr="00B3626F">
              <w:rPr>
                <w:rFonts w:asciiTheme="minorHAnsi" w:hAnsiTheme="minorHAnsi"/>
                <w:sz w:val="20"/>
                <w:lang w:eastAsia="zh-CN"/>
              </w:rPr>
              <w:t>approbation</w:t>
            </w:r>
            <w:r w:rsidRPr="00B3626F">
              <w:rPr>
                <w:rFonts w:asciiTheme="minorHAnsi" w:hAnsiTheme="minorHAnsi" w:cstheme="minorHAnsi"/>
                <w:sz w:val="20"/>
                <w:szCs w:val="20"/>
              </w:rPr>
              <w:t xml:space="preserve"> ou non-approbation de la demande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assistance, ou de renvoi de la demande à l</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(aux) État(s) soumissionnaire(s) pour complément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information.</w:t>
            </w:r>
          </w:p>
        </w:tc>
        <w:tc>
          <w:tcPr>
            <w:tcW w:w="709" w:type="dxa"/>
          </w:tcPr>
          <w:p w14:paraId="5EBCCD4D" w14:textId="77777777" w:rsidR="005A49E9" w:rsidRPr="00B3626F" w:rsidRDefault="005A49E9" w:rsidP="00BD61EE">
            <w:pPr>
              <w:spacing w:before="60" w:after="60"/>
              <w:rPr>
                <w:rFonts w:asciiTheme="minorHAnsi" w:hAnsiTheme="minorHAnsi" w:cstheme="minorHAnsi"/>
                <w:sz w:val="20"/>
                <w:szCs w:val="20"/>
              </w:rPr>
            </w:pPr>
            <w:r w:rsidRPr="00B3626F">
              <w:rPr>
                <w:rFonts w:asciiTheme="minorHAnsi" w:hAnsiTheme="minorHAnsi"/>
                <w:sz w:val="20"/>
              </w:rPr>
              <w:lastRenderedPageBreak/>
              <w:t>30.</w:t>
            </w:r>
          </w:p>
        </w:tc>
        <w:tc>
          <w:tcPr>
            <w:tcW w:w="6520" w:type="dxa"/>
            <w:gridSpan w:val="2"/>
          </w:tcPr>
          <w:p w14:paraId="085B3829" w14:textId="7DC6E4D6" w:rsidR="006E223D" w:rsidRPr="00B3626F" w:rsidRDefault="006E223D" w:rsidP="001301CD">
            <w:pPr>
              <w:widowControl w:val="0"/>
              <w:spacing w:before="120" w:after="120"/>
              <w:rPr>
                <w:rFonts w:asciiTheme="minorHAnsi" w:hAnsiTheme="minorHAnsi" w:cstheme="minorHAnsi"/>
                <w:sz w:val="20"/>
                <w:szCs w:val="20"/>
              </w:rPr>
            </w:pPr>
            <w:r w:rsidRPr="00B3626F">
              <w:rPr>
                <w:rFonts w:asciiTheme="minorHAnsi" w:hAnsiTheme="minorHAnsi" w:cstheme="minorHAnsi"/>
                <w:sz w:val="20"/>
                <w:szCs w:val="20"/>
              </w:rPr>
              <w:t>L</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Organe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évaluation soumet au Comité un rapport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 xml:space="preserve">évaluation comprenant une recommandation : </w:t>
            </w:r>
          </w:p>
          <w:p w14:paraId="7189F4E2" w14:textId="32B75731" w:rsidR="00DE6CF3" w:rsidRPr="00B3626F" w:rsidRDefault="00DE6CF3" w:rsidP="00DE6CF3">
            <w:pPr>
              <w:pStyle w:val="Paragraphedeliste"/>
              <w:numPr>
                <w:ilvl w:val="0"/>
                <w:numId w:val="9"/>
              </w:numPr>
              <w:rPr>
                <w:rFonts w:asciiTheme="minorHAnsi" w:hAnsiTheme="minorHAnsi"/>
                <w:sz w:val="20"/>
                <w:lang w:eastAsia="zh-CN"/>
              </w:rPr>
            </w:pPr>
            <w:r w:rsidRPr="00B3626F">
              <w:rPr>
                <w:rFonts w:asciiTheme="minorHAnsi" w:hAnsiTheme="minorHAnsi"/>
                <w:sz w:val="20"/>
                <w:lang w:eastAsia="zh-CN"/>
              </w:rPr>
              <w:t>d</w:t>
            </w:r>
            <w:r w:rsidR="00DE5604" w:rsidRPr="00B3626F">
              <w:rPr>
                <w:rFonts w:asciiTheme="minorHAnsi" w:hAnsiTheme="minorHAnsi"/>
                <w:sz w:val="20"/>
                <w:lang w:eastAsia="zh-CN"/>
              </w:rPr>
              <w:t>’</w:t>
            </w:r>
            <w:r w:rsidRPr="00B3626F">
              <w:rPr>
                <w:rFonts w:asciiTheme="minorHAnsi" w:hAnsiTheme="minorHAnsi"/>
                <w:sz w:val="20"/>
                <w:lang w:eastAsia="zh-CN"/>
              </w:rPr>
              <w:t>inscription ou de non-inscription de l</w:t>
            </w:r>
            <w:r w:rsidR="00DE5604" w:rsidRPr="00B3626F">
              <w:rPr>
                <w:rFonts w:asciiTheme="minorHAnsi" w:hAnsiTheme="minorHAnsi"/>
                <w:sz w:val="20"/>
                <w:lang w:eastAsia="zh-CN"/>
              </w:rPr>
              <w:t>’</w:t>
            </w:r>
            <w:r w:rsidRPr="00B3626F">
              <w:rPr>
                <w:rFonts w:asciiTheme="minorHAnsi" w:hAnsiTheme="minorHAnsi"/>
                <w:sz w:val="20"/>
                <w:lang w:eastAsia="zh-CN"/>
              </w:rPr>
              <w:t xml:space="preserve">élément proposé </w:t>
            </w:r>
            <w:r w:rsidRPr="00B3626F">
              <w:rPr>
                <w:rFonts w:asciiTheme="minorHAnsi" w:hAnsiTheme="minorHAnsi"/>
                <w:sz w:val="20"/>
                <w:highlight w:val="lightGray"/>
                <w:u w:val="single"/>
                <w:lang w:eastAsia="zh-CN"/>
              </w:rPr>
              <w:t>(y compris le transfert d</w:t>
            </w:r>
            <w:r w:rsidR="00DE5604" w:rsidRPr="00B3626F">
              <w:rPr>
                <w:rFonts w:asciiTheme="minorHAnsi" w:hAnsiTheme="minorHAnsi"/>
                <w:sz w:val="20"/>
                <w:highlight w:val="lightGray"/>
                <w:u w:val="single"/>
                <w:lang w:eastAsia="zh-CN"/>
              </w:rPr>
              <w:t>’</w:t>
            </w:r>
            <w:r w:rsidRPr="00B3626F">
              <w:rPr>
                <w:rFonts w:asciiTheme="minorHAnsi" w:hAnsiTheme="minorHAnsi"/>
                <w:sz w:val="20"/>
                <w:highlight w:val="lightGray"/>
                <w:u w:val="single"/>
                <w:lang w:eastAsia="zh-CN"/>
              </w:rPr>
              <w:t>un élément d</w:t>
            </w:r>
            <w:r w:rsidR="00DE5604" w:rsidRPr="00B3626F">
              <w:rPr>
                <w:rFonts w:asciiTheme="minorHAnsi" w:hAnsiTheme="minorHAnsi"/>
                <w:sz w:val="20"/>
                <w:highlight w:val="lightGray"/>
                <w:u w:val="single"/>
                <w:lang w:eastAsia="zh-CN"/>
              </w:rPr>
              <w:t>’</w:t>
            </w:r>
            <w:r w:rsidRPr="00B3626F">
              <w:rPr>
                <w:rFonts w:asciiTheme="minorHAnsi" w:hAnsiTheme="minorHAnsi"/>
                <w:sz w:val="20"/>
                <w:highlight w:val="lightGray"/>
                <w:u w:val="single"/>
                <w:lang w:eastAsia="zh-CN"/>
              </w:rPr>
              <w:t>une liste à l</w:t>
            </w:r>
            <w:r w:rsidR="00DE5604" w:rsidRPr="00B3626F">
              <w:rPr>
                <w:rFonts w:asciiTheme="minorHAnsi" w:hAnsiTheme="minorHAnsi"/>
                <w:sz w:val="20"/>
                <w:highlight w:val="lightGray"/>
                <w:u w:val="single"/>
                <w:lang w:eastAsia="zh-CN"/>
              </w:rPr>
              <w:t>’</w:t>
            </w:r>
            <w:r w:rsidRPr="00B3626F">
              <w:rPr>
                <w:rFonts w:asciiTheme="minorHAnsi" w:hAnsiTheme="minorHAnsi"/>
                <w:sz w:val="20"/>
                <w:highlight w:val="lightGray"/>
                <w:u w:val="single"/>
                <w:lang w:eastAsia="zh-CN"/>
              </w:rPr>
              <w:t>autre, l</w:t>
            </w:r>
            <w:r w:rsidR="00DE5604" w:rsidRPr="00B3626F">
              <w:rPr>
                <w:rFonts w:asciiTheme="minorHAnsi" w:hAnsiTheme="minorHAnsi"/>
                <w:sz w:val="20"/>
                <w:highlight w:val="lightGray"/>
                <w:u w:val="single"/>
                <w:lang w:eastAsia="zh-CN"/>
              </w:rPr>
              <w:t>’</w:t>
            </w:r>
            <w:r w:rsidRPr="00B3626F">
              <w:rPr>
                <w:rFonts w:asciiTheme="minorHAnsi" w:hAnsiTheme="minorHAnsi"/>
                <w:sz w:val="20"/>
                <w:highlight w:val="lightGray"/>
                <w:u w:val="single"/>
                <w:lang w:eastAsia="zh-CN"/>
              </w:rPr>
              <w:t>élargissement ou la réduction d</w:t>
            </w:r>
            <w:r w:rsidR="00DE5604" w:rsidRPr="00B3626F">
              <w:rPr>
                <w:rFonts w:asciiTheme="minorHAnsi" w:hAnsiTheme="minorHAnsi"/>
                <w:sz w:val="20"/>
                <w:highlight w:val="lightGray"/>
                <w:u w:val="single"/>
                <w:lang w:eastAsia="zh-CN"/>
              </w:rPr>
              <w:t>’</w:t>
            </w:r>
            <w:r w:rsidRPr="00B3626F">
              <w:rPr>
                <w:rFonts w:asciiTheme="minorHAnsi" w:hAnsiTheme="minorHAnsi"/>
                <w:sz w:val="20"/>
                <w:highlight w:val="lightGray"/>
                <w:u w:val="single"/>
                <w:lang w:eastAsia="zh-CN"/>
              </w:rPr>
              <w:t>un élément déjà inscrit)</w:t>
            </w:r>
            <w:r w:rsidRPr="00B3626F">
              <w:rPr>
                <w:rFonts w:asciiTheme="minorHAnsi" w:hAnsiTheme="minorHAnsi"/>
                <w:sz w:val="20"/>
                <w:lang w:eastAsia="zh-CN"/>
              </w:rPr>
              <w:t xml:space="preserve"> sur la Liste du patrimoine culturel immatériel nécessitant une sauvegarde urgente ou sur la Liste représentative du patrimoine culturel immatériel de </w:t>
            </w:r>
            <w:r w:rsidRPr="00B3626F">
              <w:rPr>
                <w:rFonts w:asciiTheme="minorHAnsi" w:hAnsiTheme="minorHAnsi"/>
                <w:sz w:val="20"/>
                <w:lang w:eastAsia="zh-CN"/>
              </w:rPr>
              <w:lastRenderedPageBreak/>
              <w:t>l</w:t>
            </w:r>
            <w:r w:rsidR="00DE5604" w:rsidRPr="00B3626F">
              <w:rPr>
                <w:rFonts w:asciiTheme="minorHAnsi" w:hAnsiTheme="minorHAnsi"/>
                <w:sz w:val="20"/>
                <w:lang w:eastAsia="zh-CN"/>
              </w:rPr>
              <w:t>’</w:t>
            </w:r>
            <w:r w:rsidRPr="00B3626F">
              <w:rPr>
                <w:rFonts w:asciiTheme="minorHAnsi" w:hAnsiTheme="minorHAnsi"/>
                <w:sz w:val="20"/>
                <w:lang w:eastAsia="zh-CN"/>
              </w:rPr>
              <w:t>humanité, ou de renvoi de la candidature à l</w:t>
            </w:r>
            <w:r w:rsidR="00DE5604" w:rsidRPr="00B3626F">
              <w:rPr>
                <w:rFonts w:asciiTheme="minorHAnsi" w:hAnsiTheme="minorHAnsi"/>
                <w:sz w:val="20"/>
                <w:lang w:eastAsia="zh-CN"/>
              </w:rPr>
              <w:t>’</w:t>
            </w:r>
            <w:r w:rsidRPr="00B3626F">
              <w:rPr>
                <w:rFonts w:asciiTheme="minorHAnsi" w:hAnsiTheme="minorHAnsi"/>
                <w:sz w:val="20"/>
                <w:lang w:eastAsia="zh-CN"/>
              </w:rPr>
              <w:t>(aux) État(s) soumissionnaire(s) pour complément d</w:t>
            </w:r>
            <w:r w:rsidR="00DE5604" w:rsidRPr="00B3626F">
              <w:rPr>
                <w:rFonts w:asciiTheme="minorHAnsi" w:hAnsiTheme="minorHAnsi"/>
                <w:sz w:val="20"/>
                <w:lang w:eastAsia="zh-CN"/>
              </w:rPr>
              <w:t>’</w:t>
            </w:r>
            <w:r w:rsidRPr="00B3626F">
              <w:rPr>
                <w:rFonts w:asciiTheme="minorHAnsi" w:hAnsiTheme="minorHAnsi"/>
                <w:sz w:val="20"/>
                <w:lang w:eastAsia="zh-CN"/>
              </w:rPr>
              <w:t>information ;</w:t>
            </w:r>
          </w:p>
          <w:p w14:paraId="39991400" w14:textId="77777777" w:rsidR="00A13A02" w:rsidRPr="00B3626F" w:rsidRDefault="00A13A02" w:rsidP="00A13A02">
            <w:pPr>
              <w:pStyle w:val="Paragraphedeliste"/>
              <w:rPr>
                <w:rFonts w:asciiTheme="minorHAnsi" w:hAnsiTheme="minorHAnsi"/>
                <w:sz w:val="20"/>
                <w:lang w:eastAsia="zh-CN"/>
              </w:rPr>
            </w:pPr>
          </w:p>
          <w:p w14:paraId="232BF707" w14:textId="086A4F6A" w:rsidR="00A13A02" w:rsidRPr="00B3626F" w:rsidRDefault="00A13A02" w:rsidP="00A13A02">
            <w:pPr>
              <w:pStyle w:val="Paragraphedeliste"/>
              <w:numPr>
                <w:ilvl w:val="0"/>
                <w:numId w:val="9"/>
              </w:numPr>
              <w:rPr>
                <w:rFonts w:asciiTheme="minorHAnsi" w:hAnsiTheme="minorHAnsi"/>
                <w:sz w:val="20"/>
                <w:lang w:eastAsia="zh-CN"/>
              </w:rPr>
            </w:pPr>
            <w:r w:rsidRPr="00B3626F">
              <w:rPr>
                <w:rFonts w:asciiTheme="minorHAnsi" w:hAnsiTheme="minorHAnsi"/>
                <w:sz w:val="20"/>
                <w:lang w:eastAsia="zh-CN"/>
              </w:rPr>
              <w:t>de sélection ou de non-sélection de la proposition de programme, projet ou activité, ou de renvoi de la proposition à l</w:t>
            </w:r>
            <w:r w:rsidR="00DE5604" w:rsidRPr="00B3626F">
              <w:rPr>
                <w:rFonts w:asciiTheme="minorHAnsi" w:hAnsiTheme="minorHAnsi"/>
                <w:sz w:val="20"/>
                <w:lang w:eastAsia="zh-CN"/>
              </w:rPr>
              <w:t>’</w:t>
            </w:r>
            <w:r w:rsidRPr="00B3626F">
              <w:rPr>
                <w:rFonts w:asciiTheme="minorHAnsi" w:hAnsiTheme="minorHAnsi"/>
                <w:sz w:val="20"/>
                <w:lang w:eastAsia="zh-CN"/>
              </w:rPr>
              <w:t>(aux) État(s) soumissionnaire(s) pour complément d</w:t>
            </w:r>
            <w:r w:rsidR="00DE5604" w:rsidRPr="00B3626F">
              <w:rPr>
                <w:rFonts w:asciiTheme="minorHAnsi" w:hAnsiTheme="minorHAnsi"/>
                <w:sz w:val="20"/>
                <w:lang w:eastAsia="zh-CN"/>
              </w:rPr>
              <w:t>’</w:t>
            </w:r>
            <w:r w:rsidRPr="00B3626F">
              <w:rPr>
                <w:rFonts w:asciiTheme="minorHAnsi" w:hAnsiTheme="minorHAnsi"/>
                <w:sz w:val="20"/>
                <w:lang w:eastAsia="zh-CN"/>
              </w:rPr>
              <w:t>information ;</w:t>
            </w:r>
          </w:p>
          <w:p w14:paraId="4207EA15" w14:textId="77777777" w:rsidR="00A13A02" w:rsidRPr="00B3626F" w:rsidRDefault="00A13A02" w:rsidP="00A13A02">
            <w:pPr>
              <w:pStyle w:val="Paragraphedeliste"/>
              <w:rPr>
                <w:rFonts w:asciiTheme="minorHAnsi" w:hAnsiTheme="minorHAnsi"/>
                <w:sz w:val="20"/>
                <w:lang w:eastAsia="zh-CN"/>
              </w:rPr>
            </w:pPr>
          </w:p>
          <w:p w14:paraId="317560B4" w14:textId="2DAA0250" w:rsidR="005128F7" w:rsidRPr="00B3626F" w:rsidRDefault="005128F7" w:rsidP="008B7A98">
            <w:pPr>
              <w:pStyle w:val="Paragraphedeliste"/>
              <w:numPr>
                <w:ilvl w:val="0"/>
                <w:numId w:val="9"/>
              </w:numPr>
              <w:rPr>
                <w:rFonts w:asciiTheme="minorHAnsi" w:hAnsiTheme="minorHAnsi"/>
                <w:sz w:val="20"/>
                <w:u w:val="single"/>
                <w:lang w:eastAsia="zh-CN"/>
              </w:rPr>
            </w:pPr>
            <w:proofErr w:type="gramStart"/>
            <w:r w:rsidRPr="00B3626F">
              <w:rPr>
                <w:rFonts w:asciiTheme="minorHAnsi" w:hAnsiTheme="minorHAnsi"/>
                <w:sz w:val="20"/>
                <w:u w:val="single"/>
                <w:lang w:eastAsia="zh-CN"/>
              </w:rPr>
              <w:t>d</w:t>
            </w:r>
            <w:r w:rsidR="00DE5604" w:rsidRPr="00B3626F">
              <w:rPr>
                <w:rFonts w:asciiTheme="minorHAnsi" w:hAnsiTheme="minorHAnsi"/>
                <w:sz w:val="20"/>
                <w:u w:val="single"/>
                <w:lang w:eastAsia="zh-CN"/>
              </w:rPr>
              <w:t>’</w:t>
            </w:r>
            <w:r w:rsidRPr="00B3626F">
              <w:rPr>
                <w:rFonts w:asciiTheme="minorHAnsi" w:hAnsiTheme="minorHAnsi"/>
                <w:sz w:val="20"/>
                <w:u w:val="single"/>
                <w:lang w:eastAsia="zh-CN"/>
              </w:rPr>
              <w:t>approbation</w:t>
            </w:r>
            <w:proofErr w:type="gramEnd"/>
            <w:r w:rsidRPr="00B3626F">
              <w:rPr>
                <w:rFonts w:asciiTheme="minorHAnsi" w:hAnsiTheme="minorHAnsi"/>
                <w:sz w:val="20"/>
                <w:u w:val="single"/>
                <w:lang w:eastAsia="zh-CN"/>
              </w:rPr>
              <w:t xml:space="preserve"> ou non-approbation de la demande d</w:t>
            </w:r>
            <w:r w:rsidR="00DE5604" w:rsidRPr="00B3626F">
              <w:rPr>
                <w:rFonts w:asciiTheme="minorHAnsi" w:hAnsiTheme="minorHAnsi"/>
                <w:sz w:val="20"/>
                <w:u w:val="single"/>
                <w:lang w:eastAsia="zh-CN"/>
              </w:rPr>
              <w:t>’</w:t>
            </w:r>
            <w:r w:rsidRPr="00B3626F">
              <w:rPr>
                <w:rFonts w:asciiTheme="minorHAnsi" w:hAnsiTheme="minorHAnsi"/>
                <w:sz w:val="20"/>
                <w:u w:val="single"/>
                <w:lang w:eastAsia="zh-CN"/>
              </w:rPr>
              <w:t>assistance</w:t>
            </w:r>
            <w:r w:rsidR="00AD0674" w:rsidRPr="00B3626F">
              <w:rPr>
                <w:rFonts w:asciiTheme="minorHAnsi" w:hAnsiTheme="minorHAnsi"/>
                <w:sz w:val="20"/>
                <w:u w:val="single"/>
                <w:lang w:eastAsia="zh-CN"/>
              </w:rPr>
              <w:t xml:space="preserve"> internationale </w:t>
            </w:r>
            <w:r w:rsidRPr="00B3626F">
              <w:rPr>
                <w:rFonts w:asciiTheme="minorHAnsi" w:hAnsiTheme="minorHAnsi"/>
                <w:sz w:val="20"/>
                <w:u w:val="single"/>
                <w:lang w:eastAsia="zh-CN"/>
              </w:rPr>
              <w:t xml:space="preserve">soumise </w:t>
            </w:r>
            <w:r w:rsidRPr="00B3626F">
              <w:rPr>
                <w:rFonts w:asciiTheme="minorHAnsi" w:hAnsiTheme="minorHAnsi"/>
                <w:sz w:val="20"/>
                <w:u w:val="single"/>
              </w:rPr>
              <w:t>dans le cadre d</w:t>
            </w:r>
            <w:r w:rsidR="00DE5604" w:rsidRPr="00B3626F">
              <w:rPr>
                <w:rFonts w:asciiTheme="minorHAnsi" w:hAnsiTheme="minorHAnsi"/>
                <w:sz w:val="20"/>
                <w:u w:val="single"/>
              </w:rPr>
              <w:t>’</w:t>
            </w:r>
            <w:r w:rsidRPr="00B3626F">
              <w:rPr>
                <w:rFonts w:asciiTheme="minorHAnsi" w:hAnsiTheme="minorHAnsi"/>
                <w:sz w:val="20"/>
                <w:u w:val="single"/>
              </w:rPr>
              <w:t>une demande de transfert d</w:t>
            </w:r>
            <w:r w:rsidR="00DE5604" w:rsidRPr="00B3626F">
              <w:rPr>
                <w:rFonts w:asciiTheme="minorHAnsi" w:hAnsiTheme="minorHAnsi"/>
                <w:sz w:val="20"/>
                <w:u w:val="single"/>
              </w:rPr>
              <w:t>’</w:t>
            </w:r>
            <w:r w:rsidRPr="00B3626F">
              <w:rPr>
                <w:rFonts w:asciiTheme="minorHAnsi" w:hAnsiTheme="minorHAnsi"/>
                <w:sz w:val="20"/>
                <w:u w:val="single"/>
              </w:rPr>
              <w:t>un élément de la Liste représentative du patrimoine culturel immatériel de l</w:t>
            </w:r>
            <w:r w:rsidR="00DE5604" w:rsidRPr="00B3626F">
              <w:rPr>
                <w:rFonts w:asciiTheme="minorHAnsi" w:hAnsiTheme="minorHAnsi"/>
                <w:sz w:val="20"/>
                <w:u w:val="single"/>
              </w:rPr>
              <w:t>’</w:t>
            </w:r>
            <w:r w:rsidRPr="00B3626F">
              <w:rPr>
                <w:rFonts w:asciiTheme="minorHAnsi" w:hAnsiTheme="minorHAnsi"/>
                <w:sz w:val="20"/>
                <w:u w:val="single"/>
              </w:rPr>
              <w:t xml:space="preserve">humanité à la Liste du patrimoine culturel immatériel nécessitant une sauvegarde urgente, ou </w:t>
            </w:r>
            <w:r w:rsidRPr="00B3626F">
              <w:rPr>
                <w:rFonts w:asciiTheme="minorHAnsi" w:hAnsiTheme="minorHAnsi"/>
                <w:sz w:val="20"/>
                <w:u w:val="single"/>
                <w:lang w:eastAsia="zh-CN"/>
              </w:rPr>
              <w:t>de renvoi de la demande à l</w:t>
            </w:r>
            <w:r w:rsidR="00DE5604" w:rsidRPr="00B3626F">
              <w:rPr>
                <w:rFonts w:asciiTheme="minorHAnsi" w:hAnsiTheme="minorHAnsi"/>
                <w:sz w:val="20"/>
                <w:u w:val="single"/>
                <w:lang w:eastAsia="zh-CN"/>
              </w:rPr>
              <w:t>’</w:t>
            </w:r>
            <w:r w:rsidRPr="00B3626F">
              <w:rPr>
                <w:rFonts w:asciiTheme="minorHAnsi" w:hAnsiTheme="minorHAnsi"/>
                <w:sz w:val="20"/>
                <w:u w:val="single"/>
                <w:lang w:eastAsia="zh-CN"/>
              </w:rPr>
              <w:t>(aux) État(s) soumissionnaire(s) pour complément d</w:t>
            </w:r>
            <w:r w:rsidR="00DE5604" w:rsidRPr="00B3626F">
              <w:rPr>
                <w:rFonts w:asciiTheme="minorHAnsi" w:hAnsiTheme="minorHAnsi"/>
                <w:sz w:val="20"/>
                <w:u w:val="single"/>
                <w:lang w:eastAsia="zh-CN"/>
              </w:rPr>
              <w:t>’</w:t>
            </w:r>
            <w:r w:rsidRPr="00B3626F">
              <w:rPr>
                <w:rFonts w:asciiTheme="minorHAnsi" w:hAnsiTheme="minorHAnsi"/>
                <w:sz w:val="20"/>
                <w:u w:val="single"/>
                <w:lang w:eastAsia="zh-CN"/>
              </w:rPr>
              <w:t>information ;</w:t>
            </w:r>
          </w:p>
          <w:p w14:paraId="7F0BAD75" w14:textId="77777777" w:rsidR="005128F7" w:rsidRPr="00B3626F" w:rsidRDefault="005128F7" w:rsidP="005128F7">
            <w:pPr>
              <w:pStyle w:val="Paragraphedeliste"/>
              <w:rPr>
                <w:rFonts w:asciiTheme="minorHAnsi" w:hAnsiTheme="minorHAnsi"/>
                <w:sz w:val="20"/>
                <w:u w:val="single"/>
                <w:lang w:eastAsia="zh-CN"/>
              </w:rPr>
            </w:pPr>
          </w:p>
          <w:p w14:paraId="79CE4A68" w14:textId="18DC9F9B" w:rsidR="00A13A02" w:rsidRPr="00B3626F" w:rsidRDefault="00A13A02" w:rsidP="00EB1330">
            <w:pPr>
              <w:pStyle w:val="Paragraphedeliste"/>
              <w:numPr>
                <w:ilvl w:val="0"/>
                <w:numId w:val="9"/>
              </w:numPr>
              <w:rPr>
                <w:rFonts w:asciiTheme="minorHAnsi" w:hAnsiTheme="minorHAnsi"/>
                <w:sz w:val="20"/>
                <w:lang w:eastAsia="zh-CN"/>
              </w:rPr>
            </w:pPr>
            <w:r w:rsidRPr="00B3626F">
              <w:rPr>
                <w:rFonts w:asciiTheme="minorHAnsi" w:hAnsiTheme="minorHAnsi"/>
                <w:sz w:val="20"/>
                <w:lang w:eastAsia="zh-CN"/>
              </w:rPr>
              <w:t>d</w:t>
            </w:r>
            <w:r w:rsidR="00DE5604" w:rsidRPr="00B3626F">
              <w:rPr>
                <w:rFonts w:asciiTheme="minorHAnsi" w:hAnsiTheme="minorHAnsi"/>
                <w:sz w:val="20"/>
                <w:lang w:eastAsia="zh-CN"/>
              </w:rPr>
              <w:t>’</w:t>
            </w:r>
            <w:r w:rsidRPr="00B3626F">
              <w:rPr>
                <w:rFonts w:asciiTheme="minorHAnsi" w:hAnsiTheme="minorHAnsi"/>
                <w:sz w:val="20"/>
                <w:lang w:eastAsia="zh-CN"/>
              </w:rPr>
              <w:t>approbation ou non-approbation de la demande d</w:t>
            </w:r>
            <w:r w:rsidR="00DE5604" w:rsidRPr="00B3626F">
              <w:rPr>
                <w:rFonts w:asciiTheme="minorHAnsi" w:hAnsiTheme="minorHAnsi"/>
                <w:sz w:val="20"/>
                <w:lang w:eastAsia="zh-CN"/>
              </w:rPr>
              <w:t>’</w:t>
            </w:r>
            <w:r w:rsidRPr="00B3626F">
              <w:rPr>
                <w:rFonts w:asciiTheme="minorHAnsi" w:hAnsiTheme="minorHAnsi"/>
                <w:sz w:val="20"/>
                <w:lang w:eastAsia="zh-CN"/>
              </w:rPr>
              <w:t>assistance</w:t>
            </w:r>
            <w:r w:rsidR="00AD0674" w:rsidRPr="00B3626F">
              <w:rPr>
                <w:rFonts w:asciiTheme="minorHAnsi" w:hAnsiTheme="minorHAnsi"/>
                <w:sz w:val="20"/>
                <w:lang w:eastAsia="zh-CN"/>
              </w:rPr>
              <w:t xml:space="preserve"> internationale</w:t>
            </w:r>
            <w:r w:rsidR="005128F7" w:rsidRPr="00B3626F">
              <w:rPr>
                <w:rFonts w:asciiTheme="minorHAnsi" w:hAnsiTheme="minorHAnsi"/>
                <w:sz w:val="20"/>
                <w:lang w:eastAsia="zh-CN"/>
              </w:rPr>
              <w:t xml:space="preserve"> </w:t>
            </w:r>
            <w:r w:rsidR="005128F7" w:rsidRPr="00B3626F">
              <w:rPr>
                <w:rFonts w:asciiTheme="minorHAnsi" w:hAnsiTheme="minorHAnsi"/>
                <w:sz w:val="20"/>
                <w:u w:val="single"/>
                <w:lang w:eastAsia="zh-CN"/>
              </w:rPr>
              <w:t xml:space="preserve">soumise simultanément </w:t>
            </w:r>
            <w:r w:rsidR="00656B10" w:rsidRPr="00B3626F">
              <w:rPr>
                <w:rFonts w:asciiTheme="minorHAnsi" w:hAnsiTheme="minorHAnsi"/>
                <w:sz w:val="20"/>
                <w:u w:val="single"/>
                <w:lang w:eastAsia="zh-CN"/>
              </w:rPr>
              <w:t>à</w:t>
            </w:r>
            <w:r w:rsidR="005128F7" w:rsidRPr="00B3626F">
              <w:rPr>
                <w:rFonts w:asciiTheme="minorHAnsi" w:hAnsiTheme="minorHAnsi"/>
                <w:sz w:val="20"/>
                <w:u w:val="single"/>
                <w:lang w:eastAsia="zh-CN"/>
              </w:rPr>
              <w:t xml:space="preserve"> une candidature pour la Liste du patrimoine culturel immatériel nécessitant une sauvegarde urgente</w:t>
            </w:r>
            <w:r w:rsidRPr="00B3626F">
              <w:rPr>
                <w:rFonts w:asciiTheme="minorHAnsi" w:hAnsiTheme="minorHAnsi"/>
                <w:sz w:val="20"/>
                <w:lang w:eastAsia="zh-CN"/>
              </w:rPr>
              <w:t>, ou de renvoi de la demande à l</w:t>
            </w:r>
            <w:r w:rsidR="00DE5604" w:rsidRPr="00B3626F">
              <w:rPr>
                <w:rFonts w:asciiTheme="minorHAnsi" w:hAnsiTheme="minorHAnsi"/>
                <w:sz w:val="20"/>
                <w:lang w:eastAsia="zh-CN"/>
              </w:rPr>
              <w:t>’</w:t>
            </w:r>
            <w:r w:rsidRPr="00B3626F">
              <w:rPr>
                <w:rFonts w:asciiTheme="minorHAnsi" w:hAnsiTheme="minorHAnsi"/>
                <w:sz w:val="20"/>
                <w:lang w:eastAsia="zh-CN"/>
              </w:rPr>
              <w:t>(aux) État(s) soumissionnaire(s) pour complément d</w:t>
            </w:r>
            <w:r w:rsidR="00DE5604" w:rsidRPr="00B3626F">
              <w:rPr>
                <w:rFonts w:asciiTheme="minorHAnsi" w:hAnsiTheme="minorHAnsi"/>
                <w:sz w:val="20"/>
                <w:lang w:eastAsia="zh-CN"/>
              </w:rPr>
              <w:t>’</w:t>
            </w:r>
            <w:r w:rsidRPr="00B3626F">
              <w:rPr>
                <w:rFonts w:asciiTheme="minorHAnsi" w:hAnsiTheme="minorHAnsi"/>
                <w:sz w:val="20"/>
                <w:lang w:eastAsia="zh-CN"/>
              </w:rPr>
              <w:t xml:space="preserve">information ; </w:t>
            </w:r>
            <w:r w:rsidRPr="00B3626F">
              <w:rPr>
                <w:rFonts w:asciiTheme="minorHAnsi" w:hAnsiTheme="minorHAnsi"/>
                <w:sz w:val="20"/>
                <w:highlight w:val="lightGray"/>
                <w:u w:val="single"/>
                <w:lang w:eastAsia="zh-CN"/>
              </w:rPr>
              <w:t>ou</w:t>
            </w:r>
          </w:p>
          <w:p w14:paraId="5F229FD6" w14:textId="77777777" w:rsidR="00A13A02" w:rsidRPr="00B3626F" w:rsidRDefault="00A13A02" w:rsidP="00A13A02">
            <w:pPr>
              <w:pStyle w:val="Paragraphedeliste"/>
              <w:rPr>
                <w:rFonts w:asciiTheme="minorHAnsi" w:hAnsiTheme="minorHAnsi"/>
                <w:sz w:val="20"/>
                <w:highlight w:val="lightGray"/>
                <w:lang w:eastAsia="zh-CN"/>
              </w:rPr>
            </w:pPr>
          </w:p>
          <w:p w14:paraId="4C53AC7C" w14:textId="5D4A8600" w:rsidR="005A49E9" w:rsidRPr="00B3626F" w:rsidRDefault="00A13A02" w:rsidP="00D039A4">
            <w:pPr>
              <w:pStyle w:val="Paragraphedeliste"/>
              <w:numPr>
                <w:ilvl w:val="0"/>
                <w:numId w:val="9"/>
              </w:numPr>
              <w:rPr>
                <w:rFonts w:asciiTheme="minorHAnsi" w:eastAsia="Calibri" w:hAnsiTheme="minorHAnsi" w:cstheme="minorHAnsi"/>
                <w:strike/>
                <w:sz w:val="20"/>
                <w:szCs w:val="20"/>
              </w:rPr>
            </w:pPr>
            <w:r w:rsidRPr="00B3626F">
              <w:rPr>
                <w:rFonts w:asciiTheme="minorHAnsi" w:hAnsiTheme="minorHAnsi"/>
                <w:sz w:val="20"/>
                <w:highlight w:val="lightGray"/>
                <w:u w:val="single"/>
                <w:lang w:eastAsia="zh-CN"/>
              </w:rPr>
              <w:t>de maintien ou de retrait de l</w:t>
            </w:r>
            <w:r w:rsidR="00DE5604" w:rsidRPr="00B3626F">
              <w:rPr>
                <w:rFonts w:asciiTheme="minorHAnsi" w:hAnsiTheme="minorHAnsi"/>
                <w:sz w:val="20"/>
                <w:highlight w:val="lightGray"/>
                <w:u w:val="single"/>
                <w:lang w:eastAsia="zh-CN"/>
              </w:rPr>
              <w:t>’</w:t>
            </w:r>
            <w:r w:rsidRPr="00B3626F">
              <w:rPr>
                <w:rFonts w:asciiTheme="minorHAnsi" w:hAnsiTheme="minorHAnsi"/>
                <w:sz w:val="20"/>
                <w:highlight w:val="lightGray"/>
                <w:u w:val="single"/>
                <w:lang w:eastAsia="zh-CN"/>
              </w:rPr>
              <w:t>élément inscrit de la Liste du patrimoine culturel immatériel nécessitant une sauvegarde urgente ou de la Liste représentative du patrimoine culturel immatériel de l</w:t>
            </w:r>
            <w:r w:rsidR="00DE5604" w:rsidRPr="00B3626F">
              <w:rPr>
                <w:rFonts w:asciiTheme="minorHAnsi" w:hAnsiTheme="minorHAnsi"/>
                <w:sz w:val="20"/>
                <w:highlight w:val="lightGray"/>
                <w:u w:val="single"/>
                <w:lang w:eastAsia="zh-CN"/>
              </w:rPr>
              <w:t>’</w:t>
            </w:r>
            <w:r w:rsidRPr="00B3626F">
              <w:rPr>
                <w:rFonts w:asciiTheme="minorHAnsi" w:hAnsiTheme="minorHAnsi"/>
                <w:sz w:val="20"/>
                <w:highlight w:val="lightGray"/>
                <w:u w:val="single"/>
                <w:lang w:eastAsia="zh-CN"/>
              </w:rPr>
              <w:t xml:space="preserve">humanité, dans les cas de </w:t>
            </w:r>
            <w:r w:rsidR="00DE5604" w:rsidRPr="00B3626F">
              <w:rPr>
                <w:rFonts w:asciiTheme="minorHAnsi" w:hAnsiTheme="minorHAnsi"/>
                <w:sz w:val="20"/>
                <w:highlight w:val="lightGray"/>
                <w:u w:val="single"/>
                <w:lang w:eastAsia="zh-CN"/>
              </w:rPr>
              <w:t>‘</w:t>
            </w:r>
            <w:r w:rsidRPr="00B3626F">
              <w:rPr>
                <w:rFonts w:asciiTheme="minorHAnsi" w:hAnsiTheme="minorHAnsi"/>
                <w:sz w:val="20"/>
                <w:highlight w:val="lightGray"/>
                <w:u w:val="single"/>
                <w:lang w:eastAsia="zh-CN"/>
              </w:rPr>
              <w:t>suivi approfondi</w:t>
            </w:r>
            <w:r w:rsidR="00DE5604" w:rsidRPr="00B3626F">
              <w:rPr>
                <w:rFonts w:asciiTheme="minorHAnsi" w:hAnsiTheme="minorHAnsi"/>
                <w:sz w:val="20"/>
                <w:highlight w:val="lightGray"/>
                <w:u w:val="single"/>
                <w:lang w:eastAsia="zh-CN"/>
              </w:rPr>
              <w:t>’</w:t>
            </w:r>
            <w:r w:rsidRPr="00B3626F">
              <w:rPr>
                <w:rFonts w:asciiTheme="minorHAnsi" w:hAnsiTheme="minorHAnsi"/>
                <w:sz w:val="20"/>
                <w:highlight w:val="lightGray"/>
                <w:u w:val="single"/>
                <w:lang w:eastAsia="zh-CN"/>
              </w:rPr>
              <w:t>.</w:t>
            </w:r>
          </w:p>
        </w:tc>
      </w:tr>
      <w:tr w:rsidR="005A49E9" w:rsidRPr="00B3626F" w14:paraId="56E5F180" w14:textId="77777777" w:rsidTr="00BD61EE">
        <w:tc>
          <w:tcPr>
            <w:tcW w:w="831" w:type="dxa"/>
            <w:shd w:val="clear" w:color="auto" w:fill="F2F2F2" w:themeFill="background1" w:themeFillShade="F2"/>
            <w:vAlign w:val="center"/>
          </w:tcPr>
          <w:p w14:paraId="27AFF73C" w14:textId="77777777" w:rsidR="005A49E9" w:rsidRPr="00B3626F" w:rsidRDefault="005A49E9" w:rsidP="00BD61EE">
            <w:pPr>
              <w:spacing w:before="60" w:after="60"/>
              <w:rPr>
                <w:rFonts w:asciiTheme="minorHAnsi" w:hAnsiTheme="minorHAnsi" w:cstheme="minorHAnsi"/>
                <w:sz w:val="20"/>
                <w:szCs w:val="20"/>
              </w:rPr>
            </w:pPr>
            <w:r w:rsidRPr="00B3626F">
              <w:rPr>
                <w:rFonts w:asciiTheme="minorHAnsi" w:hAnsiTheme="minorHAnsi"/>
                <w:b/>
                <w:color w:val="1F4E79"/>
                <w:sz w:val="20"/>
              </w:rPr>
              <w:lastRenderedPageBreak/>
              <w:t>I.10</w:t>
            </w:r>
          </w:p>
        </w:tc>
        <w:tc>
          <w:tcPr>
            <w:tcW w:w="6252" w:type="dxa"/>
            <w:gridSpan w:val="2"/>
            <w:shd w:val="clear" w:color="auto" w:fill="F2F2F2" w:themeFill="background1" w:themeFillShade="F2"/>
            <w:vAlign w:val="center"/>
          </w:tcPr>
          <w:p w14:paraId="24AC7557" w14:textId="77777777" w:rsidR="005A49E9" w:rsidRPr="00B3626F" w:rsidRDefault="005A49E9" w:rsidP="00BD61EE">
            <w:pPr>
              <w:autoSpaceDE w:val="0"/>
              <w:autoSpaceDN w:val="0"/>
              <w:adjustRightInd w:val="0"/>
              <w:rPr>
                <w:rFonts w:asciiTheme="minorHAnsi" w:eastAsia="SimSun" w:hAnsiTheme="minorHAnsi" w:cstheme="minorHAnsi"/>
                <w:sz w:val="20"/>
                <w:szCs w:val="20"/>
              </w:rPr>
            </w:pPr>
            <w:r w:rsidRPr="00B3626F">
              <w:rPr>
                <w:rFonts w:asciiTheme="minorHAnsi" w:hAnsiTheme="minorHAnsi"/>
                <w:b/>
                <w:color w:val="1F4E79"/>
                <w:sz w:val="20"/>
              </w:rPr>
              <w:t xml:space="preserve">Examen des dossiers par le Comité </w:t>
            </w:r>
          </w:p>
        </w:tc>
        <w:tc>
          <w:tcPr>
            <w:tcW w:w="709" w:type="dxa"/>
            <w:shd w:val="clear" w:color="auto" w:fill="F2F2F2" w:themeFill="background1" w:themeFillShade="F2"/>
            <w:vAlign w:val="center"/>
          </w:tcPr>
          <w:p w14:paraId="071E5B75" w14:textId="77777777" w:rsidR="005A49E9" w:rsidRPr="00B3626F" w:rsidRDefault="005A49E9" w:rsidP="00BD61EE">
            <w:pPr>
              <w:spacing w:before="60" w:after="60"/>
              <w:rPr>
                <w:rFonts w:asciiTheme="minorHAnsi" w:hAnsiTheme="minorHAnsi" w:cstheme="minorHAnsi"/>
                <w:sz w:val="20"/>
                <w:szCs w:val="20"/>
              </w:rPr>
            </w:pPr>
            <w:r w:rsidRPr="00B3626F">
              <w:rPr>
                <w:rFonts w:asciiTheme="minorHAnsi" w:hAnsiTheme="minorHAnsi"/>
                <w:b/>
                <w:sz w:val="20"/>
              </w:rPr>
              <w:t>I.10</w:t>
            </w:r>
          </w:p>
        </w:tc>
        <w:tc>
          <w:tcPr>
            <w:tcW w:w="6520" w:type="dxa"/>
            <w:gridSpan w:val="2"/>
            <w:shd w:val="clear" w:color="auto" w:fill="F2F2F2" w:themeFill="background1" w:themeFillShade="F2"/>
            <w:vAlign w:val="center"/>
          </w:tcPr>
          <w:p w14:paraId="32A74A9B" w14:textId="77777777" w:rsidR="005A49E9" w:rsidRPr="00B3626F" w:rsidRDefault="005A49E9" w:rsidP="00BD61EE">
            <w:pPr>
              <w:widowControl w:val="0"/>
              <w:tabs>
                <w:tab w:val="left" w:pos="2127"/>
                <w:tab w:val="left" w:pos="2176"/>
              </w:tabs>
              <w:autoSpaceDE w:val="0"/>
              <w:autoSpaceDN w:val="0"/>
              <w:spacing w:before="60" w:after="60"/>
              <w:rPr>
                <w:rFonts w:asciiTheme="minorHAnsi" w:eastAsia="SimSun" w:hAnsiTheme="minorHAnsi" w:cstheme="minorHAnsi"/>
                <w:sz w:val="20"/>
                <w:szCs w:val="20"/>
              </w:rPr>
            </w:pPr>
          </w:p>
        </w:tc>
      </w:tr>
      <w:tr w:rsidR="005A49E9" w:rsidRPr="00B3626F" w14:paraId="1C1489FD" w14:textId="77777777" w:rsidTr="00BD61EE">
        <w:tc>
          <w:tcPr>
            <w:tcW w:w="831" w:type="dxa"/>
          </w:tcPr>
          <w:p w14:paraId="4E6EA97F" w14:textId="77777777" w:rsidR="005A49E9" w:rsidRPr="00B3626F" w:rsidRDefault="005A49E9" w:rsidP="00BD61EE">
            <w:pPr>
              <w:spacing w:before="60" w:after="60"/>
              <w:rPr>
                <w:rFonts w:asciiTheme="minorHAnsi" w:hAnsiTheme="minorHAnsi" w:cstheme="minorHAnsi"/>
                <w:sz w:val="20"/>
                <w:szCs w:val="20"/>
              </w:rPr>
            </w:pPr>
            <w:r w:rsidRPr="00B3626F">
              <w:rPr>
                <w:rFonts w:asciiTheme="minorHAnsi" w:hAnsiTheme="minorHAnsi"/>
                <w:sz w:val="20"/>
              </w:rPr>
              <w:t>33.</w:t>
            </w:r>
          </w:p>
        </w:tc>
        <w:tc>
          <w:tcPr>
            <w:tcW w:w="6252" w:type="dxa"/>
            <w:gridSpan w:val="2"/>
          </w:tcPr>
          <w:p w14:paraId="0669397E" w14:textId="3032057C" w:rsidR="005A49E9" w:rsidRPr="00B3626F" w:rsidRDefault="003839F9" w:rsidP="001301CD">
            <w:pPr>
              <w:autoSpaceDE w:val="0"/>
              <w:autoSpaceDN w:val="0"/>
              <w:adjustRightInd w:val="0"/>
              <w:spacing w:before="240"/>
              <w:rPr>
                <w:rFonts w:asciiTheme="minorHAnsi" w:eastAsia="SimSun" w:hAnsiTheme="minorHAnsi" w:cstheme="minorHAnsi"/>
                <w:sz w:val="20"/>
                <w:szCs w:val="20"/>
              </w:rPr>
            </w:pPr>
            <w:r w:rsidRPr="00B3626F">
              <w:rPr>
                <w:rFonts w:asciiTheme="minorHAnsi" w:hAnsiTheme="minorHAnsi" w:cstheme="minorHAnsi"/>
                <w:sz w:val="20"/>
                <w:szCs w:val="20"/>
              </w:rPr>
              <w:t xml:space="preserve">Le </w:t>
            </w:r>
            <w:r w:rsidRPr="00B3626F">
              <w:rPr>
                <w:rFonts w:asciiTheme="minorHAnsi" w:hAnsiTheme="minorHAnsi"/>
                <w:sz w:val="20"/>
              </w:rPr>
              <w:t>Comité</w:t>
            </w:r>
            <w:r w:rsidRPr="00B3626F">
              <w:rPr>
                <w:rFonts w:asciiTheme="minorHAnsi" w:hAnsiTheme="minorHAnsi" w:cstheme="minorHAnsi"/>
                <w:sz w:val="20"/>
                <w:szCs w:val="20"/>
              </w:rPr>
              <w:t xml:space="preserve"> détermine deux ans à l</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avance, selon les ressources disponibles et ses capacités, le nombre de dossiers qui pourront être traités au cours des deux cycles suivants. Ce plafond s</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applique à l</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ensemble des dossiers constitué par les candidatures à la Liste du patrimoine culturel immatériel nécessitant une sauvegarde urgente et à la Liste représentative du patrimoine culturel immatériel de l</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 xml:space="preserve">humanité, les propositions de programmes, projets et activités reflétant le mieux les principes et </w:t>
            </w:r>
            <w:r w:rsidRPr="00B3626F">
              <w:rPr>
                <w:rFonts w:asciiTheme="minorHAnsi" w:hAnsiTheme="minorHAnsi" w:cstheme="minorHAnsi"/>
                <w:sz w:val="20"/>
                <w:szCs w:val="20"/>
              </w:rPr>
              <w:lastRenderedPageBreak/>
              <w:t>objectifs de la Convention et les demandes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assistance internationale supérieures à 100 000 dollars des États-Unis.</w:t>
            </w:r>
          </w:p>
        </w:tc>
        <w:tc>
          <w:tcPr>
            <w:tcW w:w="709" w:type="dxa"/>
          </w:tcPr>
          <w:p w14:paraId="0DCF4DC6" w14:textId="77777777" w:rsidR="005A49E9" w:rsidRPr="00B3626F" w:rsidRDefault="005A49E9" w:rsidP="00BD61EE">
            <w:pPr>
              <w:spacing w:before="60" w:after="60"/>
              <w:rPr>
                <w:rFonts w:asciiTheme="minorHAnsi" w:hAnsiTheme="minorHAnsi" w:cstheme="minorHAnsi"/>
                <w:sz w:val="20"/>
                <w:szCs w:val="20"/>
                <w:highlight w:val="magenta"/>
              </w:rPr>
            </w:pPr>
            <w:r w:rsidRPr="00B3626F">
              <w:rPr>
                <w:rFonts w:asciiTheme="minorHAnsi" w:hAnsiTheme="minorHAnsi"/>
                <w:sz w:val="20"/>
              </w:rPr>
              <w:lastRenderedPageBreak/>
              <w:t>33.</w:t>
            </w:r>
          </w:p>
        </w:tc>
        <w:tc>
          <w:tcPr>
            <w:tcW w:w="6520" w:type="dxa"/>
            <w:gridSpan w:val="2"/>
          </w:tcPr>
          <w:p w14:paraId="64E764D7" w14:textId="62E3CC82" w:rsidR="005A49E9" w:rsidRPr="00B3626F" w:rsidRDefault="003F155F" w:rsidP="001301CD">
            <w:pPr>
              <w:autoSpaceDE w:val="0"/>
              <w:autoSpaceDN w:val="0"/>
              <w:adjustRightInd w:val="0"/>
              <w:spacing w:before="240"/>
              <w:rPr>
                <w:rFonts w:asciiTheme="minorHAnsi" w:eastAsia="Calibri" w:hAnsiTheme="minorHAnsi" w:cstheme="minorHAnsi"/>
                <w:sz w:val="20"/>
                <w:szCs w:val="20"/>
              </w:rPr>
            </w:pPr>
            <w:r w:rsidRPr="00B3626F">
              <w:rPr>
                <w:rFonts w:asciiTheme="minorHAnsi" w:hAnsiTheme="minorHAnsi"/>
                <w:sz w:val="20"/>
              </w:rPr>
              <w:t>Le Comité détermine deux ans à l</w:t>
            </w:r>
            <w:r w:rsidR="00DE5604" w:rsidRPr="00B3626F">
              <w:rPr>
                <w:rFonts w:asciiTheme="minorHAnsi" w:hAnsiTheme="minorHAnsi"/>
                <w:sz w:val="20"/>
              </w:rPr>
              <w:t>’</w:t>
            </w:r>
            <w:r w:rsidRPr="00B3626F">
              <w:rPr>
                <w:rFonts w:asciiTheme="minorHAnsi" w:hAnsiTheme="minorHAnsi"/>
                <w:sz w:val="20"/>
              </w:rPr>
              <w:t xml:space="preserve">avance, selon les ressources disponibles et ses capacités, le nombre de dossiers qui pourront être traités au cours des deux cycles suivants </w:t>
            </w:r>
            <w:r w:rsidRPr="00B3626F">
              <w:rPr>
                <w:rFonts w:asciiTheme="minorHAnsi" w:hAnsiTheme="minorHAnsi"/>
                <w:sz w:val="20"/>
                <w:u w:val="single"/>
              </w:rPr>
              <w:t>qui, au total, est fixé à un maximum de soixante</w:t>
            </w:r>
            <w:r w:rsidRPr="00B3626F">
              <w:rPr>
                <w:rFonts w:asciiTheme="minorHAnsi" w:hAnsiTheme="minorHAnsi"/>
                <w:sz w:val="20"/>
              </w:rPr>
              <w:t>.</w:t>
            </w:r>
            <w:r w:rsidRPr="00B3626F">
              <w:rPr>
                <w:rStyle w:val="Appelnotedebasdep"/>
                <w:rFonts w:asciiTheme="minorHAnsi" w:eastAsia="SimSun" w:hAnsiTheme="minorHAnsi" w:cstheme="minorHAnsi"/>
                <w:sz w:val="20"/>
                <w:szCs w:val="20"/>
              </w:rPr>
              <w:footnoteReference w:id="5"/>
            </w:r>
            <w:r w:rsidRPr="00B3626F">
              <w:rPr>
                <w:rFonts w:asciiTheme="minorHAnsi" w:hAnsiTheme="minorHAnsi"/>
                <w:sz w:val="20"/>
              </w:rPr>
              <w:t xml:space="preserve"> Ce plafond s</w:t>
            </w:r>
            <w:r w:rsidR="00DE5604" w:rsidRPr="00B3626F">
              <w:rPr>
                <w:rFonts w:asciiTheme="minorHAnsi" w:hAnsiTheme="minorHAnsi"/>
                <w:sz w:val="20"/>
              </w:rPr>
              <w:t>’</w:t>
            </w:r>
            <w:r w:rsidRPr="00B3626F">
              <w:rPr>
                <w:rFonts w:asciiTheme="minorHAnsi" w:hAnsiTheme="minorHAnsi"/>
                <w:sz w:val="20"/>
              </w:rPr>
              <w:t>applique à l</w:t>
            </w:r>
            <w:r w:rsidR="00DE5604" w:rsidRPr="00B3626F">
              <w:rPr>
                <w:rFonts w:asciiTheme="minorHAnsi" w:hAnsiTheme="minorHAnsi"/>
                <w:sz w:val="20"/>
              </w:rPr>
              <w:t>’</w:t>
            </w:r>
            <w:r w:rsidRPr="00B3626F">
              <w:rPr>
                <w:rFonts w:asciiTheme="minorHAnsi" w:hAnsiTheme="minorHAnsi"/>
                <w:sz w:val="20"/>
              </w:rPr>
              <w:t>ensemble des dossiers constitué par les candidatures à la Liste du patrimoine culturel immatériel nécessitant une sauvegarde urgente et à la Liste représentative du patrimoine culturel immatériel de l</w:t>
            </w:r>
            <w:r w:rsidR="00DE5604" w:rsidRPr="00B3626F">
              <w:rPr>
                <w:rFonts w:asciiTheme="minorHAnsi" w:hAnsiTheme="minorHAnsi"/>
                <w:sz w:val="20"/>
              </w:rPr>
              <w:t>’</w:t>
            </w:r>
            <w:r w:rsidRPr="00B3626F">
              <w:rPr>
                <w:rFonts w:asciiTheme="minorHAnsi" w:hAnsiTheme="minorHAnsi"/>
                <w:sz w:val="20"/>
              </w:rPr>
              <w:t xml:space="preserve">humanité, </w:t>
            </w:r>
            <w:r w:rsidRPr="00B3626F">
              <w:rPr>
                <w:rFonts w:asciiTheme="minorHAnsi" w:hAnsiTheme="minorHAnsi"/>
                <w:sz w:val="20"/>
                <w:u w:val="single"/>
              </w:rPr>
              <w:t>et</w:t>
            </w:r>
            <w:r w:rsidRPr="00B3626F">
              <w:rPr>
                <w:rFonts w:asciiTheme="minorHAnsi" w:hAnsiTheme="minorHAnsi"/>
                <w:sz w:val="20"/>
              </w:rPr>
              <w:t xml:space="preserve"> les propositions de programmes, projets et activités reflétant </w:t>
            </w:r>
            <w:r w:rsidRPr="00B3626F">
              <w:rPr>
                <w:rFonts w:asciiTheme="minorHAnsi" w:hAnsiTheme="minorHAnsi"/>
                <w:sz w:val="20"/>
              </w:rPr>
              <w:lastRenderedPageBreak/>
              <w:t>le mieux les principes et objectifs de la Convention</w:t>
            </w:r>
            <w:r w:rsidRPr="00B3626F">
              <w:rPr>
                <w:rFonts w:asciiTheme="minorHAnsi" w:hAnsiTheme="minorHAnsi"/>
                <w:strike/>
                <w:sz w:val="20"/>
              </w:rPr>
              <w:t xml:space="preserve"> et les demandes d</w:t>
            </w:r>
            <w:r w:rsidR="00DE5604" w:rsidRPr="00B3626F">
              <w:rPr>
                <w:rFonts w:asciiTheme="minorHAnsi" w:hAnsiTheme="minorHAnsi"/>
                <w:strike/>
                <w:sz w:val="20"/>
              </w:rPr>
              <w:t>’</w:t>
            </w:r>
            <w:r w:rsidRPr="00B3626F">
              <w:rPr>
                <w:rFonts w:asciiTheme="minorHAnsi" w:hAnsiTheme="minorHAnsi"/>
                <w:strike/>
                <w:sz w:val="20"/>
              </w:rPr>
              <w:t>assistance internationale supérieures à 100 000 dollars des États-Unis</w:t>
            </w:r>
            <w:r w:rsidRPr="00B3626F">
              <w:rPr>
                <w:rFonts w:asciiTheme="minorHAnsi" w:hAnsiTheme="minorHAnsi"/>
                <w:sz w:val="20"/>
              </w:rPr>
              <w:t>.</w:t>
            </w:r>
            <w:r w:rsidRPr="00B3626F">
              <w:rPr>
                <w:rStyle w:val="Appelnotedebasdep"/>
                <w:rFonts w:asciiTheme="minorHAnsi" w:eastAsia="SimSun" w:hAnsiTheme="minorHAnsi" w:cstheme="minorHAnsi"/>
                <w:sz w:val="20"/>
                <w:szCs w:val="20"/>
              </w:rPr>
              <w:t xml:space="preserve"> </w:t>
            </w:r>
            <w:r w:rsidRPr="00B3626F">
              <w:rPr>
                <w:rStyle w:val="Appelnotedebasdep"/>
                <w:rFonts w:asciiTheme="minorHAnsi" w:eastAsia="SimSun" w:hAnsiTheme="minorHAnsi" w:cstheme="minorHAnsi"/>
                <w:sz w:val="20"/>
                <w:szCs w:val="20"/>
              </w:rPr>
              <w:footnoteReference w:id="6"/>
            </w:r>
          </w:p>
        </w:tc>
      </w:tr>
      <w:tr w:rsidR="005A49E9" w:rsidRPr="00B3626F" w14:paraId="0483937F" w14:textId="77777777" w:rsidTr="00BD61EE">
        <w:trPr>
          <w:trHeight w:val="1975"/>
        </w:trPr>
        <w:tc>
          <w:tcPr>
            <w:tcW w:w="831" w:type="dxa"/>
          </w:tcPr>
          <w:p w14:paraId="5AFE6861" w14:textId="77777777" w:rsidR="005A49E9" w:rsidRPr="00B3626F" w:rsidRDefault="005A49E9" w:rsidP="00BD61EE">
            <w:pPr>
              <w:spacing w:before="60" w:after="60"/>
              <w:rPr>
                <w:rFonts w:asciiTheme="minorHAnsi" w:hAnsiTheme="minorHAnsi" w:cstheme="minorHAnsi"/>
                <w:sz w:val="20"/>
                <w:szCs w:val="20"/>
              </w:rPr>
            </w:pPr>
            <w:r w:rsidRPr="00B3626F">
              <w:rPr>
                <w:rFonts w:asciiTheme="minorHAnsi" w:hAnsiTheme="minorHAnsi"/>
                <w:sz w:val="20"/>
              </w:rPr>
              <w:lastRenderedPageBreak/>
              <w:t>34.</w:t>
            </w:r>
          </w:p>
        </w:tc>
        <w:tc>
          <w:tcPr>
            <w:tcW w:w="6252" w:type="dxa"/>
            <w:gridSpan w:val="2"/>
          </w:tcPr>
          <w:p w14:paraId="6772564A" w14:textId="0954E339" w:rsidR="003F155F" w:rsidRPr="00B3626F" w:rsidRDefault="003F155F" w:rsidP="00BD61EE">
            <w:pPr>
              <w:autoSpaceDE w:val="0"/>
              <w:autoSpaceDN w:val="0"/>
              <w:adjustRightInd w:val="0"/>
              <w:spacing w:before="240"/>
              <w:rPr>
                <w:rFonts w:asciiTheme="minorHAnsi" w:hAnsiTheme="minorHAnsi"/>
                <w:sz w:val="20"/>
              </w:rPr>
            </w:pPr>
            <w:r w:rsidRPr="00B3626F">
              <w:rPr>
                <w:rFonts w:asciiTheme="minorHAnsi" w:hAnsiTheme="minorHAnsi"/>
                <w:sz w:val="20"/>
              </w:rPr>
              <w:t>Le Comité s</w:t>
            </w:r>
            <w:r w:rsidR="00DE5604" w:rsidRPr="00B3626F">
              <w:rPr>
                <w:rFonts w:asciiTheme="minorHAnsi" w:hAnsiTheme="minorHAnsi"/>
                <w:sz w:val="20"/>
              </w:rPr>
              <w:t>’</w:t>
            </w:r>
            <w:r w:rsidRPr="00B3626F">
              <w:rPr>
                <w:rFonts w:asciiTheme="minorHAnsi" w:hAnsiTheme="minorHAnsi"/>
                <w:sz w:val="20"/>
              </w:rPr>
              <w:t>efforce d</w:t>
            </w:r>
            <w:r w:rsidR="00DE5604" w:rsidRPr="00B3626F">
              <w:rPr>
                <w:rFonts w:asciiTheme="minorHAnsi" w:hAnsiTheme="minorHAnsi"/>
                <w:sz w:val="20"/>
              </w:rPr>
              <w:t>’</w:t>
            </w:r>
            <w:r w:rsidRPr="00B3626F">
              <w:rPr>
                <w:rFonts w:asciiTheme="minorHAnsi" w:hAnsiTheme="minorHAnsi"/>
                <w:sz w:val="20"/>
              </w:rPr>
              <w:t xml:space="preserve">examiner dans toute la mesure du possible au moins un dossier par État soumissionnaire, dans la limite de ce plafond global, en donnant priorité : </w:t>
            </w:r>
          </w:p>
          <w:p w14:paraId="6A476EC8" w14:textId="5B1483DD" w:rsidR="0033577D" w:rsidRPr="00B3626F" w:rsidRDefault="003F155F" w:rsidP="004E6011">
            <w:pPr>
              <w:autoSpaceDE w:val="0"/>
              <w:autoSpaceDN w:val="0"/>
              <w:adjustRightInd w:val="0"/>
              <w:spacing w:before="120"/>
              <w:ind w:left="756"/>
              <w:rPr>
                <w:rFonts w:asciiTheme="minorHAnsi" w:hAnsiTheme="minorHAnsi"/>
                <w:sz w:val="20"/>
              </w:rPr>
            </w:pPr>
            <w:r w:rsidRPr="00B3626F">
              <w:rPr>
                <w:rFonts w:asciiTheme="minorHAnsi" w:hAnsiTheme="minorHAnsi"/>
                <w:sz w:val="20"/>
              </w:rPr>
              <w:t>(i) aux dossiers provenant d</w:t>
            </w:r>
            <w:r w:rsidR="00DE5604" w:rsidRPr="00B3626F">
              <w:rPr>
                <w:rFonts w:asciiTheme="minorHAnsi" w:hAnsiTheme="minorHAnsi"/>
                <w:sz w:val="20"/>
              </w:rPr>
              <w:t>’</w:t>
            </w:r>
            <w:r w:rsidRPr="00B3626F">
              <w:rPr>
                <w:rFonts w:asciiTheme="minorHAnsi" w:hAnsiTheme="minorHAnsi"/>
                <w:sz w:val="20"/>
              </w:rPr>
              <w:t>États n</w:t>
            </w:r>
            <w:r w:rsidR="00DE5604" w:rsidRPr="00B3626F">
              <w:rPr>
                <w:rFonts w:asciiTheme="minorHAnsi" w:hAnsiTheme="minorHAnsi"/>
                <w:sz w:val="20"/>
              </w:rPr>
              <w:t>’</w:t>
            </w:r>
            <w:r w:rsidRPr="00B3626F">
              <w:rPr>
                <w:rFonts w:asciiTheme="minorHAnsi" w:hAnsiTheme="minorHAnsi"/>
                <w:sz w:val="20"/>
              </w:rPr>
              <w:t>ayant pas d</w:t>
            </w:r>
            <w:r w:rsidR="00DE5604" w:rsidRPr="00B3626F">
              <w:rPr>
                <w:rFonts w:asciiTheme="minorHAnsi" w:hAnsiTheme="minorHAnsi"/>
                <w:sz w:val="20"/>
              </w:rPr>
              <w:t>’</w:t>
            </w:r>
            <w:r w:rsidRPr="00B3626F">
              <w:rPr>
                <w:rFonts w:asciiTheme="minorHAnsi" w:hAnsiTheme="minorHAnsi"/>
                <w:sz w:val="20"/>
              </w:rPr>
              <w:t>éléments inscrits, de meilleures pratiques de sauvegarde sélectionnées ou de demandes d</w:t>
            </w:r>
            <w:r w:rsidR="00DE5604" w:rsidRPr="00B3626F">
              <w:rPr>
                <w:rFonts w:asciiTheme="minorHAnsi" w:hAnsiTheme="minorHAnsi"/>
                <w:sz w:val="20"/>
              </w:rPr>
              <w:t>’</w:t>
            </w:r>
            <w:r w:rsidRPr="00B3626F">
              <w:rPr>
                <w:rFonts w:asciiTheme="minorHAnsi" w:hAnsiTheme="minorHAnsi"/>
                <w:sz w:val="20"/>
              </w:rPr>
              <w:t xml:space="preserve">assistance internationale de plus de 100 000 dollars des États-Unis accordées, et aux candidatures à la Liste du patrimoine culturel immatériel nécessitant une sauvegarde urgente; </w:t>
            </w:r>
          </w:p>
          <w:p w14:paraId="11FC72C6" w14:textId="29C44994" w:rsidR="0033577D" w:rsidRPr="00B3626F" w:rsidRDefault="003F155F" w:rsidP="004E6011">
            <w:pPr>
              <w:autoSpaceDE w:val="0"/>
              <w:autoSpaceDN w:val="0"/>
              <w:adjustRightInd w:val="0"/>
              <w:spacing w:before="120"/>
              <w:ind w:left="756"/>
              <w:rPr>
                <w:rFonts w:asciiTheme="minorHAnsi" w:hAnsiTheme="minorHAnsi"/>
                <w:sz w:val="20"/>
              </w:rPr>
            </w:pPr>
            <w:r w:rsidRPr="00B3626F">
              <w:rPr>
                <w:rFonts w:asciiTheme="minorHAnsi" w:hAnsiTheme="minorHAnsi"/>
                <w:sz w:val="20"/>
              </w:rPr>
              <w:t xml:space="preserve">(ii) aux dossiers multinationaux ; et </w:t>
            </w:r>
          </w:p>
          <w:p w14:paraId="16614659" w14:textId="365EEC4E" w:rsidR="0033577D" w:rsidRPr="00B3626F" w:rsidRDefault="003F155F" w:rsidP="004E6011">
            <w:pPr>
              <w:autoSpaceDE w:val="0"/>
              <w:autoSpaceDN w:val="0"/>
              <w:adjustRightInd w:val="0"/>
              <w:spacing w:before="120"/>
              <w:ind w:left="756"/>
              <w:rPr>
                <w:rFonts w:asciiTheme="minorHAnsi" w:hAnsiTheme="minorHAnsi"/>
                <w:sz w:val="20"/>
              </w:rPr>
            </w:pPr>
            <w:r w:rsidRPr="00B3626F">
              <w:rPr>
                <w:rFonts w:asciiTheme="minorHAnsi" w:hAnsiTheme="minorHAnsi"/>
                <w:sz w:val="20"/>
              </w:rPr>
              <w:t>(iii) aux dossiers provenant d</w:t>
            </w:r>
            <w:r w:rsidR="00DE5604" w:rsidRPr="00B3626F">
              <w:rPr>
                <w:rFonts w:asciiTheme="minorHAnsi" w:hAnsiTheme="minorHAnsi"/>
                <w:sz w:val="20"/>
              </w:rPr>
              <w:t>’</w:t>
            </w:r>
            <w:r w:rsidRPr="00B3626F">
              <w:rPr>
                <w:rFonts w:asciiTheme="minorHAnsi" w:hAnsiTheme="minorHAnsi"/>
                <w:sz w:val="20"/>
              </w:rPr>
              <w:t>États ayant le moins d</w:t>
            </w:r>
            <w:r w:rsidR="00DE5604" w:rsidRPr="00B3626F">
              <w:rPr>
                <w:rFonts w:asciiTheme="minorHAnsi" w:hAnsiTheme="minorHAnsi"/>
                <w:sz w:val="20"/>
              </w:rPr>
              <w:t>’</w:t>
            </w:r>
            <w:r w:rsidRPr="00B3626F">
              <w:rPr>
                <w:rFonts w:asciiTheme="minorHAnsi" w:hAnsiTheme="minorHAnsi"/>
                <w:sz w:val="20"/>
              </w:rPr>
              <w:t>éléments inscrits, de meilleures pratiques de sauvegarde sélectionnées ou de demandes d</w:t>
            </w:r>
            <w:r w:rsidR="00DE5604" w:rsidRPr="00B3626F">
              <w:rPr>
                <w:rFonts w:asciiTheme="minorHAnsi" w:hAnsiTheme="minorHAnsi"/>
                <w:sz w:val="20"/>
              </w:rPr>
              <w:t>’</w:t>
            </w:r>
            <w:r w:rsidRPr="00B3626F">
              <w:rPr>
                <w:rFonts w:asciiTheme="minorHAnsi" w:hAnsiTheme="minorHAnsi"/>
                <w:sz w:val="20"/>
              </w:rPr>
              <w:t xml:space="preserve">assistance international de plus de 100 000 dollars des États-Unis accordées par rapport aux autres États soumissionnaires au cours du même cycle. </w:t>
            </w:r>
          </w:p>
          <w:p w14:paraId="7BA3110F" w14:textId="6C96C80C" w:rsidR="005A49E9" w:rsidRPr="00B3626F" w:rsidRDefault="003F155F" w:rsidP="00BD61EE">
            <w:pPr>
              <w:autoSpaceDE w:val="0"/>
              <w:autoSpaceDN w:val="0"/>
              <w:adjustRightInd w:val="0"/>
              <w:spacing w:before="240"/>
              <w:rPr>
                <w:rFonts w:asciiTheme="minorHAnsi" w:eastAsia="SimSun" w:hAnsiTheme="minorHAnsi" w:cstheme="minorHAnsi"/>
                <w:sz w:val="20"/>
                <w:szCs w:val="20"/>
              </w:rPr>
            </w:pPr>
            <w:r w:rsidRPr="00B3626F">
              <w:rPr>
                <w:rFonts w:asciiTheme="minorHAnsi" w:hAnsiTheme="minorHAnsi"/>
                <w:sz w:val="20"/>
              </w:rPr>
              <w:t>Dans le cas où ils soumettent plusieurs dossiers pour un même cycle, les États soumissionnaires indiquent l</w:t>
            </w:r>
            <w:r w:rsidR="00DE5604" w:rsidRPr="00B3626F">
              <w:rPr>
                <w:rFonts w:asciiTheme="minorHAnsi" w:hAnsiTheme="minorHAnsi"/>
                <w:sz w:val="20"/>
              </w:rPr>
              <w:t>’</w:t>
            </w:r>
            <w:r w:rsidRPr="00B3626F">
              <w:rPr>
                <w:rFonts w:asciiTheme="minorHAnsi" w:hAnsiTheme="minorHAnsi"/>
                <w:sz w:val="20"/>
              </w:rPr>
              <w:t>ordre de priorité dans lequel ils souhaitent voir leurs dossiers examinés et sont invités à donner la priorité à la Liste du patrimoine culturel immatériel nécessitant une sauvegarde urgente.</w:t>
            </w:r>
          </w:p>
        </w:tc>
        <w:tc>
          <w:tcPr>
            <w:tcW w:w="709" w:type="dxa"/>
          </w:tcPr>
          <w:p w14:paraId="39D27079" w14:textId="77777777" w:rsidR="005A49E9" w:rsidRPr="00B3626F" w:rsidRDefault="005A49E9" w:rsidP="00BD61EE">
            <w:pPr>
              <w:spacing w:before="60" w:after="60"/>
              <w:rPr>
                <w:rFonts w:asciiTheme="minorHAnsi" w:hAnsiTheme="minorHAnsi" w:cstheme="minorHAnsi"/>
                <w:sz w:val="20"/>
                <w:szCs w:val="20"/>
              </w:rPr>
            </w:pPr>
            <w:r w:rsidRPr="00B3626F">
              <w:rPr>
                <w:rFonts w:asciiTheme="minorHAnsi" w:hAnsiTheme="minorHAnsi"/>
                <w:sz w:val="20"/>
              </w:rPr>
              <w:t>34.</w:t>
            </w:r>
          </w:p>
        </w:tc>
        <w:tc>
          <w:tcPr>
            <w:tcW w:w="6520" w:type="dxa"/>
            <w:gridSpan w:val="2"/>
          </w:tcPr>
          <w:p w14:paraId="6667B242" w14:textId="62EAA21C" w:rsidR="0033577D" w:rsidRPr="00B3626F" w:rsidRDefault="005A49E9" w:rsidP="001301CD">
            <w:pPr>
              <w:autoSpaceDE w:val="0"/>
              <w:autoSpaceDN w:val="0"/>
              <w:adjustRightInd w:val="0"/>
              <w:spacing w:before="240"/>
              <w:rPr>
                <w:rFonts w:asciiTheme="minorHAnsi" w:hAnsiTheme="minorHAnsi"/>
                <w:sz w:val="20"/>
              </w:rPr>
            </w:pPr>
            <w:r w:rsidRPr="00B3626F">
              <w:rPr>
                <w:rFonts w:asciiTheme="minorHAnsi" w:hAnsiTheme="minorHAnsi"/>
                <w:sz w:val="20"/>
              </w:rPr>
              <w:t xml:space="preserve">Le Comité </w:t>
            </w:r>
            <w:r w:rsidR="0033577D" w:rsidRPr="00B3626F">
              <w:rPr>
                <w:rFonts w:asciiTheme="minorHAnsi" w:hAnsiTheme="minorHAnsi"/>
                <w:sz w:val="20"/>
              </w:rPr>
              <w:t>s</w:t>
            </w:r>
            <w:r w:rsidR="00DE5604" w:rsidRPr="00B3626F">
              <w:rPr>
                <w:rFonts w:asciiTheme="minorHAnsi" w:hAnsiTheme="minorHAnsi"/>
                <w:sz w:val="20"/>
              </w:rPr>
              <w:t>’</w:t>
            </w:r>
            <w:r w:rsidR="0033577D" w:rsidRPr="00B3626F">
              <w:rPr>
                <w:rFonts w:asciiTheme="minorHAnsi" w:hAnsiTheme="minorHAnsi"/>
                <w:sz w:val="20"/>
              </w:rPr>
              <w:t>efforce d</w:t>
            </w:r>
            <w:r w:rsidR="00DE5604" w:rsidRPr="00B3626F">
              <w:rPr>
                <w:rFonts w:asciiTheme="minorHAnsi" w:hAnsiTheme="minorHAnsi"/>
                <w:sz w:val="20"/>
              </w:rPr>
              <w:t>’</w:t>
            </w:r>
            <w:r w:rsidR="0033577D" w:rsidRPr="00B3626F">
              <w:rPr>
                <w:rFonts w:asciiTheme="minorHAnsi" w:hAnsiTheme="minorHAnsi"/>
                <w:sz w:val="20"/>
              </w:rPr>
              <w:t xml:space="preserve">examiner dans toute la mesure du possible au moins un dossier par État soumissionnaire, dans la limite de ce plafond global, en donnant priorité : </w:t>
            </w:r>
          </w:p>
          <w:p w14:paraId="6EBE7716" w14:textId="27E7417F" w:rsidR="00AE6FBB" w:rsidRPr="00B3626F" w:rsidRDefault="00AE6FBB" w:rsidP="00325ACD">
            <w:pPr>
              <w:autoSpaceDE w:val="0"/>
              <w:autoSpaceDN w:val="0"/>
              <w:adjustRightInd w:val="0"/>
              <w:spacing w:before="120"/>
              <w:ind w:left="756"/>
              <w:rPr>
                <w:rFonts w:asciiTheme="minorHAnsi" w:eastAsia="SimSun" w:hAnsiTheme="minorHAnsi" w:cstheme="minorHAnsi"/>
                <w:sz w:val="20"/>
                <w:szCs w:val="20"/>
                <w:u w:val="single"/>
              </w:rPr>
            </w:pPr>
            <w:r w:rsidRPr="00B3626F">
              <w:rPr>
                <w:rFonts w:asciiTheme="minorHAnsi" w:hAnsiTheme="minorHAnsi"/>
                <w:sz w:val="20"/>
                <w:u w:val="single"/>
              </w:rPr>
              <w:t>(0)</w:t>
            </w:r>
            <w:r w:rsidR="004E6011" w:rsidRPr="00B3626F">
              <w:rPr>
                <w:rFonts w:asciiTheme="minorHAnsi" w:hAnsiTheme="minorHAnsi"/>
                <w:sz w:val="20"/>
                <w:u w:val="single"/>
              </w:rPr>
              <w:t xml:space="preserve"> </w:t>
            </w:r>
            <w:r w:rsidRPr="00B3626F">
              <w:rPr>
                <w:rFonts w:asciiTheme="minorHAnsi" w:hAnsiTheme="minorHAnsi"/>
                <w:sz w:val="20"/>
                <w:u w:val="single"/>
              </w:rPr>
              <w:t>aux dossiers provenant d</w:t>
            </w:r>
            <w:r w:rsidR="00DE5604" w:rsidRPr="00B3626F">
              <w:rPr>
                <w:rFonts w:asciiTheme="minorHAnsi" w:hAnsiTheme="minorHAnsi"/>
                <w:sz w:val="20"/>
                <w:u w:val="single"/>
              </w:rPr>
              <w:t>’</w:t>
            </w:r>
            <w:r w:rsidRPr="00B3626F">
              <w:rPr>
                <w:rFonts w:asciiTheme="minorHAnsi" w:hAnsiTheme="minorHAnsi"/>
                <w:sz w:val="20"/>
                <w:u w:val="single"/>
              </w:rPr>
              <w:t xml:space="preserve">États </w:t>
            </w:r>
            <w:r w:rsidR="00E562CF" w:rsidRPr="00B3626F">
              <w:rPr>
                <w:rFonts w:asciiTheme="minorHAnsi" w:hAnsiTheme="minorHAnsi"/>
                <w:sz w:val="20"/>
                <w:u w:val="single"/>
              </w:rPr>
              <w:t>n</w:t>
            </w:r>
            <w:r w:rsidR="00DE5604" w:rsidRPr="00B3626F">
              <w:rPr>
                <w:rFonts w:asciiTheme="minorHAnsi" w:hAnsiTheme="minorHAnsi"/>
                <w:sz w:val="20"/>
                <w:u w:val="single"/>
              </w:rPr>
              <w:t>’</w:t>
            </w:r>
            <w:r w:rsidR="00E562CF" w:rsidRPr="00B3626F">
              <w:rPr>
                <w:rFonts w:asciiTheme="minorHAnsi" w:hAnsiTheme="minorHAnsi"/>
                <w:sz w:val="20"/>
                <w:u w:val="single"/>
              </w:rPr>
              <w:t>ayant</w:t>
            </w:r>
            <w:r w:rsidRPr="00B3626F">
              <w:rPr>
                <w:rFonts w:asciiTheme="minorHAnsi" w:hAnsiTheme="minorHAnsi"/>
                <w:sz w:val="20"/>
                <w:u w:val="single"/>
              </w:rPr>
              <w:t xml:space="preserve"> aucun dossier traité au cours du cycle précédent ;</w:t>
            </w:r>
            <w:r w:rsidRPr="00B3626F">
              <w:rPr>
                <w:rStyle w:val="Appelnotedebasdep"/>
                <w:rFonts w:asciiTheme="minorHAnsi" w:eastAsia="SimSun" w:hAnsiTheme="minorHAnsi" w:cstheme="minorHAnsi"/>
                <w:sz w:val="20"/>
                <w:szCs w:val="20"/>
              </w:rPr>
              <w:footnoteReference w:id="7"/>
            </w:r>
          </w:p>
          <w:p w14:paraId="332E80FE" w14:textId="0C897C81" w:rsidR="0033577D" w:rsidRPr="00C70416" w:rsidRDefault="0033577D" w:rsidP="00325ACD">
            <w:pPr>
              <w:autoSpaceDE w:val="0"/>
              <w:autoSpaceDN w:val="0"/>
              <w:adjustRightInd w:val="0"/>
              <w:spacing w:before="120"/>
              <w:ind w:left="756"/>
              <w:rPr>
                <w:rFonts w:asciiTheme="minorHAnsi" w:hAnsiTheme="minorHAnsi"/>
                <w:sz w:val="20"/>
              </w:rPr>
            </w:pPr>
            <w:r w:rsidRPr="00B3626F">
              <w:rPr>
                <w:rFonts w:asciiTheme="minorHAnsi" w:hAnsiTheme="minorHAnsi"/>
                <w:sz w:val="20"/>
              </w:rPr>
              <w:t>(i) aux dossiers provenant d</w:t>
            </w:r>
            <w:r w:rsidR="00DE5604" w:rsidRPr="00B3626F">
              <w:rPr>
                <w:rFonts w:asciiTheme="minorHAnsi" w:hAnsiTheme="minorHAnsi"/>
                <w:sz w:val="20"/>
              </w:rPr>
              <w:t>’</w:t>
            </w:r>
            <w:r w:rsidRPr="00B3626F">
              <w:rPr>
                <w:rFonts w:asciiTheme="minorHAnsi" w:hAnsiTheme="minorHAnsi"/>
                <w:sz w:val="20"/>
              </w:rPr>
              <w:t>États n</w:t>
            </w:r>
            <w:r w:rsidR="00DE5604" w:rsidRPr="00B3626F">
              <w:rPr>
                <w:rFonts w:asciiTheme="minorHAnsi" w:hAnsiTheme="minorHAnsi"/>
                <w:sz w:val="20"/>
              </w:rPr>
              <w:t>’</w:t>
            </w:r>
            <w:r w:rsidRPr="00B3626F">
              <w:rPr>
                <w:rFonts w:asciiTheme="minorHAnsi" w:hAnsiTheme="minorHAnsi"/>
                <w:sz w:val="20"/>
              </w:rPr>
              <w:t>ayant pas d</w:t>
            </w:r>
            <w:r w:rsidR="00DE5604" w:rsidRPr="00B3626F">
              <w:rPr>
                <w:rFonts w:asciiTheme="minorHAnsi" w:hAnsiTheme="minorHAnsi"/>
                <w:sz w:val="20"/>
              </w:rPr>
              <w:t>’</w:t>
            </w:r>
            <w:r w:rsidRPr="00B3626F">
              <w:rPr>
                <w:rFonts w:asciiTheme="minorHAnsi" w:hAnsiTheme="minorHAnsi"/>
                <w:sz w:val="20"/>
              </w:rPr>
              <w:t xml:space="preserve">éléments inscrits, de </w:t>
            </w:r>
            <w:r w:rsidRPr="00C70416">
              <w:rPr>
                <w:rFonts w:asciiTheme="minorHAnsi" w:hAnsiTheme="minorHAnsi"/>
                <w:sz w:val="20"/>
              </w:rPr>
              <w:t xml:space="preserve">meilleures pratiques de sauvegarde sélectionnées </w:t>
            </w:r>
            <w:r w:rsidRPr="00C70416">
              <w:rPr>
                <w:rFonts w:asciiTheme="minorHAnsi" w:hAnsiTheme="minorHAnsi"/>
                <w:strike/>
                <w:sz w:val="20"/>
              </w:rPr>
              <w:t>ou de demandes d</w:t>
            </w:r>
            <w:r w:rsidR="00DE5604" w:rsidRPr="00C70416">
              <w:rPr>
                <w:rFonts w:asciiTheme="minorHAnsi" w:hAnsiTheme="minorHAnsi"/>
                <w:strike/>
                <w:sz w:val="20"/>
              </w:rPr>
              <w:t>’</w:t>
            </w:r>
            <w:r w:rsidRPr="00C70416">
              <w:rPr>
                <w:rFonts w:asciiTheme="minorHAnsi" w:hAnsiTheme="minorHAnsi"/>
                <w:strike/>
                <w:sz w:val="20"/>
              </w:rPr>
              <w:t>assistance internationale de plus de 100 000 dollars des États-Unis accordées</w:t>
            </w:r>
            <w:r w:rsidRPr="00C70416">
              <w:rPr>
                <w:rFonts w:asciiTheme="minorHAnsi" w:hAnsiTheme="minorHAnsi"/>
                <w:sz w:val="20"/>
              </w:rPr>
              <w:t>, et aux candidatures à la Liste du patrimoine culturel immatériel nécessitant une sauvegarde urgente</w:t>
            </w:r>
            <w:r w:rsidR="00B57D53" w:rsidRPr="00C70416">
              <w:rPr>
                <w:rFonts w:asciiTheme="minorHAnsi" w:hAnsiTheme="minorHAnsi"/>
                <w:sz w:val="20"/>
              </w:rPr>
              <w:t xml:space="preserve"> </w:t>
            </w:r>
            <w:r w:rsidRPr="00C70416">
              <w:rPr>
                <w:rFonts w:asciiTheme="minorHAnsi" w:hAnsiTheme="minorHAnsi"/>
                <w:sz w:val="20"/>
              </w:rPr>
              <w:t xml:space="preserve">; </w:t>
            </w:r>
          </w:p>
          <w:p w14:paraId="1A176326" w14:textId="77777777" w:rsidR="0033577D" w:rsidRPr="00C70416" w:rsidRDefault="0033577D" w:rsidP="00325ACD">
            <w:pPr>
              <w:autoSpaceDE w:val="0"/>
              <w:autoSpaceDN w:val="0"/>
              <w:adjustRightInd w:val="0"/>
              <w:spacing w:before="120"/>
              <w:ind w:left="756"/>
              <w:rPr>
                <w:rFonts w:asciiTheme="minorHAnsi" w:hAnsiTheme="minorHAnsi"/>
                <w:sz w:val="20"/>
              </w:rPr>
            </w:pPr>
            <w:r w:rsidRPr="00C70416">
              <w:rPr>
                <w:rFonts w:asciiTheme="minorHAnsi" w:hAnsiTheme="minorHAnsi"/>
                <w:sz w:val="20"/>
              </w:rPr>
              <w:t xml:space="preserve">(ii) aux dossiers multinationaux ; et </w:t>
            </w:r>
          </w:p>
          <w:p w14:paraId="0E43583D" w14:textId="0D1DECE9" w:rsidR="0033577D" w:rsidRPr="00B3626F" w:rsidRDefault="0033577D" w:rsidP="00325ACD">
            <w:pPr>
              <w:autoSpaceDE w:val="0"/>
              <w:autoSpaceDN w:val="0"/>
              <w:adjustRightInd w:val="0"/>
              <w:spacing w:before="120"/>
              <w:ind w:left="756"/>
              <w:rPr>
                <w:rFonts w:asciiTheme="minorHAnsi" w:hAnsiTheme="minorHAnsi"/>
                <w:sz w:val="20"/>
              </w:rPr>
            </w:pPr>
            <w:r w:rsidRPr="00C70416">
              <w:rPr>
                <w:rFonts w:asciiTheme="minorHAnsi" w:hAnsiTheme="minorHAnsi"/>
                <w:sz w:val="20"/>
              </w:rPr>
              <w:t>(iii) aux dossiers provenant d</w:t>
            </w:r>
            <w:r w:rsidR="00DE5604" w:rsidRPr="00C70416">
              <w:rPr>
                <w:rFonts w:asciiTheme="minorHAnsi" w:hAnsiTheme="minorHAnsi"/>
                <w:sz w:val="20"/>
              </w:rPr>
              <w:t>’</w:t>
            </w:r>
            <w:r w:rsidRPr="00C70416">
              <w:rPr>
                <w:rFonts w:asciiTheme="minorHAnsi" w:hAnsiTheme="minorHAnsi"/>
                <w:sz w:val="20"/>
              </w:rPr>
              <w:t>États ayant le moins d</w:t>
            </w:r>
            <w:r w:rsidR="00DE5604" w:rsidRPr="00C70416">
              <w:rPr>
                <w:rFonts w:asciiTheme="minorHAnsi" w:hAnsiTheme="minorHAnsi"/>
                <w:sz w:val="20"/>
              </w:rPr>
              <w:t>’</w:t>
            </w:r>
            <w:r w:rsidRPr="00C70416">
              <w:rPr>
                <w:rFonts w:asciiTheme="minorHAnsi" w:hAnsiTheme="minorHAnsi"/>
                <w:sz w:val="20"/>
              </w:rPr>
              <w:t>éléments inscrits</w:t>
            </w:r>
            <w:r w:rsidRPr="00C70416">
              <w:rPr>
                <w:rFonts w:asciiTheme="minorHAnsi" w:hAnsiTheme="minorHAnsi"/>
                <w:strike/>
                <w:sz w:val="20"/>
              </w:rPr>
              <w:t>,</w:t>
            </w:r>
            <w:r w:rsidRPr="00C70416">
              <w:rPr>
                <w:rFonts w:asciiTheme="minorHAnsi" w:hAnsiTheme="minorHAnsi"/>
                <w:sz w:val="20"/>
              </w:rPr>
              <w:t xml:space="preserve"> </w:t>
            </w:r>
            <w:r w:rsidR="006E0DAD" w:rsidRPr="00C70416">
              <w:rPr>
                <w:rFonts w:asciiTheme="minorHAnsi" w:hAnsiTheme="minorHAnsi"/>
                <w:sz w:val="20"/>
                <w:u w:val="single"/>
              </w:rPr>
              <w:t>et</w:t>
            </w:r>
            <w:r w:rsidR="006E0DAD" w:rsidRPr="00C70416">
              <w:rPr>
                <w:rFonts w:asciiTheme="minorHAnsi" w:hAnsiTheme="minorHAnsi"/>
                <w:sz w:val="20"/>
              </w:rPr>
              <w:t xml:space="preserve"> </w:t>
            </w:r>
            <w:r w:rsidRPr="00C70416">
              <w:rPr>
                <w:rFonts w:asciiTheme="minorHAnsi" w:hAnsiTheme="minorHAnsi"/>
                <w:sz w:val="20"/>
              </w:rPr>
              <w:t xml:space="preserve">de meilleures pratiques de sauvegarde sélectionnées </w:t>
            </w:r>
            <w:r w:rsidRPr="00C70416">
              <w:rPr>
                <w:rFonts w:asciiTheme="minorHAnsi" w:hAnsiTheme="minorHAnsi"/>
                <w:strike/>
                <w:sz w:val="20"/>
              </w:rPr>
              <w:t>ou de demandes d</w:t>
            </w:r>
            <w:r w:rsidR="00DE5604" w:rsidRPr="00C70416">
              <w:rPr>
                <w:rFonts w:asciiTheme="minorHAnsi" w:hAnsiTheme="minorHAnsi"/>
                <w:strike/>
                <w:sz w:val="20"/>
              </w:rPr>
              <w:t>’</w:t>
            </w:r>
            <w:r w:rsidRPr="00C70416">
              <w:rPr>
                <w:rFonts w:asciiTheme="minorHAnsi" w:hAnsiTheme="minorHAnsi"/>
                <w:strike/>
                <w:sz w:val="20"/>
              </w:rPr>
              <w:t>assistance international de plus de 100 000 dollars des États-Unis accordées</w:t>
            </w:r>
            <w:r w:rsidRPr="00C70416">
              <w:rPr>
                <w:rFonts w:asciiTheme="minorHAnsi" w:hAnsiTheme="minorHAnsi"/>
                <w:sz w:val="20"/>
              </w:rPr>
              <w:t xml:space="preserve"> par rapport aux autres États soumissionnaires au cours</w:t>
            </w:r>
            <w:r w:rsidRPr="00B3626F">
              <w:rPr>
                <w:rFonts w:asciiTheme="minorHAnsi" w:hAnsiTheme="minorHAnsi"/>
                <w:sz w:val="20"/>
              </w:rPr>
              <w:t xml:space="preserve"> du même cycle. </w:t>
            </w:r>
          </w:p>
          <w:p w14:paraId="6659223E" w14:textId="07FEA13C" w:rsidR="005A49E9" w:rsidRPr="00B3626F" w:rsidRDefault="0033577D" w:rsidP="00E24160">
            <w:pPr>
              <w:widowControl w:val="0"/>
              <w:tabs>
                <w:tab w:val="left" w:pos="2127"/>
                <w:tab w:val="left" w:pos="2176"/>
              </w:tabs>
              <w:autoSpaceDE w:val="0"/>
              <w:autoSpaceDN w:val="0"/>
              <w:spacing w:before="60" w:after="60"/>
              <w:rPr>
                <w:rFonts w:asciiTheme="minorHAnsi" w:hAnsiTheme="minorHAnsi"/>
                <w:sz w:val="20"/>
              </w:rPr>
            </w:pPr>
            <w:r w:rsidRPr="00B3626F">
              <w:rPr>
                <w:rFonts w:asciiTheme="minorHAnsi" w:hAnsiTheme="minorHAnsi"/>
                <w:sz w:val="20"/>
              </w:rPr>
              <w:t>Dans le cas où ils soumettent plusieurs dossiers pour un même cycle, les États soumissionnaires indiquent l</w:t>
            </w:r>
            <w:r w:rsidR="00DE5604" w:rsidRPr="00B3626F">
              <w:rPr>
                <w:rFonts w:asciiTheme="minorHAnsi" w:hAnsiTheme="minorHAnsi"/>
                <w:sz w:val="20"/>
              </w:rPr>
              <w:t>’</w:t>
            </w:r>
            <w:r w:rsidRPr="00B3626F">
              <w:rPr>
                <w:rFonts w:asciiTheme="minorHAnsi" w:hAnsiTheme="minorHAnsi"/>
                <w:sz w:val="20"/>
              </w:rPr>
              <w:t>ordre de priorité dans lequel ils souhaitent voir leurs dossiers examinés et sont invités à donner la priorité à la Liste du patrimoine culturel immatériel nécessitant une sauvegarde urgente.</w:t>
            </w:r>
          </w:p>
        </w:tc>
      </w:tr>
      <w:tr w:rsidR="005A49E9" w:rsidRPr="00B3626F" w14:paraId="67B34142" w14:textId="77777777" w:rsidTr="00BD61EE">
        <w:tc>
          <w:tcPr>
            <w:tcW w:w="831" w:type="dxa"/>
          </w:tcPr>
          <w:p w14:paraId="46BE22FD" w14:textId="77777777" w:rsidR="005A49E9" w:rsidRPr="00B3626F" w:rsidRDefault="005A49E9" w:rsidP="00BD61EE">
            <w:pPr>
              <w:spacing w:before="60" w:after="60"/>
              <w:rPr>
                <w:rFonts w:asciiTheme="minorHAnsi" w:hAnsiTheme="minorHAnsi" w:cstheme="minorHAnsi"/>
                <w:sz w:val="20"/>
                <w:szCs w:val="20"/>
              </w:rPr>
            </w:pPr>
            <w:r w:rsidRPr="00B3626F">
              <w:rPr>
                <w:rFonts w:asciiTheme="minorHAnsi" w:hAnsiTheme="minorHAnsi"/>
                <w:sz w:val="20"/>
              </w:rPr>
              <w:t>35</w:t>
            </w:r>
          </w:p>
        </w:tc>
        <w:tc>
          <w:tcPr>
            <w:tcW w:w="6252" w:type="dxa"/>
            <w:gridSpan w:val="2"/>
          </w:tcPr>
          <w:p w14:paraId="07511210" w14:textId="77777777" w:rsidR="005A49E9" w:rsidRPr="00B3626F" w:rsidRDefault="005A49E9" w:rsidP="004E6011">
            <w:pPr>
              <w:widowControl w:val="0"/>
              <w:spacing w:before="120" w:after="120"/>
              <w:rPr>
                <w:rFonts w:asciiTheme="minorHAnsi" w:hAnsiTheme="minorHAnsi" w:cstheme="minorHAnsi"/>
                <w:sz w:val="20"/>
                <w:szCs w:val="20"/>
              </w:rPr>
            </w:pPr>
            <w:r w:rsidRPr="00B3626F">
              <w:rPr>
                <w:rFonts w:asciiTheme="minorHAnsi" w:hAnsiTheme="minorHAnsi"/>
                <w:sz w:val="20"/>
              </w:rPr>
              <w:t xml:space="preserve">Après </w:t>
            </w:r>
            <w:r w:rsidRPr="00B3626F">
              <w:rPr>
                <w:rFonts w:asciiTheme="minorHAnsi" w:hAnsiTheme="minorHAnsi" w:cstheme="minorHAnsi"/>
                <w:sz w:val="20"/>
                <w:szCs w:val="20"/>
              </w:rPr>
              <w:t xml:space="preserve">examen, le Comité décide : </w:t>
            </w:r>
          </w:p>
          <w:p w14:paraId="65F3844F" w14:textId="5BE18257" w:rsidR="004E6011" w:rsidRPr="00B3626F" w:rsidRDefault="004E6011" w:rsidP="004E6011">
            <w:pPr>
              <w:pStyle w:val="Paragraphedeliste"/>
              <w:widowControl w:val="0"/>
              <w:numPr>
                <w:ilvl w:val="0"/>
                <w:numId w:val="38"/>
              </w:numPr>
              <w:autoSpaceDE w:val="0"/>
              <w:autoSpaceDN w:val="0"/>
              <w:spacing w:after="60"/>
              <w:ind w:left="756"/>
              <w:rPr>
                <w:rFonts w:asciiTheme="minorHAnsi" w:hAnsiTheme="minorHAnsi" w:cstheme="minorHAnsi"/>
                <w:sz w:val="20"/>
                <w:szCs w:val="20"/>
              </w:rPr>
            </w:pPr>
            <w:r w:rsidRPr="00B3626F">
              <w:rPr>
                <w:rFonts w:asciiTheme="minorHAnsi" w:hAnsiTheme="minorHAnsi" w:cstheme="minorHAnsi"/>
                <w:sz w:val="20"/>
                <w:szCs w:val="20"/>
              </w:rPr>
              <w:t>si un</w:t>
            </w:r>
            <w:r w:rsidRPr="00B3626F">
              <w:rPr>
                <w:rFonts w:asciiTheme="minorHAnsi" w:eastAsia="Yu Mincho" w:hAnsiTheme="minorHAnsi" w:cstheme="minorHAnsi"/>
                <w:sz w:val="20"/>
                <w:szCs w:val="20"/>
              </w:rPr>
              <w:t xml:space="preserve"> </w:t>
            </w:r>
            <w:r w:rsidRPr="00B3626F">
              <w:rPr>
                <w:rFonts w:asciiTheme="minorHAnsi" w:hAnsiTheme="minorHAnsi" w:cstheme="minorHAnsi"/>
                <w:sz w:val="20"/>
                <w:szCs w:val="20"/>
              </w:rPr>
              <w:t>élément doit ou non être inscrit sur la Liste du patrimoine culturel immatériel nécessitant une sauvegarde urgente ou sur la Liste représentative du patrimoine culturel immatériel de l</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humanité ou si la candidature doit être renvoyée à l</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(aux) État(s) soumissionnaire(s) pour complément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information ;</w:t>
            </w:r>
          </w:p>
          <w:p w14:paraId="6DBEAF81" w14:textId="370A5B2E" w:rsidR="004E6011" w:rsidRPr="00B3626F" w:rsidRDefault="004E6011" w:rsidP="004E6011">
            <w:pPr>
              <w:pStyle w:val="Paragraphedeliste"/>
              <w:widowControl w:val="0"/>
              <w:numPr>
                <w:ilvl w:val="0"/>
                <w:numId w:val="38"/>
              </w:numPr>
              <w:autoSpaceDE w:val="0"/>
              <w:autoSpaceDN w:val="0"/>
              <w:spacing w:after="60"/>
              <w:ind w:left="756"/>
              <w:rPr>
                <w:rFonts w:asciiTheme="minorHAnsi" w:hAnsiTheme="minorHAnsi" w:cstheme="minorHAnsi"/>
                <w:sz w:val="20"/>
                <w:szCs w:val="20"/>
              </w:rPr>
            </w:pPr>
            <w:r w:rsidRPr="00B3626F">
              <w:rPr>
                <w:rFonts w:asciiTheme="minorHAnsi" w:hAnsiTheme="minorHAnsi" w:cstheme="minorHAnsi"/>
                <w:sz w:val="20"/>
                <w:szCs w:val="20"/>
              </w:rPr>
              <w:lastRenderedPageBreak/>
              <w:t>si un programme, projet ou activité doit ou non être sélectionné comme</w:t>
            </w:r>
            <w:r w:rsidRPr="00B3626F">
              <w:rPr>
                <w:rFonts w:asciiTheme="minorHAnsi" w:eastAsia="Yu Mincho" w:hAnsiTheme="minorHAnsi" w:cstheme="minorHAnsi"/>
                <w:sz w:val="20"/>
                <w:szCs w:val="20"/>
              </w:rPr>
              <w:t xml:space="preserve"> meilleure pratique de sauvegarde ou si la proposition doit </w:t>
            </w:r>
            <w:r w:rsidRPr="00B3626F">
              <w:rPr>
                <w:rFonts w:asciiTheme="minorHAnsi" w:hAnsiTheme="minorHAnsi" w:cstheme="minorHAnsi"/>
                <w:sz w:val="20"/>
                <w:szCs w:val="20"/>
              </w:rPr>
              <w:t>être renvoyée à l</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(aux) État(s) soumissionnaire(s) pour complément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information ;</w:t>
            </w:r>
          </w:p>
          <w:p w14:paraId="5E8F3FF8" w14:textId="77777777" w:rsidR="004E6011" w:rsidRPr="00B3626F" w:rsidRDefault="004E6011" w:rsidP="004E6011">
            <w:pPr>
              <w:pStyle w:val="Paragraphedeliste"/>
              <w:widowControl w:val="0"/>
              <w:autoSpaceDE w:val="0"/>
              <w:autoSpaceDN w:val="0"/>
              <w:spacing w:after="60"/>
              <w:ind w:left="756"/>
              <w:rPr>
                <w:rFonts w:asciiTheme="minorHAnsi" w:eastAsia="Yu Mincho" w:hAnsiTheme="minorHAnsi" w:cstheme="minorHAnsi"/>
                <w:sz w:val="20"/>
                <w:szCs w:val="20"/>
              </w:rPr>
            </w:pPr>
          </w:p>
          <w:p w14:paraId="5CBFF0B8" w14:textId="6744BE88" w:rsidR="005A49E9" w:rsidRPr="00B3626F" w:rsidRDefault="004E6011" w:rsidP="004E6011">
            <w:pPr>
              <w:pStyle w:val="Paragraphedeliste"/>
              <w:widowControl w:val="0"/>
              <w:numPr>
                <w:ilvl w:val="0"/>
                <w:numId w:val="38"/>
              </w:numPr>
              <w:autoSpaceDE w:val="0"/>
              <w:autoSpaceDN w:val="0"/>
              <w:spacing w:after="60"/>
              <w:ind w:left="756"/>
              <w:rPr>
                <w:rFonts w:asciiTheme="minorHAnsi" w:eastAsia="Yu Mincho" w:hAnsiTheme="minorHAnsi" w:cstheme="minorHAnsi"/>
                <w:sz w:val="20"/>
                <w:szCs w:val="20"/>
              </w:rPr>
            </w:pPr>
            <w:r w:rsidRPr="00B3626F">
              <w:rPr>
                <w:rFonts w:asciiTheme="minorHAnsi" w:hAnsiTheme="minorHAnsi" w:cstheme="minorHAnsi"/>
                <w:sz w:val="20"/>
                <w:szCs w:val="20"/>
              </w:rPr>
              <w:t>ou si une demande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assistance internationale supérieure à 100 000 dollars des États-Unis doit ou non être accordée ou si la demande doit être renvoyée</w:t>
            </w:r>
            <w:r w:rsidRPr="00B3626F">
              <w:rPr>
                <w:rFonts w:asciiTheme="minorHAnsi" w:eastAsia="Yu Mincho" w:hAnsiTheme="minorHAnsi" w:cstheme="minorHAnsi"/>
                <w:sz w:val="20"/>
                <w:szCs w:val="20"/>
              </w:rPr>
              <w:t xml:space="preserve"> à l</w:t>
            </w:r>
            <w:r w:rsidR="00DE5604" w:rsidRPr="00B3626F">
              <w:rPr>
                <w:rFonts w:asciiTheme="minorHAnsi" w:eastAsia="Yu Mincho" w:hAnsiTheme="minorHAnsi" w:cstheme="minorHAnsi"/>
                <w:sz w:val="20"/>
                <w:szCs w:val="20"/>
              </w:rPr>
              <w:t>’</w:t>
            </w:r>
            <w:r w:rsidRPr="00B3626F">
              <w:rPr>
                <w:rFonts w:asciiTheme="minorHAnsi" w:eastAsia="Yu Mincho" w:hAnsiTheme="minorHAnsi" w:cstheme="minorHAnsi"/>
                <w:sz w:val="20"/>
                <w:szCs w:val="20"/>
              </w:rPr>
              <w:t>(aux) État(s) soumissionnaire(s) pour complément d</w:t>
            </w:r>
            <w:r w:rsidR="00DE5604" w:rsidRPr="00B3626F">
              <w:rPr>
                <w:rFonts w:asciiTheme="minorHAnsi" w:eastAsia="Yu Mincho" w:hAnsiTheme="minorHAnsi" w:cstheme="minorHAnsi"/>
                <w:sz w:val="20"/>
                <w:szCs w:val="20"/>
              </w:rPr>
              <w:t>’</w:t>
            </w:r>
            <w:r w:rsidRPr="00B3626F">
              <w:rPr>
                <w:rFonts w:asciiTheme="minorHAnsi" w:eastAsia="Yu Mincho" w:hAnsiTheme="minorHAnsi" w:cstheme="minorHAnsi"/>
                <w:sz w:val="20"/>
                <w:szCs w:val="20"/>
              </w:rPr>
              <w:t>information.</w:t>
            </w:r>
          </w:p>
        </w:tc>
        <w:tc>
          <w:tcPr>
            <w:tcW w:w="709" w:type="dxa"/>
          </w:tcPr>
          <w:p w14:paraId="4A829AE2" w14:textId="77777777" w:rsidR="005A49E9" w:rsidRPr="00B3626F" w:rsidRDefault="005A49E9" w:rsidP="00BD61EE">
            <w:pPr>
              <w:spacing w:before="60" w:after="60"/>
              <w:rPr>
                <w:rFonts w:asciiTheme="minorHAnsi" w:hAnsiTheme="minorHAnsi" w:cstheme="minorHAnsi"/>
                <w:sz w:val="20"/>
                <w:szCs w:val="20"/>
              </w:rPr>
            </w:pPr>
            <w:r w:rsidRPr="00B3626F">
              <w:rPr>
                <w:rFonts w:asciiTheme="minorHAnsi" w:hAnsiTheme="minorHAnsi"/>
                <w:sz w:val="20"/>
              </w:rPr>
              <w:lastRenderedPageBreak/>
              <w:t>35.</w:t>
            </w:r>
          </w:p>
        </w:tc>
        <w:tc>
          <w:tcPr>
            <w:tcW w:w="6520" w:type="dxa"/>
            <w:gridSpan w:val="2"/>
          </w:tcPr>
          <w:p w14:paraId="0F7CBA5A" w14:textId="77777777" w:rsidR="005A49E9" w:rsidRPr="00B3626F" w:rsidRDefault="005A49E9" w:rsidP="00BD61EE">
            <w:pPr>
              <w:widowControl w:val="0"/>
              <w:tabs>
                <w:tab w:val="left" w:pos="2127"/>
                <w:tab w:val="left" w:pos="2176"/>
              </w:tabs>
              <w:autoSpaceDE w:val="0"/>
              <w:autoSpaceDN w:val="0"/>
              <w:spacing w:before="60" w:after="60"/>
              <w:rPr>
                <w:rFonts w:asciiTheme="minorHAnsi" w:eastAsia="SimSun" w:hAnsiTheme="minorHAnsi" w:cstheme="minorHAnsi"/>
                <w:sz w:val="20"/>
                <w:szCs w:val="20"/>
              </w:rPr>
            </w:pPr>
            <w:r w:rsidRPr="00B3626F">
              <w:rPr>
                <w:rFonts w:asciiTheme="minorHAnsi" w:hAnsiTheme="minorHAnsi"/>
                <w:sz w:val="20"/>
              </w:rPr>
              <w:t>Après examen, le Comité décide :</w:t>
            </w:r>
          </w:p>
          <w:p w14:paraId="798B8B0A" w14:textId="1C10F454" w:rsidR="008111BE" w:rsidRPr="00B3626F" w:rsidRDefault="008111BE" w:rsidP="008111BE">
            <w:pPr>
              <w:pStyle w:val="Paragraphedeliste"/>
              <w:widowControl w:val="0"/>
              <w:numPr>
                <w:ilvl w:val="0"/>
                <w:numId w:val="38"/>
              </w:numPr>
              <w:autoSpaceDE w:val="0"/>
              <w:autoSpaceDN w:val="0"/>
              <w:spacing w:after="60"/>
              <w:ind w:left="756"/>
              <w:rPr>
                <w:rFonts w:asciiTheme="minorHAnsi" w:hAnsiTheme="minorHAnsi" w:cstheme="minorHAnsi"/>
                <w:sz w:val="20"/>
                <w:szCs w:val="20"/>
              </w:rPr>
            </w:pPr>
            <w:r w:rsidRPr="00B3626F">
              <w:rPr>
                <w:rFonts w:asciiTheme="minorHAnsi" w:hAnsiTheme="minorHAnsi" w:cstheme="minorHAnsi"/>
                <w:sz w:val="20"/>
                <w:szCs w:val="20"/>
              </w:rPr>
              <w:t>si un</w:t>
            </w:r>
            <w:r w:rsidRPr="00B3626F">
              <w:rPr>
                <w:rFonts w:asciiTheme="minorHAnsi" w:eastAsia="Yu Mincho" w:hAnsiTheme="minorHAnsi" w:cstheme="minorHAnsi"/>
                <w:sz w:val="20"/>
                <w:szCs w:val="20"/>
              </w:rPr>
              <w:t xml:space="preserve"> </w:t>
            </w:r>
            <w:r w:rsidRPr="00B3626F">
              <w:rPr>
                <w:rFonts w:asciiTheme="minorHAnsi" w:hAnsiTheme="minorHAnsi" w:cstheme="minorHAnsi"/>
                <w:sz w:val="20"/>
                <w:szCs w:val="20"/>
              </w:rPr>
              <w:t>élément doit ou non être inscrit sur la Liste du patrimoine culturel immatériel nécessitant une sauvegarde urgente ou sur la Liste représentative du patrimoine culturel immatériel de l</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humanité ou si la candidature doit être renvoyée à l</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(aux) État(s) soumissionnaire(s) pour complément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information ;</w:t>
            </w:r>
          </w:p>
          <w:p w14:paraId="7961EE6C" w14:textId="0E5E9E86" w:rsidR="008111BE" w:rsidRPr="00B3626F" w:rsidRDefault="008111BE" w:rsidP="008111BE">
            <w:pPr>
              <w:pStyle w:val="Paragraphedeliste"/>
              <w:widowControl w:val="0"/>
              <w:numPr>
                <w:ilvl w:val="0"/>
                <w:numId w:val="38"/>
              </w:numPr>
              <w:autoSpaceDE w:val="0"/>
              <w:autoSpaceDN w:val="0"/>
              <w:spacing w:after="60"/>
              <w:ind w:left="756"/>
              <w:rPr>
                <w:rFonts w:asciiTheme="minorHAnsi" w:hAnsiTheme="minorHAnsi" w:cstheme="minorHAnsi"/>
                <w:sz w:val="20"/>
                <w:szCs w:val="20"/>
              </w:rPr>
            </w:pPr>
            <w:r w:rsidRPr="00B3626F">
              <w:rPr>
                <w:rFonts w:asciiTheme="minorHAnsi" w:hAnsiTheme="minorHAnsi" w:cstheme="minorHAnsi"/>
                <w:sz w:val="20"/>
                <w:szCs w:val="20"/>
              </w:rPr>
              <w:lastRenderedPageBreak/>
              <w:t>si un programme, projet ou activité doit ou non être sélectionné comme</w:t>
            </w:r>
            <w:r w:rsidRPr="00B3626F">
              <w:rPr>
                <w:rFonts w:asciiTheme="minorHAnsi" w:eastAsia="Yu Mincho" w:hAnsiTheme="minorHAnsi" w:cstheme="minorHAnsi"/>
                <w:sz w:val="20"/>
                <w:szCs w:val="20"/>
              </w:rPr>
              <w:t xml:space="preserve"> meilleure pratique de sauvegarde ou si la proposition doit </w:t>
            </w:r>
            <w:r w:rsidRPr="00B3626F">
              <w:rPr>
                <w:rFonts w:asciiTheme="minorHAnsi" w:hAnsiTheme="minorHAnsi" w:cstheme="minorHAnsi"/>
                <w:sz w:val="20"/>
                <w:szCs w:val="20"/>
              </w:rPr>
              <w:t>être renvoyée à l</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(aux) État(s) soumissionnaire(s) pour complément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information ;</w:t>
            </w:r>
          </w:p>
          <w:p w14:paraId="3D04A5BD" w14:textId="77777777" w:rsidR="008111BE" w:rsidRPr="00B3626F" w:rsidRDefault="008111BE" w:rsidP="008111BE">
            <w:pPr>
              <w:pStyle w:val="Paragraphedeliste"/>
              <w:widowControl w:val="0"/>
              <w:autoSpaceDE w:val="0"/>
              <w:autoSpaceDN w:val="0"/>
              <w:spacing w:after="60"/>
              <w:ind w:left="756"/>
              <w:rPr>
                <w:rFonts w:asciiTheme="minorHAnsi" w:eastAsia="Yu Mincho" w:hAnsiTheme="minorHAnsi" w:cstheme="minorHAnsi"/>
                <w:sz w:val="20"/>
                <w:szCs w:val="20"/>
              </w:rPr>
            </w:pPr>
          </w:p>
          <w:p w14:paraId="384C71B7" w14:textId="6D73CDB7" w:rsidR="005A49E9" w:rsidRPr="00B3626F" w:rsidRDefault="008111BE" w:rsidP="007D0C33">
            <w:pPr>
              <w:pStyle w:val="Paragraphedeliste"/>
              <w:widowControl w:val="0"/>
              <w:numPr>
                <w:ilvl w:val="0"/>
                <w:numId w:val="38"/>
              </w:numPr>
              <w:autoSpaceDE w:val="0"/>
              <w:autoSpaceDN w:val="0"/>
              <w:spacing w:after="60"/>
              <w:ind w:left="756"/>
              <w:rPr>
                <w:rFonts w:asciiTheme="minorHAnsi" w:eastAsia="Yu Mincho" w:hAnsiTheme="minorHAnsi" w:cstheme="minorHAnsi"/>
                <w:sz w:val="20"/>
                <w:szCs w:val="20"/>
              </w:rPr>
            </w:pPr>
            <w:r w:rsidRPr="00B3626F">
              <w:rPr>
                <w:rFonts w:asciiTheme="minorHAnsi" w:hAnsiTheme="minorHAnsi" w:cstheme="minorHAnsi"/>
                <w:sz w:val="20"/>
                <w:szCs w:val="20"/>
              </w:rPr>
              <w:t>ou si une demande d</w:t>
            </w:r>
            <w:r w:rsidR="00DE5604" w:rsidRPr="00B3626F">
              <w:rPr>
                <w:rFonts w:asciiTheme="minorHAnsi" w:hAnsiTheme="minorHAnsi" w:cstheme="minorHAnsi"/>
                <w:sz w:val="20"/>
                <w:szCs w:val="20"/>
              </w:rPr>
              <w:t>’</w:t>
            </w:r>
            <w:r w:rsidRPr="00B3626F">
              <w:rPr>
                <w:rFonts w:asciiTheme="minorHAnsi" w:hAnsiTheme="minorHAnsi" w:cstheme="minorHAnsi"/>
                <w:sz w:val="20"/>
                <w:szCs w:val="20"/>
              </w:rPr>
              <w:t xml:space="preserve">assistance internationale </w:t>
            </w:r>
            <w:r w:rsidR="001D608F" w:rsidRPr="00B3626F">
              <w:rPr>
                <w:rFonts w:asciiTheme="minorHAnsi" w:hAnsiTheme="minorHAnsi"/>
                <w:sz w:val="20"/>
                <w:u w:val="single"/>
              </w:rPr>
              <w:t xml:space="preserve">soumise simultanément </w:t>
            </w:r>
            <w:r w:rsidR="00656B10" w:rsidRPr="00B3626F">
              <w:rPr>
                <w:rFonts w:asciiTheme="minorHAnsi" w:hAnsiTheme="minorHAnsi"/>
                <w:sz w:val="20"/>
                <w:u w:val="single"/>
              </w:rPr>
              <w:t>à</w:t>
            </w:r>
            <w:r w:rsidR="001D608F" w:rsidRPr="00B3626F">
              <w:rPr>
                <w:rFonts w:asciiTheme="minorHAnsi" w:hAnsiTheme="minorHAnsi"/>
                <w:sz w:val="20"/>
                <w:u w:val="single"/>
              </w:rPr>
              <w:t xml:space="preserve"> une candidature </w:t>
            </w:r>
            <w:r w:rsidR="00656B10" w:rsidRPr="00B3626F">
              <w:rPr>
                <w:rFonts w:asciiTheme="minorHAnsi" w:hAnsiTheme="minorHAnsi"/>
                <w:sz w:val="20"/>
                <w:u w:val="single"/>
              </w:rPr>
              <w:t>pour</w:t>
            </w:r>
            <w:r w:rsidR="001D608F" w:rsidRPr="00B3626F">
              <w:rPr>
                <w:rFonts w:asciiTheme="minorHAnsi" w:hAnsiTheme="minorHAnsi"/>
                <w:sz w:val="20"/>
                <w:u w:val="single"/>
              </w:rPr>
              <w:t xml:space="preserve"> la Liste du patrimoine culturel immatériel nécessitant une sauvegarde urgente, ou dans le cadre d</w:t>
            </w:r>
            <w:r w:rsidR="00DE5604" w:rsidRPr="00B3626F">
              <w:rPr>
                <w:rFonts w:asciiTheme="minorHAnsi" w:hAnsiTheme="minorHAnsi"/>
                <w:sz w:val="20"/>
                <w:u w:val="single"/>
              </w:rPr>
              <w:t>’</w:t>
            </w:r>
            <w:r w:rsidR="001D608F" w:rsidRPr="00B3626F">
              <w:rPr>
                <w:rFonts w:asciiTheme="minorHAnsi" w:hAnsiTheme="minorHAnsi"/>
                <w:sz w:val="20"/>
                <w:u w:val="single"/>
              </w:rPr>
              <w:t>une demande de transfert d</w:t>
            </w:r>
            <w:r w:rsidR="00DE5604" w:rsidRPr="00B3626F">
              <w:rPr>
                <w:rFonts w:asciiTheme="minorHAnsi" w:hAnsiTheme="minorHAnsi"/>
                <w:sz w:val="20"/>
                <w:u w:val="single"/>
              </w:rPr>
              <w:t>’</w:t>
            </w:r>
            <w:r w:rsidR="001D608F" w:rsidRPr="00B3626F">
              <w:rPr>
                <w:rFonts w:asciiTheme="minorHAnsi" w:hAnsiTheme="minorHAnsi"/>
                <w:sz w:val="20"/>
                <w:u w:val="single"/>
              </w:rPr>
              <w:t>un élément de la Liste représentative du patrimoine culturel immatériel de l</w:t>
            </w:r>
            <w:r w:rsidR="00DE5604" w:rsidRPr="00B3626F">
              <w:rPr>
                <w:rFonts w:asciiTheme="minorHAnsi" w:hAnsiTheme="minorHAnsi"/>
                <w:sz w:val="20"/>
                <w:u w:val="single"/>
              </w:rPr>
              <w:t>’</w:t>
            </w:r>
            <w:r w:rsidR="001D608F" w:rsidRPr="00B3626F">
              <w:rPr>
                <w:rFonts w:asciiTheme="minorHAnsi" w:hAnsiTheme="minorHAnsi"/>
                <w:sz w:val="20"/>
                <w:u w:val="single"/>
              </w:rPr>
              <w:t>humanité à la Liste du patrimoine culturel immatériel nécessitant une sauvegarde urgente</w:t>
            </w:r>
            <w:r w:rsidR="001D608F" w:rsidRPr="00B3626F">
              <w:rPr>
                <w:rFonts w:asciiTheme="minorHAnsi" w:hAnsiTheme="minorHAnsi"/>
                <w:sz w:val="20"/>
              </w:rPr>
              <w:t xml:space="preserve"> </w:t>
            </w:r>
            <w:r w:rsidR="00B7253B" w:rsidRPr="00B3626F">
              <w:rPr>
                <w:rFonts w:asciiTheme="minorHAnsi" w:hAnsiTheme="minorHAnsi" w:cstheme="minorHAnsi"/>
                <w:strike/>
                <w:sz w:val="20"/>
                <w:szCs w:val="20"/>
              </w:rPr>
              <w:t>supérieure à 100 000 dollars des États-Unis</w:t>
            </w:r>
            <w:r w:rsidR="001D608F" w:rsidRPr="00B3626F">
              <w:rPr>
                <w:rStyle w:val="Appelnotedebasdep"/>
                <w:rFonts w:asciiTheme="minorHAnsi" w:eastAsia="SimSun" w:hAnsiTheme="minorHAnsi" w:cstheme="minorHAnsi"/>
                <w:sz w:val="20"/>
                <w:szCs w:val="20"/>
              </w:rPr>
              <w:footnoteReference w:id="8"/>
            </w:r>
            <w:r w:rsidR="001D608F" w:rsidRPr="00B3626F">
              <w:rPr>
                <w:rFonts w:asciiTheme="minorHAnsi" w:hAnsiTheme="minorHAnsi"/>
                <w:sz w:val="20"/>
              </w:rPr>
              <w:t xml:space="preserve"> </w:t>
            </w:r>
            <w:r w:rsidR="00B7253B" w:rsidRPr="00B3626F">
              <w:rPr>
                <w:rFonts w:asciiTheme="minorHAnsi" w:hAnsiTheme="minorHAnsi" w:cstheme="minorHAnsi"/>
                <w:sz w:val="20"/>
                <w:szCs w:val="20"/>
              </w:rPr>
              <w:t>doit ou non être accordée ou si la demande doit être renvoyée</w:t>
            </w:r>
            <w:r w:rsidR="00B7253B" w:rsidRPr="00B3626F">
              <w:rPr>
                <w:rFonts w:asciiTheme="minorHAnsi" w:eastAsia="Yu Mincho" w:hAnsiTheme="minorHAnsi" w:cstheme="minorHAnsi"/>
                <w:sz w:val="20"/>
                <w:szCs w:val="20"/>
              </w:rPr>
              <w:t xml:space="preserve"> à l</w:t>
            </w:r>
            <w:r w:rsidR="00DE5604" w:rsidRPr="00B3626F">
              <w:rPr>
                <w:rFonts w:asciiTheme="minorHAnsi" w:eastAsia="Yu Mincho" w:hAnsiTheme="minorHAnsi" w:cstheme="minorHAnsi"/>
                <w:sz w:val="20"/>
                <w:szCs w:val="20"/>
              </w:rPr>
              <w:t>’</w:t>
            </w:r>
            <w:r w:rsidR="00B7253B" w:rsidRPr="00B3626F">
              <w:rPr>
                <w:rFonts w:asciiTheme="minorHAnsi" w:eastAsia="Yu Mincho" w:hAnsiTheme="minorHAnsi" w:cstheme="minorHAnsi"/>
                <w:sz w:val="20"/>
                <w:szCs w:val="20"/>
              </w:rPr>
              <w:t>(aux) État(s) soumissionnaire(s) pour complément d</w:t>
            </w:r>
            <w:r w:rsidR="00DE5604" w:rsidRPr="00B3626F">
              <w:rPr>
                <w:rFonts w:asciiTheme="minorHAnsi" w:eastAsia="Yu Mincho" w:hAnsiTheme="minorHAnsi" w:cstheme="minorHAnsi"/>
                <w:sz w:val="20"/>
                <w:szCs w:val="20"/>
              </w:rPr>
              <w:t>’</w:t>
            </w:r>
            <w:r w:rsidR="00B7253B" w:rsidRPr="00B3626F">
              <w:rPr>
                <w:rFonts w:asciiTheme="minorHAnsi" w:eastAsia="Yu Mincho" w:hAnsiTheme="minorHAnsi" w:cstheme="minorHAnsi"/>
                <w:sz w:val="20"/>
                <w:szCs w:val="20"/>
              </w:rPr>
              <w:t>information.</w:t>
            </w:r>
          </w:p>
        </w:tc>
      </w:tr>
      <w:tr w:rsidR="005A49E9" w:rsidRPr="00B3626F" w14:paraId="5B075377" w14:textId="77777777" w:rsidTr="00BD61EE">
        <w:tc>
          <w:tcPr>
            <w:tcW w:w="831" w:type="dxa"/>
            <w:shd w:val="clear" w:color="auto" w:fill="F2F2F2" w:themeFill="background1" w:themeFillShade="F2"/>
            <w:vAlign w:val="center"/>
          </w:tcPr>
          <w:p w14:paraId="62DB81A0" w14:textId="77777777" w:rsidR="005A49E9" w:rsidRPr="00B3626F" w:rsidRDefault="005A49E9" w:rsidP="00BD61EE">
            <w:pPr>
              <w:spacing w:before="60" w:after="60"/>
              <w:rPr>
                <w:rFonts w:asciiTheme="minorHAnsi" w:hAnsiTheme="minorHAnsi" w:cstheme="minorHAnsi"/>
                <w:sz w:val="20"/>
                <w:szCs w:val="20"/>
              </w:rPr>
            </w:pPr>
            <w:r w:rsidRPr="00B3626F">
              <w:rPr>
                <w:rFonts w:asciiTheme="minorHAnsi" w:hAnsiTheme="minorHAnsi"/>
                <w:b/>
                <w:color w:val="1F4E79"/>
                <w:sz w:val="20"/>
              </w:rPr>
              <w:lastRenderedPageBreak/>
              <w:t>I.14</w:t>
            </w:r>
          </w:p>
        </w:tc>
        <w:tc>
          <w:tcPr>
            <w:tcW w:w="6252" w:type="dxa"/>
            <w:gridSpan w:val="2"/>
            <w:shd w:val="clear" w:color="auto" w:fill="F2F2F2" w:themeFill="background1" w:themeFillShade="F2"/>
            <w:vAlign w:val="center"/>
          </w:tcPr>
          <w:p w14:paraId="1A08D29C" w14:textId="77777777" w:rsidR="005A49E9" w:rsidRPr="00B3626F" w:rsidRDefault="005A49E9" w:rsidP="00BD61EE">
            <w:pPr>
              <w:autoSpaceDE w:val="0"/>
              <w:autoSpaceDN w:val="0"/>
              <w:adjustRightInd w:val="0"/>
              <w:rPr>
                <w:rFonts w:asciiTheme="minorHAnsi" w:eastAsia="SimSun" w:hAnsiTheme="minorHAnsi" w:cstheme="minorHAnsi"/>
                <w:sz w:val="20"/>
                <w:szCs w:val="20"/>
              </w:rPr>
            </w:pPr>
            <w:r w:rsidRPr="00B3626F">
              <w:rPr>
                <w:rFonts w:asciiTheme="minorHAnsi" w:hAnsiTheme="minorHAnsi"/>
                <w:b/>
                <w:color w:val="1F4E79"/>
                <w:sz w:val="20"/>
              </w:rPr>
              <w:t>Assistance internationale</w:t>
            </w:r>
          </w:p>
        </w:tc>
        <w:tc>
          <w:tcPr>
            <w:tcW w:w="709" w:type="dxa"/>
            <w:shd w:val="clear" w:color="auto" w:fill="F2F2F2" w:themeFill="background1" w:themeFillShade="F2"/>
            <w:vAlign w:val="center"/>
          </w:tcPr>
          <w:p w14:paraId="5F846B55" w14:textId="77777777" w:rsidR="005A49E9" w:rsidRPr="00B3626F" w:rsidRDefault="005A49E9" w:rsidP="00BD61EE">
            <w:pPr>
              <w:spacing w:before="60" w:after="60"/>
              <w:rPr>
                <w:rFonts w:asciiTheme="minorHAnsi" w:hAnsiTheme="minorHAnsi" w:cstheme="minorHAnsi"/>
                <w:sz w:val="20"/>
                <w:szCs w:val="20"/>
              </w:rPr>
            </w:pPr>
            <w:r w:rsidRPr="00B3626F">
              <w:rPr>
                <w:rFonts w:asciiTheme="minorHAnsi" w:hAnsiTheme="minorHAnsi"/>
                <w:b/>
                <w:color w:val="1F4E79"/>
                <w:sz w:val="20"/>
              </w:rPr>
              <w:t>I.14</w:t>
            </w:r>
          </w:p>
        </w:tc>
        <w:tc>
          <w:tcPr>
            <w:tcW w:w="6520" w:type="dxa"/>
            <w:gridSpan w:val="2"/>
            <w:shd w:val="clear" w:color="auto" w:fill="F2F2F2" w:themeFill="background1" w:themeFillShade="F2"/>
            <w:vAlign w:val="center"/>
          </w:tcPr>
          <w:p w14:paraId="761692B6" w14:textId="77777777" w:rsidR="005A49E9" w:rsidRPr="00B3626F" w:rsidRDefault="005A49E9" w:rsidP="00BD61EE">
            <w:pPr>
              <w:widowControl w:val="0"/>
              <w:tabs>
                <w:tab w:val="left" w:pos="2127"/>
                <w:tab w:val="left" w:pos="2176"/>
              </w:tabs>
              <w:autoSpaceDE w:val="0"/>
              <w:autoSpaceDN w:val="0"/>
              <w:spacing w:before="60" w:after="60"/>
              <w:rPr>
                <w:rFonts w:asciiTheme="minorHAnsi" w:eastAsia="Calibri" w:hAnsiTheme="minorHAnsi" w:cstheme="minorHAnsi"/>
                <w:sz w:val="20"/>
                <w:szCs w:val="20"/>
                <w:lang w:eastAsia="en-US"/>
              </w:rPr>
            </w:pPr>
          </w:p>
        </w:tc>
      </w:tr>
      <w:tr w:rsidR="005A49E9" w:rsidRPr="00B3626F" w14:paraId="0D3449A7" w14:textId="77777777" w:rsidTr="00BD61EE">
        <w:tc>
          <w:tcPr>
            <w:tcW w:w="831" w:type="dxa"/>
          </w:tcPr>
          <w:p w14:paraId="4319E61B" w14:textId="77777777" w:rsidR="005A49E9" w:rsidRPr="00B3626F" w:rsidRDefault="005A49E9" w:rsidP="00BD61EE">
            <w:pPr>
              <w:spacing w:before="60" w:after="60"/>
              <w:rPr>
                <w:rFonts w:asciiTheme="minorHAnsi" w:hAnsiTheme="minorHAnsi" w:cstheme="minorHAnsi"/>
                <w:sz w:val="20"/>
                <w:szCs w:val="20"/>
              </w:rPr>
            </w:pPr>
            <w:r w:rsidRPr="00B3626F">
              <w:rPr>
                <w:rFonts w:asciiTheme="minorHAnsi" w:hAnsiTheme="minorHAnsi"/>
                <w:sz w:val="20"/>
              </w:rPr>
              <w:t>47.</w:t>
            </w:r>
          </w:p>
        </w:tc>
        <w:tc>
          <w:tcPr>
            <w:tcW w:w="6252" w:type="dxa"/>
            <w:gridSpan w:val="2"/>
          </w:tcPr>
          <w:p w14:paraId="539D6689" w14:textId="0CC3C56B" w:rsidR="005A49E9" w:rsidRPr="00B3626F" w:rsidRDefault="00F22FAB" w:rsidP="00255D57">
            <w:pPr>
              <w:widowControl w:val="0"/>
              <w:spacing w:before="120" w:after="120"/>
              <w:rPr>
                <w:rFonts w:asciiTheme="minorHAnsi" w:hAnsiTheme="minorHAnsi" w:cstheme="minorHAnsi"/>
                <w:sz w:val="20"/>
                <w:szCs w:val="20"/>
              </w:rPr>
            </w:pPr>
            <w:r w:rsidRPr="00B3626F">
              <w:rPr>
                <w:rFonts w:asciiTheme="minorHAnsi" w:hAnsiTheme="minorHAnsi"/>
                <w:sz w:val="20"/>
              </w:rPr>
              <w:t>Les demandes d</w:t>
            </w:r>
            <w:r w:rsidR="00DE5604" w:rsidRPr="00B3626F">
              <w:rPr>
                <w:rFonts w:asciiTheme="minorHAnsi" w:hAnsiTheme="minorHAnsi"/>
                <w:sz w:val="20"/>
              </w:rPr>
              <w:t>’</w:t>
            </w:r>
            <w:r w:rsidRPr="00B3626F">
              <w:rPr>
                <w:rFonts w:asciiTheme="minorHAnsi" w:hAnsiTheme="minorHAnsi"/>
                <w:sz w:val="20"/>
              </w:rPr>
              <w:t>assistance internationale jusqu</w:t>
            </w:r>
            <w:r w:rsidR="00DE5604" w:rsidRPr="00B3626F">
              <w:rPr>
                <w:rFonts w:asciiTheme="minorHAnsi" w:hAnsiTheme="minorHAnsi"/>
                <w:sz w:val="20"/>
              </w:rPr>
              <w:t>’</w:t>
            </w:r>
            <w:r w:rsidRPr="00B3626F">
              <w:rPr>
                <w:rFonts w:asciiTheme="minorHAnsi" w:hAnsiTheme="minorHAnsi"/>
                <w:sz w:val="20"/>
              </w:rPr>
              <w:t>à 100 000 dollars des États-Unis (à</w:t>
            </w:r>
            <w:r w:rsidR="00A74C62" w:rsidRPr="00B3626F">
              <w:rPr>
                <w:rFonts w:asciiTheme="minorHAnsi" w:hAnsiTheme="minorHAnsi"/>
                <w:sz w:val="20"/>
              </w:rPr>
              <w:t xml:space="preserve"> </w:t>
            </w:r>
            <w:r w:rsidRPr="00B3626F">
              <w:rPr>
                <w:rFonts w:asciiTheme="minorHAnsi" w:hAnsiTheme="minorHAnsi"/>
                <w:sz w:val="20"/>
              </w:rPr>
              <w:t>l</w:t>
            </w:r>
            <w:r w:rsidR="00DE5604" w:rsidRPr="00B3626F">
              <w:rPr>
                <w:rFonts w:asciiTheme="minorHAnsi" w:hAnsiTheme="minorHAnsi"/>
                <w:sz w:val="20"/>
              </w:rPr>
              <w:t>’</w:t>
            </w:r>
            <w:r w:rsidRPr="00B3626F">
              <w:rPr>
                <w:rFonts w:asciiTheme="minorHAnsi" w:hAnsiTheme="minorHAnsi"/>
                <w:sz w:val="20"/>
              </w:rPr>
              <w:t>exception des demandes d</w:t>
            </w:r>
            <w:r w:rsidR="00DE5604" w:rsidRPr="00B3626F">
              <w:rPr>
                <w:rFonts w:asciiTheme="minorHAnsi" w:hAnsiTheme="minorHAnsi"/>
                <w:sz w:val="20"/>
              </w:rPr>
              <w:t>’</w:t>
            </w:r>
            <w:r w:rsidRPr="00B3626F">
              <w:rPr>
                <w:rFonts w:asciiTheme="minorHAnsi" w:hAnsiTheme="minorHAnsi"/>
                <w:sz w:val="20"/>
              </w:rPr>
              <w:t>assistance préparatoire) et les demandes d</w:t>
            </w:r>
            <w:r w:rsidR="00DE5604" w:rsidRPr="00B3626F">
              <w:rPr>
                <w:rFonts w:asciiTheme="minorHAnsi" w:hAnsiTheme="minorHAnsi"/>
                <w:sz w:val="20"/>
              </w:rPr>
              <w:t>’</w:t>
            </w:r>
            <w:r w:rsidRPr="00B3626F">
              <w:rPr>
                <w:rFonts w:asciiTheme="minorHAnsi" w:hAnsiTheme="minorHAnsi"/>
                <w:sz w:val="20"/>
              </w:rPr>
              <w:t>urgence quel que</w:t>
            </w:r>
            <w:r w:rsidR="00A74C62" w:rsidRPr="00B3626F">
              <w:rPr>
                <w:rFonts w:asciiTheme="minorHAnsi" w:hAnsiTheme="minorHAnsi"/>
                <w:sz w:val="20"/>
              </w:rPr>
              <w:t xml:space="preserve"> </w:t>
            </w:r>
            <w:r w:rsidRPr="00B3626F">
              <w:rPr>
                <w:rFonts w:asciiTheme="minorHAnsi" w:hAnsiTheme="minorHAnsi"/>
                <w:sz w:val="20"/>
              </w:rPr>
              <w:t>soit leur montant peuvent être soumises à tout moment.</w:t>
            </w:r>
          </w:p>
        </w:tc>
        <w:tc>
          <w:tcPr>
            <w:tcW w:w="709" w:type="dxa"/>
          </w:tcPr>
          <w:p w14:paraId="58736F9B" w14:textId="77777777" w:rsidR="005A49E9" w:rsidRPr="00B3626F" w:rsidRDefault="005A49E9" w:rsidP="00BD61EE">
            <w:pPr>
              <w:spacing w:before="60" w:after="60"/>
              <w:rPr>
                <w:rFonts w:asciiTheme="minorHAnsi" w:hAnsiTheme="minorHAnsi" w:cstheme="minorHAnsi"/>
                <w:sz w:val="20"/>
                <w:szCs w:val="20"/>
              </w:rPr>
            </w:pPr>
            <w:r w:rsidRPr="00B3626F">
              <w:rPr>
                <w:rFonts w:asciiTheme="minorHAnsi" w:hAnsiTheme="minorHAnsi"/>
                <w:sz w:val="20"/>
              </w:rPr>
              <w:t>47.</w:t>
            </w:r>
          </w:p>
        </w:tc>
        <w:tc>
          <w:tcPr>
            <w:tcW w:w="6520" w:type="dxa"/>
            <w:gridSpan w:val="2"/>
          </w:tcPr>
          <w:p w14:paraId="5D01B09E" w14:textId="7C4371AE" w:rsidR="00F52285" w:rsidRPr="00B3626F" w:rsidRDefault="00F52285" w:rsidP="00F52285">
            <w:pPr>
              <w:widowControl w:val="0"/>
              <w:spacing w:before="120" w:after="120"/>
              <w:rPr>
                <w:rFonts w:asciiTheme="minorHAnsi" w:eastAsia="Calibri" w:hAnsiTheme="minorHAnsi" w:cstheme="minorHAnsi"/>
                <w:strike/>
                <w:sz w:val="20"/>
                <w:szCs w:val="20"/>
              </w:rPr>
            </w:pPr>
            <w:r w:rsidRPr="00B3626F">
              <w:rPr>
                <w:rFonts w:asciiTheme="minorHAnsi" w:eastAsia="Calibri" w:hAnsiTheme="minorHAnsi" w:cstheme="minorHAnsi"/>
                <w:strike/>
                <w:sz w:val="20"/>
                <w:szCs w:val="20"/>
              </w:rPr>
              <w:t>Les demandes d</w:t>
            </w:r>
            <w:r w:rsidR="00DE5604" w:rsidRPr="00B3626F">
              <w:rPr>
                <w:rFonts w:asciiTheme="minorHAnsi" w:eastAsia="Calibri" w:hAnsiTheme="minorHAnsi" w:cstheme="minorHAnsi"/>
                <w:strike/>
                <w:sz w:val="20"/>
                <w:szCs w:val="20"/>
              </w:rPr>
              <w:t>’</w:t>
            </w:r>
            <w:r w:rsidRPr="00B3626F">
              <w:rPr>
                <w:rFonts w:asciiTheme="minorHAnsi" w:eastAsia="Calibri" w:hAnsiTheme="minorHAnsi" w:cstheme="minorHAnsi"/>
                <w:strike/>
                <w:sz w:val="20"/>
                <w:szCs w:val="20"/>
              </w:rPr>
              <w:t>assistance internationale jusqu</w:t>
            </w:r>
            <w:r w:rsidR="00DE5604" w:rsidRPr="00B3626F">
              <w:rPr>
                <w:rFonts w:asciiTheme="minorHAnsi" w:eastAsia="Calibri" w:hAnsiTheme="minorHAnsi" w:cstheme="minorHAnsi"/>
                <w:strike/>
                <w:sz w:val="20"/>
                <w:szCs w:val="20"/>
              </w:rPr>
              <w:t>’</w:t>
            </w:r>
            <w:r w:rsidRPr="00B3626F">
              <w:rPr>
                <w:rFonts w:asciiTheme="minorHAnsi" w:eastAsia="Calibri" w:hAnsiTheme="minorHAnsi" w:cstheme="minorHAnsi"/>
                <w:strike/>
                <w:sz w:val="20"/>
                <w:szCs w:val="20"/>
              </w:rPr>
              <w:t>à 100 000 dollars des États-Unis (à l</w:t>
            </w:r>
            <w:r w:rsidR="00DE5604" w:rsidRPr="00B3626F">
              <w:rPr>
                <w:rFonts w:asciiTheme="minorHAnsi" w:eastAsia="Calibri" w:hAnsiTheme="minorHAnsi" w:cstheme="minorHAnsi"/>
                <w:strike/>
                <w:sz w:val="20"/>
                <w:szCs w:val="20"/>
              </w:rPr>
              <w:t>’</w:t>
            </w:r>
            <w:r w:rsidRPr="00B3626F">
              <w:rPr>
                <w:rFonts w:asciiTheme="minorHAnsi" w:eastAsia="Calibri" w:hAnsiTheme="minorHAnsi" w:cstheme="minorHAnsi"/>
                <w:strike/>
                <w:sz w:val="20"/>
                <w:szCs w:val="20"/>
              </w:rPr>
              <w:t>exception des demandes d</w:t>
            </w:r>
            <w:r w:rsidR="00DE5604" w:rsidRPr="00B3626F">
              <w:rPr>
                <w:rFonts w:asciiTheme="minorHAnsi" w:eastAsia="Calibri" w:hAnsiTheme="minorHAnsi" w:cstheme="minorHAnsi"/>
                <w:strike/>
                <w:sz w:val="20"/>
                <w:szCs w:val="20"/>
              </w:rPr>
              <w:t>’</w:t>
            </w:r>
            <w:r w:rsidRPr="00B3626F">
              <w:rPr>
                <w:rFonts w:asciiTheme="minorHAnsi" w:eastAsia="Calibri" w:hAnsiTheme="minorHAnsi" w:cstheme="minorHAnsi"/>
                <w:strike/>
                <w:sz w:val="20"/>
                <w:szCs w:val="20"/>
              </w:rPr>
              <w:t xml:space="preserve">assistance préparatoire) et les </w:t>
            </w:r>
            <w:r w:rsidRPr="00B3626F">
              <w:rPr>
                <w:rFonts w:asciiTheme="minorHAnsi" w:hAnsiTheme="minorHAnsi" w:cstheme="minorHAnsi"/>
                <w:strike/>
                <w:sz w:val="20"/>
                <w:szCs w:val="20"/>
              </w:rPr>
              <w:t>demandes</w:t>
            </w:r>
            <w:r w:rsidRPr="00B3626F">
              <w:rPr>
                <w:rFonts w:asciiTheme="minorHAnsi" w:eastAsia="Calibri" w:hAnsiTheme="minorHAnsi" w:cstheme="minorHAnsi"/>
                <w:strike/>
                <w:sz w:val="20"/>
                <w:szCs w:val="20"/>
              </w:rPr>
              <w:t xml:space="preserve"> d</w:t>
            </w:r>
            <w:r w:rsidR="00DE5604" w:rsidRPr="00B3626F">
              <w:rPr>
                <w:rFonts w:asciiTheme="minorHAnsi" w:eastAsia="Calibri" w:hAnsiTheme="minorHAnsi" w:cstheme="minorHAnsi"/>
                <w:strike/>
                <w:sz w:val="20"/>
                <w:szCs w:val="20"/>
              </w:rPr>
              <w:t>’</w:t>
            </w:r>
            <w:r w:rsidRPr="00B3626F">
              <w:rPr>
                <w:rFonts w:asciiTheme="minorHAnsi" w:eastAsia="Calibri" w:hAnsiTheme="minorHAnsi" w:cstheme="minorHAnsi"/>
                <w:strike/>
                <w:sz w:val="20"/>
                <w:szCs w:val="20"/>
              </w:rPr>
              <w:t>urgence quel que soit leur montant peuvent être soumises à tout moment.</w:t>
            </w:r>
          </w:p>
          <w:p w14:paraId="50BED65F" w14:textId="3C1D5506" w:rsidR="00F52285" w:rsidRPr="00B3626F" w:rsidRDefault="00F52285" w:rsidP="00F52285">
            <w:pPr>
              <w:widowControl w:val="0"/>
              <w:spacing w:before="120" w:after="120"/>
              <w:rPr>
                <w:rFonts w:asciiTheme="minorHAnsi" w:eastAsia="Calibri" w:hAnsiTheme="minorHAnsi" w:cstheme="minorHAnsi"/>
                <w:sz w:val="20"/>
                <w:szCs w:val="20"/>
                <w:u w:val="single"/>
              </w:rPr>
            </w:pPr>
            <w:r w:rsidRPr="00B3626F">
              <w:rPr>
                <w:rFonts w:asciiTheme="minorHAnsi" w:eastAsia="Calibri" w:hAnsiTheme="minorHAnsi" w:cstheme="minorHAnsi"/>
                <w:sz w:val="20"/>
                <w:szCs w:val="20"/>
                <w:u w:val="single"/>
              </w:rPr>
              <w:t>Les demandes d</w:t>
            </w:r>
            <w:r w:rsidR="00DE5604" w:rsidRPr="00B3626F">
              <w:rPr>
                <w:rFonts w:asciiTheme="minorHAnsi" w:eastAsia="Calibri" w:hAnsiTheme="minorHAnsi" w:cstheme="minorHAnsi"/>
                <w:sz w:val="20"/>
                <w:szCs w:val="20"/>
                <w:u w:val="single"/>
              </w:rPr>
              <w:t>’</w:t>
            </w:r>
            <w:r w:rsidRPr="00B3626F">
              <w:rPr>
                <w:rFonts w:asciiTheme="minorHAnsi" w:eastAsia="Calibri" w:hAnsiTheme="minorHAnsi" w:cstheme="minorHAnsi"/>
                <w:sz w:val="20"/>
                <w:szCs w:val="20"/>
                <w:u w:val="single"/>
              </w:rPr>
              <w:t>assistance internationale (y compris pour l</w:t>
            </w:r>
            <w:r w:rsidR="00DE5604" w:rsidRPr="00B3626F">
              <w:rPr>
                <w:rFonts w:asciiTheme="minorHAnsi" w:eastAsia="Calibri" w:hAnsiTheme="minorHAnsi" w:cstheme="minorHAnsi"/>
                <w:sz w:val="20"/>
                <w:szCs w:val="20"/>
                <w:u w:val="single"/>
              </w:rPr>
              <w:t>’</w:t>
            </w:r>
            <w:r w:rsidRPr="00B3626F">
              <w:rPr>
                <w:rFonts w:asciiTheme="minorHAnsi" w:eastAsia="Calibri" w:hAnsiTheme="minorHAnsi" w:cstheme="minorHAnsi"/>
                <w:sz w:val="20"/>
                <w:szCs w:val="20"/>
                <w:u w:val="single"/>
              </w:rPr>
              <w:t>assistance préparatoire) ne doivent pas dépasser 100</w:t>
            </w:r>
            <w:r w:rsidR="00B3626F" w:rsidRPr="00B3626F">
              <w:rPr>
                <w:rFonts w:asciiTheme="minorHAnsi" w:eastAsia="Calibri" w:hAnsiTheme="minorHAnsi" w:cstheme="minorHAnsi"/>
                <w:sz w:val="20"/>
                <w:szCs w:val="20"/>
                <w:u w:val="single"/>
              </w:rPr>
              <w:t> </w:t>
            </w:r>
            <w:r w:rsidRPr="00B3626F">
              <w:rPr>
                <w:rFonts w:asciiTheme="minorHAnsi" w:eastAsia="Calibri" w:hAnsiTheme="minorHAnsi" w:cstheme="minorHAnsi"/>
                <w:sz w:val="20"/>
                <w:szCs w:val="20"/>
                <w:u w:val="single"/>
              </w:rPr>
              <w:t xml:space="preserve">000 dollars </w:t>
            </w:r>
            <w:r w:rsidR="00376BFE" w:rsidRPr="00B3626F">
              <w:rPr>
                <w:rFonts w:asciiTheme="minorHAnsi" w:hAnsiTheme="minorHAnsi"/>
                <w:sz w:val="20"/>
                <w:u w:val="single"/>
              </w:rPr>
              <w:t>des États-Unis</w:t>
            </w:r>
            <w:r w:rsidRPr="00B3626F">
              <w:rPr>
                <w:rFonts w:asciiTheme="minorHAnsi" w:eastAsia="Calibri" w:hAnsiTheme="minorHAnsi" w:cstheme="minorHAnsi"/>
                <w:sz w:val="20"/>
                <w:szCs w:val="20"/>
                <w:u w:val="single"/>
              </w:rPr>
              <w:t>, à l</w:t>
            </w:r>
            <w:r w:rsidR="00DE5604" w:rsidRPr="00B3626F">
              <w:rPr>
                <w:rFonts w:asciiTheme="minorHAnsi" w:eastAsia="Calibri" w:hAnsiTheme="minorHAnsi" w:cstheme="minorHAnsi"/>
                <w:sz w:val="20"/>
                <w:szCs w:val="20"/>
                <w:u w:val="single"/>
              </w:rPr>
              <w:t>’</w:t>
            </w:r>
            <w:r w:rsidRPr="00B3626F">
              <w:rPr>
                <w:rFonts w:asciiTheme="minorHAnsi" w:eastAsia="Calibri" w:hAnsiTheme="minorHAnsi" w:cstheme="minorHAnsi"/>
                <w:sz w:val="20"/>
                <w:szCs w:val="20"/>
                <w:u w:val="single"/>
              </w:rPr>
              <w:t>exception des demandes d</w:t>
            </w:r>
            <w:r w:rsidR="00DE5604" w:rsidRPr="00B3626F">
              <w:rPr>
                <w:rFonts w:asciiTheme="minorHAnsi" w:eastAsia="Calibri" w:hAnsiTheme="minorHAnsi" w:cstheme="minorHAnsi"/>
                <w:sz w:val="20"/>
                <w:szCs w:val="20"/>
                <w:u w:val="single"/>
              </w:rPr>
              <w:t>’</w:t>
            </w:r>
            <w:r w:rsidRPr="00B3626F">
              <w:rPr>
                <w:rFonts w:asciiTheme="minorHAnsi" w:eastAsia="Calibri" w:hAnsiTheme="minorHAnsi" w:cstheme="minorHAnsi"/>
                <w:sz w:val="20"/>
                <w:szCs w:val="20"/>
                <w:u w:val="single"/>
              </w:rPr>
              <w:t xml:space="preserve">urgence et des demandes soumises simultanément à une candidature </w:t>
            </w:r>
            <w:r w:rsidR="00656B10" w:rsidRPr="00B3626F">
              <w:rPr>
                <w:rFonts w:asciiTheme="minorHAnsi" w:eastAsia="Calibri" w:hAnsiTheme="minorHAnsi" w:cstheme="minorHAnsi"/>
                <w:sz w:val="20"/>
                <w:szCs w:val="20"/>
                <w:u w:val="single"/>
              </w:rPr>
              <w:t>pour</w:t>
            </w:r>
            <w:r w:rsidRPr="00B3626F">
              <w:rPr>
                <w:rFonts w:asciiTheme="minorHAnsi" w:eastAsia="Calibri" w:hAnsiTheme="minorHAnsi" w:cstheme="minorHAnsi"/>
                <w:sz w:val="20"/>
                <w:szCs w:val="20"/>
                <w:u w:val="single"/>
              </w:rPr>
              <w:t xml:space="preserve"> la Liste du patrimoine culturel immatériel nécessitant une sauvegarde urgente ou dans le cadre d</w:t>
            </w:r>
            <w:r w:rsidR="00DE5604" w:rsidRPr="00B3626F">
              <w:rPr>
                <w:rFonts w:asciiTheme="minorHAnsi" w:eastAsia="Calibri" w:hAnsiTheme="minorHAnsi" w:cstheme="minorHAnsi"/>
                <w:sz w:val="20"/>
                <w:szCs w:val="20"/>
                <w:u w:val="single"/>
              </w:rPr>
              <w:t>’</w:t>
            </w:r>
            <w:r w:rsidR="00E12580" w:rsidRPr="00B3626F">
              <w:rPr>
                <w:rFonts w:asciiTheme="minorHAnsi" w:eastAsia="Calibri" w:hAnsiTheme="minorHAnsi" w:cstheme="minorHAnsi"/>
                <w:sz w:val="20"/>
                <w:szCs w:val="20"/>
                <w:u w:val="single"/>
              </w:rPr>
              <w:t xml:space="preserve">une </w:t>
            </w:r>
            <w:r w:rsidRPr="00B3626F">
              <w:rPr>
                <w:rFonts w:asciiTheme="minorHAnsi" w:eastAsia="Calibri" w:hAnsiTheme="minorHAnsi" w:cstheme="minorHAnsi"/>
                <w:sz w:val="20"/>
                <w:szCs w:val="20"/>
                <w:u w:val="single"/>
              </w:rPr>
              <w:t>demande de transfert d</w:t>
            </w:r>
            <w:r w:rsidR="00DE5604" w:rsidRPr="00B3626F">
              <w:rPr>
                <w:rFonts w:asciiTheme="minorHAnsi" w:eastAsia="Calibri" w:hAnsiTheme="minorHAnsi" w:cstheme="minorHAnsi"/>
                <w:sz w:val="20"/>
                <w:szCs w:val="20"/>
                <w:u w:val="single"/>
              </w:rPr>
              <w:t>’</w:t>
            </w:r>
            <w:r w:rsidRPr="00B3626F">
              <w:rPr>
                <w:rFonts w:asciiTheme="minorHAnsi" w:eastAsia="Calibri" w:hAnsiTheme="minorHAnsi" w:cstheme="minorHAnsi"/>
                <w:sz w:val="20"/>
                <w:szCs w:val="20"/>
                <w:u w:val="single"/>
              </w:rPr>
              <w:t>un élément de la Liste représentative du patrimoine culturel immatériel de l</w:t>
            </w:r>
            <w:r w:rsidR="00DE5604" w:rsidRPr="00B3626F">
              <w:rPr>
                <w:rFonts w:asciiTheme="minorHAnsi" w:eastAsia="Calibri" w:hAnsiTheme="minorHAnsi" w:cstheme="minorHAnsi"/>
                <w:sz w:val="20"/>
                <w:szCs w:val="20"/>
                <w:u w:val="single"/>
              </w:rPr>
              <w:t>’</w:t>
            </w:r>
            <w:r w:rsidRPr="00B3626F">
              <w:rPr>
                <w:rFonts w:asciiTheme="minorHAnsi" w:eastAsia="Calibri" w:hAnsiTheme="minorHAnsi" w:cstheme="minorHAnsi"/>
                <w:sz w:val="20"/>
                <w:szCs w:val="20"/>
                <w:u w:val="single"/>
              </w:rPr>
              <w:t xml:space="preserve">humanité </w:t>
            </w:r>
            <w:r w:rsidR="000C52F1" w:rsidRPr="00B3626F">
              <w:rPr>
                <w:rFonts w:asciiTheme="minorHAnsi" w:eastAsia="Calibri" w:hAnsiTheme="minorHAnsi" w:cstheme="minorHAnsi"/>
                <w:sz w:val="20"/>
                <w:szCs w:val="20"/>
                <w:u w:val="single"/>
              </w:rPr>
              <w:t>à</w:t>
            </w:r>
            <w:r w:rsidRPr="00B3626F">
              <w:rPr>
                <w:rFonts w:asciiTheme="minorHAnsi" w:eastAsia="Calibri" w:hAnsiTheme="minorHAnsi" w:cstheme="minorHAnsi"/>
                <w:sz w:val="20"/>
                <w:szCs w:val="20"/>
                <w:u w:val="single"/>
              </w:rPr>
              <w:t xml:space="preserve"> la Liste du patrimoine culturel immatériel nécessitant une sauvegarde urgente.</w:t>
            </w:r>
            <w:r w:rsidR="00232681" w:rsidRPr="00B3626F">
              <w:rPr>
                <w:rStyle w:val="Appelnotedebasdep"/>
                <w:rFonts w:asciiTheme="minorHAnsi" w:eastAsia="Calibri" w:hAnsiTheme="minorHAnsi" w:cstheme="minorHAnsi"/>
                <w:sz w:val="20"/>
                <w:szCs w:val="20"/>
              </w:rPr>
              <w:footnoteReference w:id="9"/>
            </w:r>
            <w:r w:rsidRPr="00B3626F">
              <w:rPr>
                <w:rFonts w:asciiTheme="minorHAnsi" w:eastAsia="Calibri" w:hAnsiTheme="minorHAnsi" w:cstheme="minorHAnsi"/>
                <w:sz w:val="20"/>
                <w:szCs w:val="20"/>
                <w:u w:val="single"/>
              </w:rPr>
              <w:t xml:space="preserve"> </w:t>
            </w:r>
          </w:p>
          <w:p w14:paraId="53415A5B" w14:textId="0516B9A5" w:rsidR="005A49E9" w:rsidRPr="00B3626F" w:rsidRDefault="00F52285" w:rsidP="00F52285">
            <w:pPr>
              <w:widowControl w:val="0"/>
              <w:spacing w:before="120" w:after="120"/>
              <w:rPr>
                <w:rFonts w:eastAsia="Calibri"/>
                <w:u w:val="single"/>
              </w:rPr>
            </w:pPr>
            <w:r w:rsidRPr="00B3626F">
              <w:rPr>
                <w:rFonts w:asciiTheme="minorHAnsi" w:eastAsia="Calibri" w:hAnsiTheme="minorHAnsi" w:cstheme="minorHAnsi"/>
                <w:sz w:val="20"/>
                <w:szCs w:val="20"/>
                <w:u w:val="single"/>
              </w:rPr>
              <w:t>Les demandes d</w:t>
            </w:r>
            <w:r w:rsidR="00DE5604" w:rsidRPr="00B3626F">
              <w:rPr>
                <w:rFonts w:asciiTheme="minorHAnsi" w:eastAsia="Calibri" w:hAnsiTheme="minorHAnsi" w:cstheme="minorHAnsi"/>
                <w:sz w:val="20"/>
                <w:szCs w:val="20"/>
                <w:u w:val="single"/>
              </w:rPr>
              <w:t>’</w:t>
            </w:r>
            <w:r w:rsidRPr="00B3626F">
              <w:rPr>
                <w:rFonts w:asciiTheme="minorHAnsi" w:eastAsia="Calibri" w:hAnsiTheme="minorHAnsi" w:cstheme="minorHAnsi"/>
                <w:sz w:val="20"/>
                <w:szCs w:val="20"/>
                <w:u w:val="single"/>
              </w:rPr>
              <w:t>assistance internationale peuvent être soumises à tout moment, à l</w:t>
            </w:r>
            <w:r w:rsidR="00DE5604" w:rsidRPr="00B3626F">
              <w:rPr>
                <w:rFonts w:asciiTheme="minorHAnsi" w:eastAsia="Calibri" w:hAnsiTheme="minorHAnsi" w:cstheme="minorHAnsi"/>
                <w:sz w:val="20"/>
                <w:szCs w:val="20"/>
                <w:u w:val="single"/>
              </w:rPr>
              <w:t>’</w:t>
            </w:r>
            <w:r w:rsidRPr="00B3626F">
              <w:rPr>
                <w:rFonts w:asciiTheme="minorHAnsi" w:eastAsia="Calibri" w:hAnsiTheme="minorHAnsi" w:cstheme="minorHAnsi"/>
                <w:sz w:val="20"/>
                <w:szCs w:val="20"/>
                <w:u w:val="single"/>
              </w:rPr>
              <w:t xml:space="preserve">exception des demandes qui sont examinées et approuvées par le Comité pour lesquelles le calendrier prévu au </w:t>
            </w:r>
            <w:r w:rsidR="00B3626F" w:rsidRPr="00B3626F">
              <w:rPr>
                <w:rFonts w:asciiTheme="minorHAnsi" w:eastAsia="Calibri" w:hAnsiTheme="minorHAnsi" w:cstheme="minorHAnsi"/>
                <w:sz w:val="20"/>
                <w:szCs w:val="20"/>
                <w:u w:val="single"/>
              </w:rPr>
              <w:t>chapitre</w:t>
            </w:r>
            <w:r w:rsidRPr="00B3626F">
              <w:rPr>
                <w:rFonts w:asciiTheme="minorHAnsi" w:eastAsia="Calibri" w:hAnsiTheme="minorHAnsi" w:cstheme="minorHAnsi"/>
                <w:sz w:val="20"/>
                <w:szCs w:val="20"/>
                <w:u w:val="single"/>
              </w:rPr>
              <w:t xml:space="preserve"> I.15 s</w:t>
            </w:r>
            <w:r w:rsidR="00DE5604" w:rsidRPr="00B3626F">
              <w:rPr>
                <w:rFonts w:asciiTheme="minorHAnsi" w:eastAsia="Calibri" w:hAnsiTheme="minorHAnsi" w:cstheme="minorHAnsi"/>
                <w:sz w:val="20"/>
                <w:szCs w:val="20"/>
                <w:u w:val="single"/>
              </w:rPr>
              <w:t>’</w:t>
            </w:r>
            <w:r w:rsidRPr="00B3626F">
              <w:rPr>
                <w:rFonts w:asciiTheme="minorHAnsi" w:eastAsia="Calibri" w:hAnsiTheme="minorHAnsi" w:cstheme="minorHAnsi"/>
                <w:sz w:val="20"/>
                <w:szCs w:val="20"/>
                <w:u w:val="single"/>
              </w:rPr>
              <w:t>applique</w:t>
            </w:r>
            <w:r w:rsidR="00955F10" w:rsidRPr="00B3626F">
              <w:rPr>
                <w:rFonts w:asciiTheme="minorHAnsi" w:eastAsia="Calibri" w:hAnsiTheme="minorHAnsi" w:cstheme="minorHAnsi"/>
                <w:sz w:val="20"/>
                <w:szCs w:val="20"/>
                <w:u w:val="single"/>
              </w:rPr>
              <w:t xml:space="preserve">. </w:t>
            </w:r>
            <w:r w:rsidR="00B3626F" w:rsidRPr="00B3626F">
              <w:rPr>
                <w:rFonts w:asciiTheme="minorHAnsi" w:eastAsia="Calibri" w:hAnsiTheme="minorHAnsi" w:cstheme="minorHAnsi"/>
                <w:sz w:val="20"/>
                <w:szCs w:val="20"/>
                <w:u w:val="single"/>
              </w:rPr>
              <w:t>En outre, l</w:t>
            </w:r>
            <w:r w:rsidR="00955F10" w:rsidRPr="00B3626F">
              <w:rPr>
                <w:rFonts w:asciiTheme="minorHAnsi" w:eastAsia="Calibri" w:hAnsiTheme="minorHAnsi" w:cstheme="minorHAnsi"/>
                <w:sz w:val="20"/>
                <w:szCs w:val="20"/>
                <w:u w:val="single"/>
              </w:rPr>
              <w:t>e</w:t>
            </w:r>
            <w:r w:rsidRPr="00B3626F">
              <w:rPr>
                <w:rFonts w:asciiTheme="minorHAnsi" w:eastAsia="Calibri" w:hAnsiTheme="minorHAnsi" w:cstheme="minorHAnsi"/>
                <w:sz w:val="20"/>
                <w:szCs w:val="20"/>
                <w:u w:val="single"/>
              </w:rPr>
              <w:t>s demandes d</w:t>
            </w:r>
            <w:r w:rsidR="00DE5604" w:rsidRPr="00B3626F">
              <w:rPr>
                <w:rFonts w:asciiTheme="minorHAnsi" w:eastAsia="Calibri" w:hAnsiTheme="minorHAnsi" w:cstheme="minorHAnsi"/>
                <w:sz w:val="20"/>
                <w:szCs w:val="20"/>
                <w:u w:val="single"/>
              </w:rPr>
              <w:t>’</w:t>
            </w:r>
            <w:r w:rsidRPr="00B3626F">
              <w:rPr>
                <w:rFonts w:asciiTheme="minorHAnsi" w:eastAsia="Calibri" w:hAnsiTheme="minorHAnsi" w:cstheme="minorHAnsi"/>
                <w:sz w:val="20"/>
                <w:szCs w:val="20"/>
                <w:u w:val="single"/>
              </w:rPr>
              <w:t>assistance préparatoire doivent</w:t>
            </w:r>
            <w:r w:rsidR="00955F10" w:rsidRPr="00B3626F">
              <w:rPr>
                <w:rFonts w:asciiTheme="minorHAnsi" w:eastAsia="Calibri" w:hAnsiTheme="minorHAnsi" w:cstheme="minorHAnsi"/>
                <w:sz w:val="20"/>
                <w:szCs w:val="20"/>
                <w:u w:val="single"/>
              </w:rPr>
              <w:t xml:space="preserve"> </w:t>
            </w:r>
            <w:r w:rsidRPr="00B3626F">
              <w:rPr>
                <w:rFonts w:asciiTheme="minorHAnsi" w:eastAsia="Calibri" w:hAnsiTheme="minorHAnsi" w:cstheme="minorHAnsi"/>
                <w:sz w:val="20"/>
                <w:szCs w:val="20"/>
                <w:u w:val="single"/>
              </w:rPr>
              <w:t>être soumises avant la date limite du 31 mars.</w:t>
            </w:r>
          </w:p>
        </w:tc>
      </w:tr>
      <w:tr w:rsidR="005A49E9" w:rsidRPr="00B3626F" w14:paraId="260E7568" w14:textId="77777777" w:rsidTr="00BD61EE">
        <w:tc>
          <w:tcPr>
            <w:tcW w:w="831" w:type="dxa"/>
          </w:tcPr>
          <w:p w14:paraId="29FA310F" w14:textId="77777777" w:rsidR="005A49E9" w:rsidRPr="00B3626F" w:rsidRDefault="005A49E9" w:rsidP="00BD61EE">
            <w:pPr>
              <w:spacing w:before="60" w:after="60"/>
              <w:rPr>
                <w:rFonts w:asciiTheme="minorHAnsi" w:hAnsiTheme="minorHAnsi" w:cstheme="minorHAnsi"/>
                <w:sz w:val="20"/>
                <w:szCs w:val="20"/>
              </w:rPr>
            </w:pPr>
            <w:r w:rsidRPr="00B3626F">
              <w:rPr>
                <w:rFonts w:asciiTheme="minorHAnsi" w:hAnsiTheme="minorHAnsi"/>
                <w:sz w:val="20"/>
              </w:rPr>
              <w:lastRenderedPageBreak/>
              <w:t>49.</w:t>
            </w:r>
          </w:p>
        </w:tc>
        <w:tc>
          <w:tcPr>
            <w:tcW w:w="6252" w:type="dxa"/>
            <w:gridSpan w:val="2"/>
          </w:tcPr>
          <w:p w14:paraId="7E38D86C" w14:textId="7794777F" w:rsidR="005A49E9" w:rsidRPr="00B3626F" w:rsidRDefault="00255D57" w:rsidP="00255D57">
            <w:pPr>
              <w:widowControl w:val="0"/>
              <w:spacing w:before="120" w:after="120"/>
              <w:rPr>
                <w:rFonts w:asciiTheme="minorHAnsi" w:hAnsiTheme="minorHAnsi" w:cstheme="minorHAnsi"/>
                <w:sz w:val="20"/>
                <w:szCs w:val="20"/>
              </w:rPr>
            </w:pPr>
            <w:r w:rsidRPr="00B3626F">
              <w:rPr>
                <w:rFonts w:asciiTheme="minorHAnsi" w:hAnsiTheme="minorHAnsi"/>
                <w:sz w:val="20"/>
              </w:rPr>
              <w:t>Les demandes jusqu</w:t>
            </w:r>
            <w:r w:rsidR="00DE5604" w:rsidRPr="00B3626F">
              <w:rPr>
                <w:rFonts w:asciiTheme="minorHAnsi" w:hAnsiTheme="minorHAnsi"/>
                <w:sz w:val="20"/>
              </w:rPr>
              <w:t>’</w:t>
            </w:r>
            <w:r w:rsidRPr="00B3626F">
              <w:rPr>
                <w:rFonts w:asciiTheme="minorHAnsi" w:hAnsiTheme="minorHAnsi"/>
                <w:sz w:val="20"/>
              </w:rPr>
              <w:t>à 100 000 dollars des États-Unis, y compris l</w:t>
            </w:r>
            <w:r w:rsidR="00DE5604" w:rsidRPr="00B3626F">
              <w:rPr>
                <w:rFonts w:asciiTheme="minorHAnsi" w:hAnsiTheme="minorHAnsi"/>
                <w:sz w:val="20"/>
              </w:rPr>
              <w:t>’</w:t>
            </w:r>
            <w:r w:rsidRPr="00B3626F">
              <w:rPr>
                <w:rFonts w:asciiTheme="minorHAnsi" w:hAnsiTheme="minorHAnsi"/>
                <w:sz w:val="20"/>
              </w:rPr>
              <w:t>assistance préparatoire, sont examinées et approuvées par le Bureau du Comité</w:t>
            </w:r>
          </w:p>
        </w:tc>
        <w:tc>
          <w:tcPr>
            <w:tcW w:w="709" w:type="dxa"/>
          </w:tcPr>
          <w:p w14:paraId="65D3AE7A" w14:textId="77777777" w:rsidR="005A49E9" w:rsidRPr="00B3626F" w:rsidRDefault="005A49E9" w:rsidP="00BD61EE">
            <w:pPr>
              <w:spacing w:before="60" w:after="60"/>
              <w:rPr>
                <w:rFonts w:asciiTheme="minorHAnsi" w:hAnsiTheme="minorHAnsi" w:cstheme="minorHAnsi"/>
                <w:sz w:val="20"/>
                <w:szCs w:val="20"/>
              </w:rPr>
            </w:pPr>
            <w:r w:rsidRPr="00B3626F">
              <w:rPr>
                <w:rFonts w:asciiTheme="minorHAnsi" w:hAnsiTheme="minorHAnsi"/>
                <w:sz w:val="20"/>
              </w:rPr>
              <w:t>49.</w:t>
            </w:r>
          </w:p>
        </w:tc>
        <w:tc>
          <w:tcPr>
            <w:tcW w:w="6520" w:type="dxa"/>
            <w:gridSpan w:val="2"/>
          </w:tcPr>
          <w:p w14:paraId="3FE4AE5A" w14:textId="598EBBF1" w:rsidR="00A43534" w:rsidRPr="00B3626F" w:rsidRDefault="00A43534" w:rsidP="00BD61EE">
            <w:pPr>
              <w:widowControl w:val="0"/>
              <w:tabs>
                <w:tab w:val="left" w:pos="2127"/>
                <w:tab w:val="left" w:pos="2176"/>
              </w:tabs>
              <w:autoSpaceDE w:val="0"/>
              <w:autoSpaceDN w:val="0"/>
              <w:spacing w:before="60" w:after="60"/>
              <w:rPr>
                <w:rFonts w:asciiTheme="minorHAnsi" w:hAnsiTheme="minorHAnsi"/>
                <w:strike/>
                <w:sz w:val="20"/>
              </w:rPr>
            </w:pPr>
            <w:r w:rsidRPr="00B3626F">
              <w:rPr>
                <w:rFonts w:asciiTheme="minorHAnsi" w:hAnsiTheme="minorHAnsi"/>
                <w:strike/>
                <w:sz w:val="20"/>
              </w:rPr>
              <w:t>Les demandes jusqu</w:t>
            </w:r>
            <w:r w:rsidR="00DE5604" w:rsidRPr="00B3626F">
              <w:rPr>
                <w:rFonts w:asciiTheme="minorHAnsi" w:hAnsiTheme="minorHAnsi"/>
                <w:strike/>
                <w:sz w:val="20"/>
              </w:rPr>
              <w:t>’</w:t>
            </w:r>
            <w:r w:rsidRPr="00B3626F">
              <w:rPr>
                <w:rFonts w:asciiTheme="minorHAnsi" w:hAnsiTheme="minorHAnsi"/>
                <w:strike/>
                <w:sz w:val="20"/>
              </w:rPr>
              <w:t>à 100 000 dollars des États-Unis, y compris l</w:t>
            </w:r>
            <w:r w:rsidR="00DE5604" w:rsidRPr="00B3626F">
              <w:rPr>
                <w:rFonts w:asciiTheme="minorHAnsi" w:hAnsiTheme="minorHAnsi"/>
                <w:strike/>
                <w:sz w:val="20"/>
              </w:rPr>
              <w:t>’</w:t>
            </w:r>
            <w:r w:rsidRPr="00B3626F">
              <w:rPr>
                <w:rFonts w:asciiTheme="minorHAnsi" w:hAnsiTheme="minorHAnsi"/>
                <w:strike/>
                <w:sz w:val="20"/>
              </w:rPr>
              <w:t>assistance préparatoire, sont examinées et approuvées par le Bureau du Comité</w:t>
            </w:r>
          </w:p>
          <w:p w14:paraId="04D97948" w14:textId="2964AA29" w:rsidR="005A49E9" w:rsidRPr="00B3626F" w:rsidRDefault="000A33A5" w:rsidP="0044698A">
            <w:pPr>
              <w:widowControl w:val="0"/>
              <w:tabs>
                <w:tab w:val="left" w:pos="2127"/>
                <w:tab w:val="left" w:pos="2176"/>
              </w:tabs>
              <w:autoSpaceDE w:val="0"/>
              <w:autoSpaceDN w:val="0"/>
              <w:spacing w:before="60" w:after="60"/>
              <w:rPr>
                <w:rFonts w:asciiTheme="minorHAnsi" w:eastAsia="Calibri" w:hAnsiTheme="minorHAnsi" w:cstheme="minorHAnsi"/>
                <w:sz w:val="20"/>
                <w:szCs w:val="20"/>
                <w:u w:val="single"/>
              </w:rPr>
            </w:pPr>
            <w:r w:rsidRPr="00B3626F">
              <w:rPr>
                <w:rFonts w:asciiTheme="minorHAnsi" w:eastAsia="Calibri" w:hAnsiTheme="minorHAnsi" w:cstheme="minorHAnsi"/>
                <w:sz w:val="20"/>
                <w:szCs w:val="20"/>
                <w:u w:val="single"/>
              </w:rPr>
              <w:t>Les demandes d</w:t>
            </w:r>
            <w:r w:rsidR="00DE5604" w:rsidRPr="00B3626F">
              <w:rPr>
                <w:rFonts w:asciiTheme="minorHAnsi" w:eastAsia="Calibri" w:hAnsiTheme="minorHAnsi" w:cstheme="minorHAnsi"/>
                <w:sz w:val="20"/>
                <w:szCs w:val="20"/>
                <w:u w:val="single"/>
              </w:rPr>
              <w:t>’</w:t>
            </w:r>
            <w:r w:rsidRPr="00B3626F">
              <w:rPr>
                <w:rFonts w:asciiTheme="minorHAnsi" w:eastAsia="Calibri" w:hAnsiTheme="minorHAnsi" w:cstheme="minorHAnsi"/>
                <w:sz w:val="20"/>
                <w:szCs w:val="20"/>
                <w:u w:val="single"/>
              </w:rPr>
              <w:t>assistance internationale (y compris pour l</w:t>
            </w:r>
            <w:r w:rsidR="00DE5604" w:rsidRPr="00B3626F">
              <w:rPr>
                <w:rFonts w:asciiTheme="minorHAnsi" w:eastAsia="Calibri" w:hAnsiTheme="minorHAnsi" w:cstheme="minorHAnsi"/>
                <w:sz w:val="20"/>
                <w:szCs w:val="20"/>
                <w:u w:val="single"/>
              </w:rPr>
              <w:t>’</w:t>
            </w:r>
            <w:r w:rsidRPr="00B3626F">
              <w:rPr>
                <w:rFonts w:asciiTheme="minorHAnsi" w:eastAsia="Calibri" w:hAnsiTheme="minorHAnsi" w:cstheme="minorHAnsi"/>
                <w:sz w:val="20"/>
                <w:szCs w:val="20"/>
                <w:u w:val="single"/>
              </w:rPr>
              <w:t xml:space="preserve">assistance préparatoire) </w:t>
            </w:r>
            <w:r w:rsidRPr="00B3626F">
              <w:rPr>
                <w:rFonts w:asciiTheme="minorHAnsi" w:hAnsiTheme="minorHAnsi"/>
                <w:sz w:val="20"/>
                <w:u w:val="single"/>
              </w:rPr>
              <w:t>jusqu</w:t>
            </w:r>
            <w:r w:rsidR="00DE5604" w:rsidRPr="00B3626F">
              <w:rPr>
                <w:rFonts w:asciiTheme="minorHAnsi" w:hAnsiTheme="minorHAnsi"/>
                <w:sz w:val="20"/>
                <w:u w:val="single"/>
              </w:rPr>
              <w:t>’</w:t>
            </w:r>
            <w:r w:rsidRPr="00B3626F">
              <w:rPr>
                <w:rFonts w:asciiTheme="minorHAnsi" w:hAnsiTheme="minorHAnsi"/>
                <w:sz w:val="20"/>
                <w:u w:val="single"/>
              </w:rPr>
              <w:t>à 100 000 dollars des États-Unis</w:t>
            </w:r>
            <w:r w:rsidR="0044698A" w:rsidRPr="00B3626F">
              <w:rPr>
                <w:rFonts w:asciiTheme="minorHAnsi" w:hAnsiTheme="minorHAnsi"/>
                <w:sz w:val="20"/>
                <w:u w:val="single"/>
              </w:rPr>
              <w:t xml:space="preserve"> </w:t>
            </w:r>
            <w:r w:rsidR="005A49E9" w:rsidRPr="00B3626F">
              <w:rPr>
                <w:rFonts w:asciiTheme="minorHAnsi" w:hAnsiTheme="minorHAnsi"/>
                <w:sz w:val="20"/>
                <w:u w:val="single"/>
              </w:rPr>
              <w:t>ainsi que les demandes d</w:t>
            </w:r>
            <w:r w:rsidR="00DE5604" w:rsidRPr="00B3626F">
              <w:rPr>
                <w:rFonts w:asciiTheme="minorHAnsi" w:hAnsiTheme="minorHAnsi"/>
                <w:sz w:val="20"/>
                <w:u w:val="single"/>
              </w:rPr>
              <w:t>’</w:t>
            </w:r>
            <w:r w:rsidR="005A49E9" w:rsidRPr="00B3626F">
              <w:rPr>
                <w:rFonts w:asciiTheme="minorHAnsi" w:hAnsiTheme="minorHAnsi"/>
                <w:sz w:val="20"/>
                <w:u w:val="single"/>
              </w:rPr>
              <w:t>urgence</w:t>
            </w:r>
            <w:r w:rsidR="00766A9A" w:rsidRPr="00B3626F">
              <w:rPr>
                <w:rFonts w:asciiTheme="minorHAnsi" w:hAnsiTheme="minorHAnsi"/>
                <w:sz w:val="20"/>
                <w:u w:val="single"/>
              </w:rPr>
              <w:t>,</w:t>
            </w:r>
            <w:r w:rsidR="0044698A" w:rsidRPr="00B3626F">
              <w:rPr>
                <w:rFonts w:asciiTheme="minorHAnsi" w:hAnsiTheme="minorHAnsi"/>
                <w:sz w:val="20"/>
                <w:u w:val="single"/>
              </w:rPr>
              <w:t xml:space="preserve"> quel que soit leur montant</w:t>
            </w:r>
            <w:r w:rsidR="005A49E9" w:rsidRPr="00B3626F">
              <w:rPr>
                <w:rFonts w:asciiTheme="minorHAnsi" w:hAnsiTheme="minorHAnsi"/>
                <w:sz w:val="20"/>
                <w:u w:val="single"/>
              </w:rPr>
              <w:t xml:space="preserve">, sont examinées et approuvées par le </w:t>
            </w:r>
            <w:r w:rsidR="005A49E9" w:rsidRPr="00C70416">
              <w:rPr>
                <w:rFonts w:asciiTheme="minorHAnsi" w:hAnsiTheme="minorHAnsi"/>
                <w:sz w:val="20"/>
                <w:u w:val="single"/>
              </w:rPr>
              <w:t>Bureau du Comité</w:t>
            </w:r>
            <w:r w:rsidR="0044698A" w:rsidRPr="00C70416">
              <w:rPr>
                <w:rFonts w:asciiTheme="minorHAnsi" w:hAnsiTheme="minorHAnsi"/>
                <w:sz w:val="20"/>
                <w:u w:val="single"/>
              </w:rPr>
              <w:t>.</w:t>
            </w:r>
          </w:p>
        </w:tc>
      </w:tr>
      <w:tr w:rsidR="005A49E9" w:rsidRPr="00B3626F" w14:paraId="37CECF99" w14:textId="77777777" w:rsidTr="00BD61EE">
        <w:tc>
          <w:tcPr>
            <w:tcW w:w="831" w:type="dxa"/>
          </w:tcPr>
          <w:p w14:paraId="13BADDBE" w14:textId="77777777" w:rsidR="005A49E9" w:rsidRPr="00B3626F" w:rsidRDefault="005A49E9" w:rsidP="00BD61EE">
            <w:pPr>
              <w:spacing w:before="60" w:after="60"/>
              <w:rPr>
                <w:rFonts w:asciiTheme="minorHAnsi" w:hAnsiTheme="minorHAnsi" w:cstheme="minorHAnsi"/>
                <w:sz w:val="20"/>
                <w:szCs w:val="20"/>
              </w:rPr>
            </w:pPr>
            <w:r w:rsidRPr="00B3626F">
              <w:rPr>
                <w:rFonts w:asciiTheme="minorHAnsi" w:hAnsiTheme="minorHAnsi"/>
                <w:sz w:val="20"/>
              </w:rPr>
              <w:t>51.</w:t>
            </w:r>
          </w:p>
        </w:tc>
        <w:tc>
          <w:tcPr>
            <w:tcW w:w="6252" w:type="dxa"/>
            <w:gridSpan w:val="2"/>
          </w:tcPr>
          <w:p w14:paraId="02D97607" w14:textId="3C13FB91" w:rsidR="005A49E9" w:rsidRPr="00B3626F" w:rsidRDefault="00A10531" w:rsidP="00A10531">
            <w:pPr>
              <w:widowControl w:val="0"/>
              <w:spacing w:before="120" w:after="120"/>
              <w:rPr>
                <w:rFonts w:asciiTheme="minorHAnsi" w:hAnsiTheme="minorHAnsi" w:cstheme="minorHAnsi"/>
                <w:sz w:val="20"/>
                <w:szCs w:val="20"/>
              </w:rPr>
            </w:pPr>
            <w:r w:rsidRPr="00B3626F">
              <w:rPr>
                <w:rFonts w:asciiTheme="minorHAnsi" w:hAnsiTheme="minorHAnsi"/>
                <w:sz w:val="20"/>
              </w:rPr>
              <w:t>Les demandes supérieures à 100 000 dollars des États-Unis sont évaluées par l</w:t>
            </w:r>
            <w:r w:rsidR="00DE5604" w:rsidRPr="00B3626F">
              <w:rPr>
                <w:rFonts w:asciiTheme="minorHAnsi" w:hAnsiTheme="minorHAnsi"/>
                <w:sz w:val="20"/>
              </w:rPr>
              <w:t>’</w:t>
            </w:r>
            <w:r w:rsidRPr="00B3626F">
              <w:rPr>
                <w:rFonts w:asciiTheme="minorHAnsi" w:hAnsiTheme="minorHAnsi"/>
                <w:sz w:val="20"/>
              </w:rPr>
              <w:t>Organe d</w:t>
            </w:r>
            <w:r w:rsidR="00DE5604" w:rsidRPr="00B3626F">
              <w:rPr>
                <w:rFonts w:asciiTheme="minorHAnsi" w:hAnsiTheme="minorHAnsi"/>
                <w:sz w:val="20"/>
              </w:rPr>
              <w:t>’</w:t>
            </w:r>
            <w:r w:rsidRPr="00B3626F">
              <w:rPr>
                <w:rFonts w:asciiTheme="minorHAnsi" w:hAnsiTheme="minorHAnsi"/>
                <w:sz w:val="20"/>
              </w:rPr>
              <w:t>évaluation visé au paragraphe 27 ci-dessus, et examinées et approuvées par le Comité</w:t>
            </w:r>
            <w:r w:rsidR="00C15262" w:rsidRPr="00B3626F">
              <w:rPr>
                <w:rFonts w:asciiTheme="minorHAnsi" w:hAnsiTheme="minorHAnsi"/>
                <w:sz w:val="20"/>
              </w:rPr>
              <w:t>.</w:t>
            </w:r>
          </w:p>
        </w:tc>
        <w:tc>
          <w:tcPr>
            <w:tcW w:w="709" w:type="dxa"/>
          </w:tcPr>
          <w:p w14:paraId="6B91A044" w14:textId="77777777" w:rsidR="005A49E9" w:rsidRPr="00B3626F" w:rsidRDefault="005A49E9" w:rsidP="00BD61EE">
            <w:pPr>
              <w:spacing w:before="60" w:after="60"/>
              <w:rPr>
                <w:rFonts w:asciiTheme="minorHAnsi" w:hAnsiTheme="minorHAnsi" w:cstheme="minorHAnsi"/>
                <w:sz w:val="20"/>
                <w:szCs w:val="20"/>
              </w:rPr>
            </w:pPr>
            <w:r w:rsidRPr="00B3626F">
              <w:rPr>
                <w:rFonts w:asciiTheme="minorHAnsi" w:hAnsiTheme="minorHAnsi"/>
                <w:sz w:val="20"/>
              </w:rPr>
              <w:t>51.</w:t>
            </w:r>
          </w:p>
        </w:tc>
        <w:tc>
          <w:tcPr>
            <w:tcW w:w="6520" w:type="dxa"/>
            <w:gridSpan w:val="2"/>
          </w:tcPr>
          <w:p w14:paraId="21A03352" w14:textId="363CC170" w:rsidR="00A10531" w:rsidRPr="00B3626F" w:rsidRDefault="00C15262" w:rsidP="00C15262">
            <w:pPr>
              <w:widowControl w:val="0"/>
              <w:spacing w:before="120" w:after="120"/>
              <w:rPr>
                <w:rFonts w:asciiTheme="minorHAnsi" w:hAnsiTheme="minorHAnsi"/>
                <w:strike/>
                <w:sz w:val="20"/>
              </w:rPr>
            </w:pPr>
            <w:r w:rsidRPr="00B3626F">
              <w:rPr>
                <w:rFonts w:asciiTheme="minorHAnsi" w:hAnsiTheme="minorHAnsi"/>
                <w:strike/>
                <w:sz w:val="20"/>
              </w:rPr>
              <w:t>Les demandes supérieures à 100 000 dollars des États-Unis sont évaluées par l</w:t>
            </w:r>
            <w:r w:rsidR="00DE5604" w:rsidRPr="00B3626F">
              <w:rPr>
                <w:rFonts w:asciiTheme="minorHAnsi" w:hAnsiTheme="minorHAnsi"/>
                <w:strike/>
                <w:sz w:val="20"/>
              </w:rPr>
              <w:t>’</w:t>
            </w:r>
            <w:r w:rsidRPr="00B3626F">
              <w:rPr>
                <w:rFonts w:asciiTheme="minorHAnsi" w:hAnsiTheme="minorHAnsi"/>
                <w:strike/>
                <w:sz w:val="20"/>
              </w:rPr>
              <w:t>Organe d</w:t>
            </w:r>
            <w:r w:rsidR="00DE5604" w:rsidRPr="00B3626F">
              <w:rPr>
                <w:rFonts w:asciiTheme="minorHAnsi" w:hAnsiTheme="minorHAnsi"/>
                <w:strike/>
                <w:sz w:val="20"/>
              </w:rPr>
              <w:t>’</w:t>
            </w:r>
            <w:r w:rsidRPr="00B3626F">
              <w:rPr>
                <w:rFonts w:asciiTheme="minorHAnsi" w:hAnsiTheme="minorHAnsi"/>
                <w:strike/>
                <w:sz w:val="20"/>
              </w:rPr>
              <w:t>évaluation visé au paragraphe 27 ci-dessus, et examinées et approuvées par le Comité.</w:t>
            </w:r>
          </w:p>
          <w:p w14:paraId="4CBE339C" w14:textId="1F73AD49" w:rsidR="005A49E9" w:rsidRPr="00B3626F" w:rsidRDefault="00A10531" w:rsidP="00A24266">
            <w:pPr>
              <w:widowControl w:val="0"/>
              <w:tabs>
                <w:tab w:val="left" w:pos="2127"/>
                <w:tab w:val="left" w:pos="2176"/>
              </w:tabs>
              <w:autoSpaceDE w:val="0"/>
              <w:autoSpaceDN w:val="0"/>
              <w:spacing w:before="60" w:after="60"/>
              <w:rPr>
                <w:rFonts w:asciiTheme="minorHAnsi" w:eastAsia="Calibri" w:hAnsiTheme="minorHAnsi" w:cstheme="minorHAnsi"/>
                <w:sz w:val="20"/>
                <w:szCs w:val="20"/>
              </w:rPr>
            </w:pPr>
            <w:r w:rsidRPr="00B3626F">
              <w:rPr>
                <w:rFonts w:asciiTheme="minorHAnsi" w:hAnsiTheme="minorHAnsi"/>
                <w:sz w:val="20"/>
                <w:u w:val="single"/>
              </w:rPr>
              <w:t>Les demandes d</w:t>
            </w:r>
            <w:r w:rsidR="00DE5604" w:rsidRPr="00B3626F">
              <w:rPr>
                <w:rFonts w:asciiTheme="minorHAnsi" w:hAnsiTheme="minorHAnsi"/>
                <w:sz w:val="20"/>
                <w:u w:val="single"/>
              </w:rPr>
              <w:t>’</w:t>
            </w:r>
            <w:r w:rsidRPr="00B3626F">
              <w:rPr>
                <w:rFonts w:asciiTheme="minorHAnsi" w:hAnsiTheme="minorHAnsi"/>
                <w:sz w:val="20"/>
                <w:u w:val="single"/>
              </w:rPr>
              <w:t xml:space="preserve">assistance internationale soumises simultanément à une candidature </w:t>
            </w:r>
            <w:r w:rsidR="0096074E" w:rsidRPr="00B3626F">
              <w:rPr>
                <w:rFonts w:asciiTheme="minorHAnsi" w:hAnsiTheme="minorHAnsi"/>
                <w:sz w:val="20"/>
                <w:u w:val="single"/>
              </w:rPr>
              <w:t>pour</w:t>
            </w:r>
            <w:r w:rsidRPr="00B3626F">
              <w:rPr>
                <w:rFonts w:asciiTheme="minorHAnsi" w:hAnsiTheme="minorHAnsi"/>
                <w:sz w:val="20"/>
                <w:u w:val="single"/>
              </w:rPr>
              <w:t xml:space="preserve"> la Liste du patrimoine culturel immatériel nécessitant une sauvegarde urgente ou dans le cadre d</w:t>
            </w:r>
            <w:r w:rsidR="00DE5604" w:rsidRPr="00B3626F">
              <w:rPr>
                <w:rFonts w:asciiTheme="minorHAnsi" w:hAnsiTheme="minorHAnsi"/>
                <w:sz w:val="20"/>
                <w:u w:val="single"/>
              </w:rPr>
              <w:t>’</w:t>
            </w:r>
            <w:r w:rsidR="0096074E" w:rsidRPr="00B3626F">
              <w:rPr>
                <w:rFonts w:asciiTheme="minorHAnsi" w:hAnsiTheme="minorHAnsi"/>
                <w:sz w:val="20"/>
                <w:u w:val="single"/>
              </w:rPr>
              <w:t xml:space="preserve">une </w:t>
            </w:r>
            <w:r w:rsidRPr="00B3626F">
              <w:rPr>
                <w:rFonts w:asciiTheme="minorHAnsi" w:hAnsiTheme="minorHAnsi"/>
                <w:sz w:val="20"/>
                <w:u w:val="single"/>
              </w:rPr>
              <w:t>demande de transfert d</w:t>
            </w:r>
            <w:r w:rsidR="00DE5604" w:rsidRPr="00B3626F">
              <w:rPr>
                <w:rFonts w:asciiTheme="minorHAnsi" w:hAnsiTheme="minorHAnsi"/>
                <w:sz w:val="20"/>
                <w:u w:val="single"/>
              </w:rPr>
              <w:t>’</w:t>
            </w:r>
            <w:r w:rsidRPr="00B3626F">
              <w:rPr>
                <w:rFonts w:asciiTheme="minorHAnsi" w:hAnsiTheme="minorHAnsi"/>
                <w:sz w:val="20"/>
                <w:u w:val="single"/>
              </w:rPr>
              <w:t>un élément de la Liste représentative du patrimoine culturel immatériel de l</w:t>
            </w:r>
            <w:r w:rsidR="00DE5604" w:rsidRPr="00B3626F">
              <w:rPr>
                <w:rFonts w:asciiTheme="minorHAnsi" w:hAnsiTheme="minorHAnsi"/>
                <w:sz w:val="20"/>
                <w:u w:val="single"/>
              </w:rPr>
              <w:t>’</w:t>
            </w:r>
            <w:r w:rsidRPr="00B3626F">
              <w:rPr>
                <w:rFonts w:asciiTheme="minorHAnsi" w:hAnsiTheme="minorHAnsi"/>
                <w:sz w:val="20"/>
                <w:u w:val="single"/>
              </w:rPr>
              <w:t xml:space="preserve">humanité </w:t>
            </w:r>
            <w:r w:rsidR="0096074E" w:rsidRPr="00B3626F">
              <w:rPr>
                <w:rFonts w:asciiTheme="minorHAnsi" w:hAnsiTheme="minorHAnsi"/>
                <w:sz w:val="20"/>
                <w:u w:val="single"/>
              </w:rPr>
              <w:t>à</w:t>
            </w:r>
            <w:r w:rsidRPr="00B3626F">
              <w:rPr>
                <w:rFonts w:asciiTheme="minorHAnsi" w:hAnsiTheme="minorHAnsi"/>
                <w:sz w:val="20"/>
                <w:u w:val="single"/>
              </w:rPr>
              <w:t xml:space="preserve"> la Liste du patrimoine culturel immatériel nécessitant une sauvegarde urgente sont évaluées par l</w:t>
            </w:r>
            <w:r w:rsidR="00DE5604" w:rsidRPr="00B3626F">
              <w:rPr>
                <w:rFonts w:asciiTheme="minorHAnsi" w:hAnsiTheme="minorHAnsi"/>
                <w:sz w:val="20"/>
                <w:u w:val="single"/>
              </w:rPr>
              <w:t>’</w:t>
            </w:r>
            <w:r w:rsidRPr="00B3626F">
              <w:rPr>
                <w:rFonts w:asciiTheme="minorHAnsi" w:hAnsiTheme="minorHAnsi"/>
                <w:sz w:val="20"/>
                <w:u w:val="single"/>
              </w:rPr>
              <w:t>Organe d</w:t>
            </w:r>
            <w:r w:rsidR="00DE5604" w:rsidRPr="00B3626F">
              <w:rPr>
                <w:rFonts w:asciiTheme="minorHAnsi" w:hAnsiTheme="minorHAnsi"/>
                <w:sz w:val="20"/>
                <w:u w:val="single"/>
              </w:rPr>
              <w:t>’</w:t>
            </w:r>
            <w:r w:rsidRPr="00B3626F">
              <w:rPr>
                <w:rFonts w:asciiTheme="minorHAnsi" w:hAnsiTheme="minorHAnsi"/>
                <w:sz w:val="20"/>
                <w:u w:val="single"/>
              </w:rPr>
              <w:t>évaluation et examinées et approuvées par le Comité.</w:t>
            </w:r>
          </w:p>
        </w:tc>
      </w:tr>
      <w:tr w:rsidR="005A49E9" w:rsidRPr="00B3626F" w14:paraId="530471B1" w14:textId="77777777" w:rsidTr="00BD61EE">
        <w:tc>
          <w:tcPr>
            <w:tcW w:w="831" w:type="dxa"/>
            <w:shd w:val="clear" w:color="auto" w:fill="F2F2F2" w:themeFill="background1" w:themeFillShade="F2"/>
          </w:tcPr>
          <w:p w14:paraId="13FEF7F4" w14:textId="77777777" w:rsidR="005A49E9" w:rsidRPr="00B3626F" w:rsidRDefault="005A49E9" w:rsidP="00BD61EE">
            <w:pPr>
              <w:spacing w:before="60" w:after="60"/>
              <w:rPr>
                <w:rFonts w:asciiTheme="minorHAnsi" w:hAnsiTheme="minorHAnsi" w:cstheme="minorHAnsi"/>
                <w:sz w:val="20"/>
                <w:szCs w:val="20"/>
              </w:rPr>
            </w:pPr>
            <w:r w:rsidRPr="00B3626F">
              <w:rPr>
                <w:rFonts w:asciiTheme="minorHAnsi" w:hAnsiTheme="minorHAnsi"/>
                <w:b/>
                <w:color w:val="1F4E79"/>
                <w:sz w:val="20"/>
              </w:rPr>
              <w:t>I.15</w:t>
            </w:r>
          </w:p>
        </w:tc>
        <w:tc>
          <w:tcPr>
            <w:tcW w:w="6252" w:type="dxa"/>
            <w:gridSpan w:val="2"/>
            <w:shd w:val="clear" w:color="auto" w:fill="F2F2F2" w:themeFill="background1" w:themeFillShade="F2"/>
          </w:tcPr>
          <w:p w14:paraId="377AF72D" w14:textId="2CCD649B" w:rsidR="005A49E9" w:rsidRPr="00B3626F" w:rsidRDefault="005A49E9" w:rsidP="00BD61EE">
            <w:pPr>
              <w:keepLines/>
              <w:spacing w:before="60" w:after="60"/>
              <w:rPr>
                <w:rFonts w:asciiTheme="minorHAnsi" w:hAnsiTheme="minorHAnsi" w:cstheme="minorHAnsi"/>
                <w:color w:val="231F20"/>
                <w:sz w:val="20"/>
                <w:szCs w:val="20"/>
                <w:highlight w:val="lightGray"/>
              </w:rPr>
            </w:pPr>
            <w:r w:rsidRPr="00B3626F">
              <w:rPr>
                <w:rFonts w:asciiTheme="minorHAnsi" w:hAnsiTheme="minorHAnsi"/>
                <w:b/>
                <w:color w:val="1F4E79"/>
                <w:sz w:val="20"/>
              </w:rPr>
              <w:t xml:space="preserve">Calendrier – </w:t>
            </w:r>
            <w:r w:rsidR="0088507A" w:rsidRPr="00B3626F">
              <w:rPr>
                <w:rFonts w:asciiTheme="minorHAnsi" w:hAnsiTheme="minorHAnsi"/>
                <w:b/>
                <w:color w:val="1F4E79"/>
                <w:sz w:val="20"/>
              </w:rPr>
              <w:t>Vue d</w:t>
            </w:r>
            <w:r w:rsidR="00DE5604" w:rsidRPr="00B3626F">
              <w:rPr>
                <w:rFonts w:asciiTheme="minorHAnsi" w:hAnsiTheme="minorHAnsi"/>
                <w:b/>
                <w:color w:val="1F4E79"/>
                <w:sz w:val="20"/>
              </w:rPr>
              <w:t>’</w:t>
            </w:r>
            <w:r w:rsidR="0088507A" w:rsidRPr="00B3626F">
              <w:rPr>
                <w:rFonts w:asciiTheme="minorHAnsi" w:hAnsiTheme="minorHAnsi"/>
                <w:b/>
                <w:color w:val="1F4E79"/>
                <w:sz w:val="20"/>
              </w:rPr>
              <w:t xml:space="preserve">ensemble </w:t>
            </w:r>
            <w:r w:rsidRPr="00B3626F">
              <w:rPr>
                <w:rFonts w:asciiTheme="minorHAnsi" w:hAnsiTheme="minorHAnsi"/>
                <w:b/>
                <w:color w:val="1F4E79"/>
                <w:sz w:val="20"/>
              </w:rPr>
              <w:t>des procédures</w:t>
            </w:r>
          </w:p>
        </w:tc>
        <w:tc>
          <w:tcPr>
            <w:tcW w:w="709" w:type="dxa"/>
            <w:shd w:val="clear" w:color="auto" w:fill="F2F2F2" w:themeFill="background1" w:themeFillShade="F2"/>
          </w:tcPr>
          <w:p w14:paraId="03694148" w14:textId="77777777" w:rsidR="005A49E9" w:rsidRPr="00B3626F" w:rsidRDefault="005A49E9" w:rsidP="00BD61EE">
            <w:pPr>
              <w:spacing w:before="60" w:after="60"/>
              <w:rPr>
                <w:rFonts w:asciiTheme="minorHAnsi" w:hAnsiTheme="minorHAnsi" w:cstheme="minorHAnsi"/>
                <w:sz w:val="20"/>
                <w:szCs w:val="20"/>
              </w:rPr>
            </w:pPr>
          </w:p>
        </w:tc>
        <w:tc>
          <w:tcPr>
            <w:tcW w:w="6520" w:type="dxa"/>
            <w:gridSpan w:val="2"/>
            <w:shd w:val="clear" w:color="auto" w:fill="F2F2F2" w:themeFill="background1" w:themeFillShade="F2"/>
          </w:tcPr>
          <w:p w14:paraId="77FA2904" w14:textId="77777777" w:rsidR="005A49E9" w:rsidRPr="00B3626F" w:rsidRDefault="005A49E9" w:rsidP="00BD61EE">
            <w:pPr>
              <w:widowControl w:val="0"/>
              <w:tabs>
                <w:tab w:val="left" w:pos="2127"/>
                <w:tab w:val="left" w:pos="2176"/>
              </w:tabs>
              <w:autoSpaceDE w:val="0"/>
              <w:autoSpaceDN w:val="0"/>
              <w:spacing w:before="60" w:after="60"/>
              <w:rPr>
                <w:rFonts w:asciiTheme="minorHAnsi" w:eastAsia="Calibri" w:hAnsiTheme="minorHAnsi" w:cstheme="minorHAnsi"/>
                <w:sz w:val="20"/>
                <w:szCs w:val="20"/>
                <w:lang w:eastAsia="en-US"/>
              </w:rPr>
            </w:pPr>
          </w:p>
        </w:tc>
      </w:tr>
      <w:tr w:rsidR="005A49E9" w:rsidRPr="00B3626F" w14:paraId="406BE23E" w14:textId="77777777" w:rsidTr="00BD61EE">
        <w:tc>
          <w:tcPr>
            <w:tcW w:w="831" w:type="dxa"/>
            <w:vMerge w:val="restart"/>
          </w:tcPr>
          <w:p w14:paraId="6C8A7B39" w14:textId="77777777" w:rsidR="005A49E9" w:rsidRPr="00B3626F" w:rsidRDefault="005A49E9" w:rsidP="00BD61EE">
            <w:pPr>
              <w:keepLines/>
              <w:spacing w:before="60" w:after="60"/>
              <w:rPr>
                <w:rFonts w:asciiTheme="minorHAnsi" w:hAnsiTheme="minorHAnsi" w:cstheme="minorHAnsi"/>
                <w:sz w:val="20"/>
                <w:szCs w:val="20"/>
              </w:rPr>
            </w:pPr>
            <w:r w:rsidRPr="00B3626F">
              <w:rPr>
                <w:rFonts w:asciiTheme="minorHAnsi" w:hAnsiTheme="minorHAnsi"/>
                <w:sz w:val="20"/>
              </w:rPr>
              <w:t>54.</w:t>
            </w:r>
          </w:p>
        </w:tc>
        <w:tc>
          <w:tcPr>
            <w:tcW w:w="6252" w:type="dxa"/>
            <w:gridSpan w:val="2"/>
          </w:tcPr>
          <w:p w14:paraId="17A63771" w14:textId="77777777" w:rsidR="005A49E9" w:rsidRPr="00B3626F" w:rsidRDefault="005A49E9" w:rsidP="005245B6">
            <w:pPr>
              <w:widowControl w:val="0"/>
              <w:tabs>
                <w:tab w:val="left" w:pos="2127"/>
                <w:tab w:val="left" w:pos="2176"/>
              </w:tabs>
              <w:autoSpaceDE w:val="0"/>
              <w:autoSpaceDN w:val="0"/>
              <w:spacing w:before="60" w:after="60"/>
              <w:rPr>
                <w:rFonts w:asciiTheme="minorHAnsi" w:hAnsiTheme="minorHAnsi" w:cstheme="minorHAnsi"/>
                <w:color w:val="231F20"/>
                <w:sz w:val="20"/>
                <w:szCs w:val="20"/>
              </w:rPr>
            </w:pPr>
            <w:r w:rsidRPr="00B3626F">
              <w:rPr>
                <w:rFonts w:asciiTheme="minorHAnsi" w:hAnsiTheme="minorHAnsi"/>
                <w:color w:val="231F20"/>
                <w:sz w:val="20"/>
              </w:rPr>
              <w:t>Phase 1 : Préparation et soumission</w:t>
            </w:r>
          </w:p>
        </w:tc>
        <w:tc>
          <w:tcPr>
            <w:tcW w:w="709" w:type="dxa"/>
            <w:vMerge w:val="restart"/>
          </w:tcPr>
          <w:p w14:paraId="5EA995BC" w14:textId="77777777" w:rsidR="005A49E9" w:rsidRPr="00B3626F" w:rsidRDefault="005A49E9" w:rsidP="00BD61EE">
            <w:pPr>
              <w:spacing w:before="60" w:after="60"/>
              <w:rPr>
                <w:rFonts w:asciiTheme="minorHAnsi" w:hAnsiTheme="minorHAnsi" w:cstheme="minorHAnsi"/>
                <w:sz w:val="20"/>
                <w:szCs w:val="20"/>
              </w:rPr>
            </w:pPr>
            <w:r w:rsidRPr="00B3626F">
              <w:rPr>
                <w:rFonts w:asciiTheme="minorHAnsi" w:hAnsiTheme="minorHAnsi"/>
                <w:sz w:val="20"/>
              </w:rPr>
              <w:t>54.</w:t>
            </w:r>
          </w:p>
        </w:tc>
        <w:tc>
          <w:tcPr>
            <w:tcW w:w="6520" w:type="dxa"/>
            <w:gridSpan w:val="2"/>
          </w:tcPr>
          <w:p w14:paraId="2AE2232B" w14:textId="77777777" w:rsidR="005A49E9" w:rsidRPr="00B3626F" w:rsidRDefault="005A49E9" w:rsidP="00BD61EE">
            <w:pPr>
              <w:widowControl w:val="0"/>
              <w:tabs>
                <w:tab w:val="left" w:pos="2127"/>
                <w:tab w:val="left" w:pos="2176"/>
              </w:tabs>
              <w:autoSpaceDE w:val="0"/>
              <w:autoSpaceDN w:val="0"/>
              <w:spacing w:before="60" w:after="60"/>
              <w:rPr>
                <w:rFonts w:asciiTheme="minorHAnsi" w:eastAsia="SimSun" w:hAnsiTheme="minorHAnsi" w:cstheme="minorHAnsi"/>
                <w:sz w:val="20"/>
                <w:szCs w:val="20"/>
              </w:rPr>
            </w:pPr>
            <w:r w:rsidRPr="00B3626F">
              <w:rPr>
                <w:rFonts w:asciiTheme="minorHAnsi" w:hAnsiTheme="minorHAnsi"/>
                <w:color w:val="231F20"/>
                <w:sz w:val="20"/>
              </w:rPr>
              <w:t>Phase 1 : Préparation et soumission</w:t>
            </w:r>
          </w:p>
        </w:tc>
      </w:tr>
      <w:tr w:rsidR="005A49E9" w:rsidRPr="00B3626F" w14:paraId="4952FB63" w14:textId="77777777" w:rsidTr="00BD61EE">
        <w:tc>
          <w:tcPr>
            <w:tcW w:w="831" w:type="dxa"/>
            <w:vMerge/>
          </w:tcPr>
          <w:p w14:paraId="05D33227" w14:textId="77777777" w:rsidR="005A49E9" w:rsidRPr="00B3626F" w:rsidRDefault="005A49E9" w:rsidP="00BD61EE">
            <w:pPr>
              <w:keepLines/>
              <w:spacing w:before="60" w:after="60"/>
              <w:rPr>
                <w:rFonts w:asciiTheme="minorHAnsi" w:hAnsiTheme="minorHAnsi" w:cstheme="minorHAnsi"/>
                <w:color w:val="231F20"/>
                <w:sz w:val="20"/>
                <w:szCs w:val="20"/>
              </w:rPr>
            </w:pPr>
          </w:p>
        </w:tc>
        <w:tc>
          <w:tcPr>
            <w:tcW w:w="1858" w:type="dxa"/>
          </w:tcPr>
          <w:p w14:paraId="1237BC8A" w14:textId="77777777" w:rsidR="005A49E9" w:rsidRPr="00B3626F" w:rsidRDefault="005A49E9" w:rsidP="00BD61EE">
            <w:pPr>
              <w:keepLines/>
              <w:autoSpaceDE w:val="0"/>
              <w:autoSpaceDN w:val="0"/>
              <w:adjustRightInd w:val="0"/>
              <w:rPr>
                <w:rFonts w:asciiTheme="minorHAnsi" w:hAnsiTheme="minorHAnsi" w:cstheme="minorHAnsi"/>
                <w:color w:val="231F20"/>
                <w:sz w:val="20"/>
                <w:szCs w:val="20"/>
              </w:rPr>
            </w:pPr>
            <w:r w:rsidRPr="00B3626F">
              <w:rPr>
                <w:rFonts w:asciiTheme="minorHAnsi" w:hAnsiTheme="minorHAnsi"/>
                <w:color w:val="231F20"/>
                <w:sz w:val="20"/>
              </w:rPr>
              <w:t>31 mars</w:t>
            </w:r>
          </w:p>
          <w:p w14:paraId="7F48C0B6" w14:textId="5C575C4E" w:rsidR="005A49E9" w:rsidRPr="00B3626F" w:rsidRDefault="00FE3329" w:rsidP="00BD61EE">
            <w:pPr>
              <w:keepLines/>
              <w:spacing w:before="60" w:after="60"/>
              <w:rPr>
                <w:rFonts w:asciiTheme="minorHAnsi" w:hAnsiTheme="minorHAnsi" w:cstheme="minorHAnsi"/>
                <w:color w:val="231F20"/>
                <w:sz w:val="20"/>
                <w:szCs w:val="20"/>
              </w:rPr>
            </w:pPr>
            <w:r w:rsidRPr="00B3626F">
              <w:rPr>
                <w:rFonts w:asciiTheme="minorHAnsi" w:hAnsiTheme="minorHAnsi"/>
                <w:color w:val="231F20"/>
                <w:sz w:val="20"/>
              </w:rPr>
              <w:t>a</w:t>
            </w:r>
            <w:r w:rsidR="005A49E9" w:rsidRPr="00B3626F">
              <w:rPr>
                <w:rFonts w:asciiTheme="minorHAnsi" w:hAnsiTheme="minorHAnsi"/>
                <w:color w:val="231F20"/>
                <w:sz w:val="20"/>
              </w:rPr>
              <w:t>nnée 1</w:t>
            </w:r>
          </w:p>
        </w:tc>
        <w:tc>
          <w:tcPr>
            <w:tcW w:w="4394" w:type="dxa"/>
          </w:tcPr>
          <w:p w14:paraId="25160A5E" w14:textId="05D9D04F" w:rsidR="005A49E9" w:rsidRPr="00B3626F" w:rsidRDefault="005245B6" w:rsidP="005245B6">
            <w:pPr>
              <w:widowControl w:val="0"/>
              <w:tabs>
                <w:tab w:val="left" w:pos="2127"/>
                <w:tab w:val="left" w:pos="2176"/>
              </w:tabs>
              <w:autoSpaceDE w:val="0"/>
              <w:autoSpaceDN w:val="0"/>
              <w:spacing w:before="60" w:after="60"/>
              <w:rPr>
                <w:rFonts w:asciiTheme="minorHAnsi" w:hAnsiTheme="minorHAnsi"/>
                <w:sz w:val="20"/>
              </w:rPr>
            </w:pPr>
            <w:r w:rsidRPr="00B3626F">
              <w:rPr>
                <w:rFonts w:asciiTheme="minorHAnsi" w:hAnsiTheme="minorHAnsi"/>
                <w:sz w:val="20"/>
              </w:rPr>
              <w:t>Date limite à laquelle les candidatures pour la Liste du patrimoine culturel immatériel nécessitant une sauvegarde urgente et la Liste représentative du patrimoine culturel immatériel de l</w:t>
            </w:r>
            <w:r w:rsidR="00DE5604" w:rsidRPr="00B3626F">
              <w:rPr>
                <w:rFonts w:asciiTheme="minorHAnsi" w:hAnsiTheme="minorHAnsi"/>
                <w:sz w:val="20"/>
              </w:rPr>
              <w:t>’</w:t>
            </w:r>
            <w:r w:rsidRPr="00B3626F">
              <w:rPr>
                <w:rFonts w:asciiTheme="minorHAnsi" w:hAnsiTheme="minorHAnsi"/>
                <w:sz w:val="20"/>
              </w:rPr>
              <w:t>humanité, les propositions de programmes, projets et activités et les demandes d</w:t>
            </w:r>
            <w:r w:rsidR="00DE5604" w:rsidRPr="00B3626F">
              <w:rPr>
                <w:rFonts w:asciiTheme="minorHAnsi" w:hAnsiTheme="minorHAnsi"/>
                <w:sz w:val="20"/>
              </w:rPr>
              <w:t>’</w:t>
            </w:r>
            <w:r w:rsidRPr="00B3626F">
              <w:rPr>
                <w:rFonts w:asciiTheme="minorHAnsi" w:hAnsiTheme="minorHAnsi"/>
                <w:sz w:val="20"/>
              </w:rPr>
              <w:t>assistance internationale supérieures à 100 000 dollars des États-Unis doivent avoir été reçues par le Secrétariat. Les dossiers reçus après cette date sont examinés au cycle suivant. Le Secrétariat publie sur le site Internet de la Convention les dossiers tels qu</w:t>
            </w:r>
            <w:r w:rsidR="00DE5604" w:rsidRPr="00B3626F">
              <w:rPr>
                <w:rFonts w:asciiTheme="minorHAnsi" w:hAnsiTheme="minorHAnsi"/>
                <w:sz w:val="20"/>
              </w:rPr>
              <w:t>’</w:t>
            </w:r>
            <w:r w:rsidRPr="00B3626F">
              <w:rPr>
                <w:rFonts w:asciiTheme="minorHAnsi" w:hAnsiTheme="minorHAnsi"/>
                <w:sz w:val="20"/>
              </w:rPr>
              <w:t>ils ont été reçus, dans leur langue originale.</w:t>
            </w:r>
          </w:p>
        </w:tc>
        <w:tc>
          <w:tcPr>
            <w:tcW w:w="709" w:type="dxa"/>
            <w:vMerge/>
          </w:tcPr>
          <w:p w14:paraId="5998828D" w14:textId="77777777" w:rsidR="005A49E9" w:rsidRPr="00B3626F" w:rsidRDefault="005A49E9" w:rsidP="00BD61EE">
            <w:pPr>
              <w:spacing w:before="60" w:after="60"/>
              <w:rPr>
                <w:rFonts w:asciiTheme="minorHAnsi" w:hAnsiTheme="minorHAnsi" w:cstheme="minorHAnsi"/>
                <w:sz w:val="20"/>
                <w:szCs w:val="20"/>
              </w:rPr>
            </w:pPr>
          </w:p>
        </w:tc>
        <w:tc>
          <w:tcPr>
            <w:tcW w:w="1984" w:type="dxa"/>
          </w:tcPr>
          <w:p w14:paraId="4AD54339" w14:textId="77777777" w:rsidR="005A49E9" w:rsidRPr="00B3626F" w:rsidRDefault="005A49E9" w:rsidP="00BD61EE">
            <w:pPr>
              <w:keepLines/>
              <w:autoSpaceDE w:val="0"/>
              <w:autoSpaceDN w:val="0"/>
              <w:adjustRightInd w:val="0"/>
              <w:rPr>
                <w:rFonts w:asciiTheme="minorHAnsi" w:hAnsiTheme="minorHAnsi" w:cstheme="minorHAnsi"/>
                <w:sz w:val="20"/>
                <w:szCs w:val="20"/>
              </w:rPr>
            </w:pPr>
            <w:r w:rsidRPr="00B3626F">
              <w:rPr>
                <w:rFonts w:asciiTheme="minorHAnsi" w:hAnsiTheme="minorHAnsi"/>
                <w:sz w:val="20"/>
              </w:rPr>
              <w:t>31 mars</w:t>
            </w:r>
          </w:p>
          <w:p w14:paraId="7280C00A" w14:textId="1EA82943" w:rsidR="005A49E9" w:rsidRPr="00B3626F" w:rsidRDefault="00FE3329" w:rsidP="00BD61EE">
            <w:pPr>
              <w:widowControl w:val="0"/>
              <w:tabs>
                <w:tab w:val="left" w:pos="2127"/>
                <w:tab w:val="left" w:pos="2176"/>
              </w:tabs>
              <w:autoSpaceDE w:val="0"/>
              <w:autoSpaceDN w:val="0"/>
              <w:spacing w:before="60" w:after="60"/>
              <w:rPr>
                <w:rFonts w:asciiTheme="minorHAnsi" w:eastAsia="Calibri" w:hAnsiTheme="minorHAnsi" w:cstheme="minorHAnsi"/>
                <w:sz w:val="20"/>
                <w:szCs w:val="20"/>
              </w:rPr>
            </w:pPr>
            <w:r w:rsidRPr="00B3626F">
              <w:rPr>
                <w:rFonts w:asciiTheme="minorHAnsi" w:hAnsiTheme="minorHAnsi"/>
                <w:sz w:val="20"/>
              </w:rPr>
              <w:t>a</w:t>
            </w:r>
            <w:r w:rsidR="005A49E9" w:rsidRPr="00B3626F">
              <w:rPr>
                <w:rFonts w:asciiTheme="minorHAnsi" w:hAnsiTheme="minorHAnsi"/>
                <w:sz w:val="20"/>
              </w:rPr>
              <w:t>nnée 1</w:t>
            </w:r>
          </w:p>
        </w:tc>
        <w:tc>
          <w:tcPr>
            <w:tcW w:w="4536" w:type="dxa"/>
          </w:tcPr>
          <w:p w14:paraId="505433C5" w14:textId="44DC19C9" w:rsidR="005A49E9" w:rsidRPr="00B3626F" w:rsidRDefault="00FE3329" w:rsidP="00D63C43">
            <w:pPr>
              <w:widowControl w:val="0"/>
              <w:tabs>
                <w:tab w:val="left" w:pos="2127"/>
                <w:tab w:val="left" w:pos="2176"/>
              </w:tabs>
              <w:autoSpaceDE w:val="0"/>
              <w:autoSpaceDN w:val="0"/>
              <w:spacing w:before="60" w:after="60"/>
              <w:rPr>
                <w:rFonts w:asciiTheme="minorHAnsi" w:hAnsiTheme="minorHAnsi"/>
                <w:sz w:val="20"/>
              </w:rPr>
            </w:pPr>
            <w:r w:rsidRPr="00B3626F">
              <w:rPr>
                <w:rFonts w:asciiTheme="minorHAnsi" w:hAnsiTheme="minorHAnsi"/>
                <w:sz w:val="20"/>
              </w:rPr>
              <w:t xml:space="preserve">Date limite à laquelle les candidatures pour la Liste du patrimoine culturel immatériel nécessitant une sauvegarde urgente </w:t>
            </w:r>
            <w:r w:rsidR="00C65DCA" w:rsidRPr="00B3626F">
              <w:rPr>
                <w:rFonts w:asciiTheme="minorHAnsi" w:hAnsiTheme="minorHAnsi"/>
                <w:sz w:val="20"/>
                <w:u w:val="single"/>
              </w:rPr>
              <w:t>(y compris celle soumises simultanément aux demandes d</w:t>
            </w:r>
            <w:r w:rsidR="00DE5604" w:rsidRPr="00B3626F">
              <w:rPr>
                <w:rFonts w:asciiTheme="minorHAnsi" w:hAnsiTheme="minorHAnsi"/>
                <w:sz w:val="20"/>
                <w:u w:val="single"/>
              </w:rPr>
              <w:t>’</w:t>
            </w:r>
            <w:r w:rsidR="00C65DCA" w:rsidRPr="00B3626F">
              <w:rPr>
                <w:rFonts w:asciiTheme="minorHAnsi" w:hAnsiTheme="minorHAnsi"/>
                <w:sz w:val="20"/>
                <w:u w:val="single"/>
              </w:rPr>
              <w:t>assistance internationale)</w:t>
            </w:r>
            <w:r w:rsidR="00C65DCA" w:rsidRPr="00B3626F">
              <w:rPr>
                <w:rFonts w:asciiTheme="minorHAnsi" w:hAnsiTheme="minorHAnsi"/>
                <w:sz w:val="20"/>
              </w:rPr>
              <w:t xml:space="preserve"> </w:t>
            </w:r>
            <w:r w:rsidRPr="00B3626F">
              <w:rPr>
                <w:rFonts w:asciiTheme="minorHAnsi" w:hAnsiTheme="minorHAnsi"/>
                <w:sz w:val="20"/>
              </w:rPr>
              <w:t xml:space="preserve">et </w:t>
            </w:r>
            <w:r w:rsidR="00C65DCA" w:rsidRPr="00B3626F">
              <w:rPr>
                <w:rFonts w:asciiTheme="minorHAnsi" w:hAnsiTheme="minorHAnsi"/>
                <w:sz w:val="20"/>
              </w:rPr>
              <w:t xml:space="preserve">pour </w:t>
            </w:r>
            <w:r w:rsidRPr="00B3626F">
              <w:rPr>
                <w:rFonts w:asciiTheme="minorHAnsi" w:hAnsiTheme="minorHAnsi"/>
                <w:sz w:val="20"/>
              </w:rPr>
              <w:t>la Liste représentative du patrimoine culturel immatériel de l</w:t>
            </w:r>
            <w:r w:rsidR="00DE5604" w:rsidRPr="00B3626F">
              <w:rPr>
                <w:rFonts w:asciiTheme="minorHAnsi" w:hAnsiTheme="minorHAnsi"/>
                <w:sz w:val="20"/>
              </w:rPr>
              <w:t>’</w:t>
            </w:r>
            <w:r w:rsidRPr="00B3626F">
              <w:rPr>
                <w:rFonts w:asciiTheme="minorHAnsi" w:hAnsiTheme="minorHAnsi"/>
                <w:sz w:val="20"/>
              </w:rPr>
              <w:t xml:space="preserve">humanité, </w:t>
            </w:r>
            <w:r w:rsidR="00B37999" w:rsidRPr="00B3626F">
              <w:rPr>
                <w:rFonts w:asciiTheme="minorHAnsi" w:hAnsiTheme="minorHAnsi"/>
                <w:sz w:val="20"/>
                <w:u w:val="single"/>
              </w:rPr>
              <w:t>ainsi que</w:t>
            </w:r>
            <w:r w:rsidR="00B37999" w:rsidRPr="00B3626F">
              <w:rPr>
                <w:rFonts w:asciiTheme="minorHAnsi" w:hAnsiTheme="minorHAnsi"/>
                <w:sz w:val="20"/>
              </w:rPr>
              <w:t xml:space="preserve"> </w:t>
            </w:r>
            <w:r w:rsidRPr="00B3626F">
              <w:rPr>
                <w:rFonts w:asciiTheme="minorHAnsi" w:hAnsiTheme="minorHAnsi"/>
                <w:sz w:val="20"/>
              </w:rPr>
              <w:t xml:space="preserve">les propositions de programmes, projets et activités </w:t>
            </w:r>
            <w:r w:rsidR="00D647FB" w:rsidRPr="00C70416">
              <w:rPr>
                <w:rFonts w:asciiTheme="minorHAnsi" w:hAnsiTheme="minorHAnsi"/>
                <w:color w:val="231F20"/>
                <w:sz w:val="20"/>
                <w:u w:val="single"/>
              </w:rPr>
              <w:t>reflétant le mieux</w:t>
            </w:r>
            <w:r w:rsidR="00D63C43" w:rsidRPr="00C70416">
              <w:rPr>
                <w:rFonts w:asciiTheme="minorHAnsi" w:hAnsiTheme="minorHAnsi"/>
                <w:sz w:val="20"/>
                <w:u w:val="single"/>
              </w:rPr>
              <w:t xml:space="preserve"> les principes et</w:t>
            </w:r>
            <w:r w:rsidR="00D647FB" w:rsidRPr="00C70416">
              <w:rPr>
                <w:rFonts w:asciiTheme="minorHAnsi" w:hAnsiTheme="minorHAnsi"/>
                <w:color w:val="231F20"/>
                <w:sz w:val="20"/>
                <w:u w:val="single"/>
              </w:rPr>
              <w:t xml:space="preserve"> objectifs</w:t>
            </w:r>
            <w:r w:rsidR="00D647FB" w:rsidRPr="00B3626F">
              <w:rPr>
                <w:rFonts w:asciiTheme="minorHAnsi" w:hAnsiTheme="minorHAnsi"/>
                <w:color w:val="231F20"/>
                <w:sz w:val="20"/>
                <w:u w:val="single"/>
              </w:rPr>
              <w:t xml:space="preserve"> de la Convention</w:t>
            </w:r>
            <w:r w:rsidR="00D647FB" w:rsidRPr="00B3626F">
              <w:rPr>
                <w:rFonts w:asciiTheme="minorHAnsi" w:hAnsiTheme="minorHAnsi"/>
                <w:strike/>
                <w:sz w:val="20"/>
              </w:rPr>
              <w:t xml:space="preserve"> </w:t>
            </w:r>
            <w:r w:rsidRPr="00B3626F">
              <w:rPr>
                <w:rFonts w:asciiTheme="minorHAnsi" w:hAnsiTheme="minorHAnsi"/>
                <w:strike/>
                <w:sz w:val="20"/>
              </w:rPr>
              <w:t>et les demandes d</w:t>
            </w:r>
            <w:r w:rsidR="00DE5604" w:rsidRPr="00B3626F">
              <w:rPr>
                <w:rFonts w:asciiTheme="minorHAnsi" w:hAnsiTheme="minorHAnsi"/>
                <w:strike/>
                <w:sz w:val="20"/>
              </w:rPr>
              <w:t>’</w:t>
            </w:r>
            <w:r w:rsidRPr="00B3626F">
              <w:rPr>
                <w:rFonts w:asciiTheme="minorHAnsi" w:hAnsiTheme="minorHAnsi"/>
                <w:strike/>
                <w:sz w:val="20"/>
              </w:rPr>
              <w:t>assistance internationale supérieures à 100 000 dollars des États-Unis</w:t>
            </w:r>
            <w:r w:rsidR="00C058BF" w:rsidRPr="00B3626F">
              <w:rPr>
                <w:rStyle w:val="Appelnotedebasdep"/>
                <w:rFonts w:asciiTheme="minorHAnsi" w:hAnsiTheme="minorHAnsi"/>
                <w:sz w:val="20"/>
              </w:rPr>
              <w:footnoteReference w:id="10"/>
            </w:r>
            <w:r w:rsidRPr="00B3626F">
              <w:rPr>
                <w:rFonts w:asciiTheme="minorHAnsi" w:hAnsiTheme="minorHAnsi"/>
                <w:sz w:val="20"/>
              </w:rPr>
              <w:t xml:space="preserve"> doivent avoir été reçues par le Secrétariat. Les dossiers reçus après cette date sont examinés au cycle suivant. Le Secrétariat publie sur </w:t>
            </w:r>
            <w:r w:rsidRPr="00B3626F">
              <w:rPr>
                <w:rFonts w:asciiTheme="minorHAnsi" w:hAnsiTheme="minorHAnsi"/>
                <w:sz w:val="20"/>
              </w:rPr>
              <w:lastRenderedPageBreak/>
              <w:t>le site Internet de la Convention les dossiers tels qu</w:t>
            </w:r>
            <w:r w:rsidR="00DE5604" w:rsidRPr="00B3626F">
              <w:rPr>
                <w:rFonts w:asciiTheme="minorHAnsi" w:hAnsiTheme="minorHAnsi"/>
                <w:sz w:val="20"/>
              </w:rPr>
              <w:t>’</w:t>
            </w:r>
            <w:r w:rsidRPr="00B3626F">
              <w:rPr>
                <w:rFonts w:asciiTheme="minorHAnsi" w:hAnsiTheme="minorHAnsi"/>
                <w:sz w:val="20"/>
              </w:rPr>
              <w:t>ils ont été reçus, dans leur langue originale.</w:t>
            </w:r>
          </w:p>
        </w:tc>
      </w:tr>
    </w:tbl>
    <w:p w14:paraId="59B86BFE" w14:textId="77777777" w:rsidR="00C21E5A" w:rsidRPr="00B3626F" w:rsidRDefault="00C21E5A" w:rsidP="00A066AB">
      <w:pPr>
        <w:pStyle w:val="COMParaDecision"/>
        <w:numPr>
          <w:ilvl w:val="0"/>
          <w:numId w:val="0"/>
        </w:numPr>
        <w:rPr>
          <w:u w:val="none"/>
        </w:rPr>
      </w:pPr>
    </w:p>
    <w:sectPr w:rsidR="00C21E5A" w:rsidRPr="00B3626F" w:rsidSect="00C941D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72F5" w14:textId="77777777" w:rsidR="00C364EE" w:rsidRDefault="00C364EE" w:rsidP="00655736">
      <w:r>
        <w:separator/>
      </w:r>
    </w:p>
    <w:p w14:paraId="0A5D3DF2" w14:textId="77777777" w:rsidR="00B74B3B" w:rsidRDefault="00B74B3B"/>
    <w:p w14:paraId="1F3C8CF4" w14:textId="77777777" w:rsidR="00B74B3B" w:rsidRDefault="00B74B3B"/>
  </w:endnote>
  <w:endnote w:type="continuationSeparator" w:id="0">
    <w:p w14:paraId="102D1E14" w14:textId="77777777" w:rsidR="00C364EE" w:rsidRDefault="00C364EE" w:rsidP="00655736">
      <w:r>
        <w:continuationSeparator/>
      </w:r>
    </w:p>
    <w:p w14:paraId="1CB015A7" w14:textId="77777777" w:rsidR="00B74B3B" w:rsidRDefault="00B74B3B"/>
    <w:p w14:paraId="07D20B88" w14:textId="77777777" w:rsidR="00B74B3B" w:rsidRDefault="00B74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F7C1" w14:textId="1FB2A03D" w:rsidR="00B74B3B" w:rsidRDefault="00C364EE" w:rsidP="00BE1203">
      <w:r>
        <w:separator/>
      </w:r>
    </w:p>
  </w:footnote>
  <w:footnote w:type="continuationSeparator" w:id="0">
    <w:p w14:paraId="02E9C1F7" w14:textId="77777777" w:rsidR="00C364EE" w:rsidRDefault="00C364EE" w:rsidP="00655736">
      <w:r>
        <w:continuationSeparator/>
      </w:r>
    </w:p>
    <w:p w14:paraId="47647D84" w14:textId="77777777" w:rsidR="00B74B3B" w:rsidRDefault="00B74B3B"/>
    <w:p w14:paraId="56053CB0" w14:textId="77777777" w:rsidR="00B74B3B" w:rsidRDefault="00B74B3B"/>
  </w:footnote>
  <w:footnote w:id="1">
    <w:p w14:paraId="4AC807A4" w14:textId="5E994B39" w:rsidR="005670CD" w:rsidRPr="00656367" w:rsidRDefault="005670CD" w:rsidP="00AC6FE6">
      <w:pPr>
        <w:pStyle w:val="Notedebasdepage"/>
        <w:ind w:left="567" w:hanging="567"/>
        <w:jc w:val="both"/>
        <w:rPr>
          <w:rFonts w:asciiTheme="minorBidi" w:hAnsiTheme="minorBidi" w:cstheme="minorBidi"/>
          <w:sz w:val="18"/>
          <w:szCs w:val="18"/>
        </w:rPr>
      </w:pPr>
      <w:r>
        <w:rPr>
          <w:rStyle w:val="Appelnotedebasdep"/>
          <w:lang w:val="en-GB"/>
        </w:rPr>
        <w:footnoteRef/>
      </w:r>
      <w:r>
        <w:t xml:space="preserve"> </w:t>
      </w:r>
      <w:r>
        <w:tab/>
      </w:r>
      <w:r>
        <w:rPr>
          <w:rFonts w:asciiTheme="minorBidi" w:hAnsiTheme="minorBidi"/>
          <w:sz w:val="18"/>
        </w:rPr>
        <w:t>Des informations mises à jour et des documents de référence concernant le processus de réflexion globale sont disponibles sur la page web de la Convention de 2003 :</w:t>
      </w:r>
      <w:hyperlink r:id="rId1" w:history="1">
        <w:r w:rsidR="00AC6FE6" w:rsidRPr="00555BB7">
          <w:rPr>
            <w:rStyle w:val="Lienhypertexte"/>
            <w:rFonts w:asciiTheme="minorBidi" w:hAnsiTheme="minorBidi"/>
            <w:sz w:val="18"/>
          </w:rPr>
          <w:t>https://ich.unesco.org/fr/rflexion-globale-sur-les-mcanismes-dinscription-sur-les-listes-01164</w:t>
        </w:r>
      </w:hyperlink>
      <w:r>
        <w:rPr>
          <w:rFonts w:asciiTheme="minorBidi" w:hAnsiTheme="minorBidi"/>
          <w:sz w:val="18"/>
        </w:rPr>
        <w:t>.</w:t>
      </w:r>
    </w:p>
    <w:p w14:paraId="2F5A7472" w14:textId="76DA054D" w:rsidR="005670CD" w:rsidRPr="002115B7" w:rsidRDefault="005670CD">
      <w:pPr>
        <w:pStyle w:val="Notedebasdepage"/>
      </w:pPr>
    </w:p>
  </w:footnote>
  <w:footnote w:id="2">
    <w:p w14:paraId="095D72CC" w14:textId="77777777" w:rsidR="00F81EC9" w:rsidRPr="002877B9" w:rsidRDefault="00F81EC9" w:rsidP="00F81EC9">
      <w:pPr>
        <w:pStyle w:val="Notedebasdepage"/>
      </w:pPr>
      <w:r>
        <w:rPr>
          <w:rStyle w:val="Appelnotedebasdep"/>
          <w:lang w:val="en-GB"/>
        </w:rPr>
        <w:footnoteRef/>
      </w:r>
      <w:r>
        <w:t xml:space="preserve"> </w:t>
      </w:r>
      <w:r>
        <w:tab/>
        <w:t>Partie III Recommandation 2</w:t>
      </w:r>
    </w:p>
  </w:footnote>
  <w:footnote w:id="3">
    <w:p w14:paraId="65EC5D38" w14:textId="77777777" w:rsidR="004B5F8F" w:rsidRPr="002877B9" w:rsidRDefault="004B5F8F" w:rsidP="004B5F8F">
      <w:pPr>
        <w:pStyle w:val="Notedebasdepage"/>
      </w:pPr>
      <w:r>
        <w:rPr>
          <w:rStyle w:val="Appelnotedebasdep"/>
          <w:lang w:val="en-GB"/>
        </w:rPr>
        <w:footnoteRef/>
      </w:r>
      <w:r>
        <w:t xml:space="preserve"> </w:t>
      </w:r>
      <w:r>
        <w:tab/>
        <w:t>Partie III Recommandation 7</w:t>
      </w:r>
    </w:p>
  </w:footnote>
  <w:footnote w:id="4">
    <w:p w14:paraId="3F8C2F4D" w14:textId="77777777" w:rsidR="00800EB2" w:rsidRPr="002877B9" w:rsidRDefault="00800EB2" w:rsidP="00800EB2">
      <w:pPr>
        <w:pStyle w:val="Notedebasdepage"/>
      </w:pPr>
      <w:r>
        <w:rPr>
          <w:rStyle w:val="Appelnotedebasdep"/>
          <w:lang w:val="en-GB"/>
        </w:rPr>
        <w:footnoteRef/>
      </w:r>
      <w:r>
        <w:t xml:space="preserve"> </w:t>
      </w:r>
      <w:r>
        <w:tab/>
        <w:t>Partie III Recommandation 2</w:t>
      </w:r>
    </w:p>
  </w:footnote>
  <w:footnote w:id="5">
    <w:p w14:paraId="09596331" w14:textId="77777777" w:rsidR="003F155F" w:rsidRPr="002877B9" w:rsidRDefault="003F155F" w:rsidP="003F155F">
      <w:pPr>
        <w:pStyle w:val="Notedebasdepage"/>
      </w:pPr>
      <w:r>
        <w:rPr>
          <w:rStyle w:val="Appelnotedebasdep"/>
          <w:lang w:val="en-GB"/>
        </w:rPr>
        <w:footnoteRef/>
      </w:r>
      <w:r>
        <w:t xml:space="preserve"> </w:t>
      </w:r>
      <w:r>
        <w:tab/>
        <w:t>Partie III Recommandation 1</w:t>
      </w:r>
    </w:p>
  </w:footnote>
  <w:footnote w:id="6">
    <w:p w14:paraId="6A73E22F" w14:textId="77777777" w:rsidR="003F155F" w:rsidRPr="002877B9" w:rsidRDefault="003F155F" w:rsidP="003F155F">
      <w:pPr>
        <w:pStyle w:val="Notedebasdepage"/>
      </w:pPr>
      <w:r>
        <w:rPr>
          <w:rStyle w:val="Appelnotedebasdep"/>
          <w:lang w:val="en-GB"/>
        </w:rPr>
        <w:footnoteRef/>
      </w:r>
      <w:r>
        <w:t xml:space="preserve"> </w:t>
      </w:r>
      <w:r>
        <w:tab/>
        <w:t>Partie III Recommandation 2</w:t>
      </w:r>
    </w:p>
  </w:footnote>
  <w:footnote w:id="7">
    <w:p w14:paraId="1BEB894C" w14:textId="77777777" w:rsidR="00AE6FBB" w:rsidRPr="002877B9" w:rsidRDefault="00AE6FBB" w:rsidP="00AE6FBB">
      <w:pPr>
        <w:pStyle w:val="Notedebasdepage"/>
      </w:pPr>
      <w:r>
        <w:rPr>
          <w:rStyle w:val="Appelnotedebasdep"/>
          <w:lang w:val="en-GB"/>
        </w:rPr>
        <w:footnoteRef/>
      </w:r>
      <w:r>
        <w:t xml:space="preserve"> </w:t>
      </w:r>
      <w:r>
        <w:tab/>
        <w:t>Partie III Recommandation 4</w:t>
      </w:r>
    </w:p>
  </w:footnote>
  <w:footnote w:id="8">
    <w:p w14:paraId="02A0CA77" w14:textId="77777777" w:rsidR="001D608F" w:rsidRPr="002877B9" w:rsidRDefault="001D608F" w:rsidP="001D608F">
      <w:pPr>
        <w:pStyle w:val="Notedebasdepage"/>
      </w:pPr>
      <w:r>
        <w:rPr>
          <w:rStyle w:val="Appelnotedebasdep"/>
          <w:lang w:val="en-GB"/>
        </w:rPr>
        <w:footnoteRef/>
      </w:r>
      <w:r>
        <w:t xml:space="preserve"> </w:t>
      </w:r>
      <w:r>
        <w:tab/>
        <w:t>Partie III Recommandation 2</w:t>
      </w:r>
    </w:p>
  </w:footnote>
  <w:footnote w:id="9">
    <w:p w14:paraId="22BE2049" w14:textId="3B159308" w:rsidR="00232681" w:rsidRDefault="00232681" w:rsidP="00232681">
      <w:pPr>
        <w:pStyle w:val="Notedebasdepage"/>
        <w:ind w:left="709" w:hanging="709"/>
      </w:pPr>
      <w:r>
        <w:rPr>
          <w:rStyle w:val="Appelnotedebasdep"/>
        </w:rPr>
        <w:footnoteRef/>
      </w:r>
      <w:r>
        <w:t xml:space="preserve"> </w:t>
      </w:r>
      <w:r>
        <w:tab/>
        <w:t xml:space="preserve">Partie III </w:t>
      </w:r>
      <w:r w:rsidR="00B3626F">
        <w:t>Recommandation</w:t>
      </w:r>
      <w:r>
        <w:t xml:space="preserve"> 2</w:t>
      </w:r>
    </w:p>
  </w:footnote>
  <w:footnote w:id="10">
    <w:p w14:paraId="24D9A97E" w14:textId="1AECF0C0" w:rsidR="00C058BF" w:rsidRDefault="00C058BF">
      <w:pPr>
        <w:pStyle w:val="Notedebasdepage"/>
      </w:pPr>
      <w:r>
        <w:rPr>
          <w:rStyle w:val="Appelnotedebasdep"/>
        </w:rPr>
        <w:footnoteRef/>
      </w:r>
      <w:r>
        <w:t xml:space="preserve"> </w:t>
      </w:r>
      <w:r>
        <w:tab/>
        <w:t>Partie III Recommandation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74612D40" w:rsidR="00C364EE" w:rsidRPr="00C23A97" w:rsidRDefault="001E4A1B" w:rsidP="00C5776D">
    <w:pPr>
      <w:pStyle w:val="En-tte"/>
      <w:rPr>
        <w:rFonts w:ascii="Arial" w:hAnsi="Arial" w:cs="Arial"/>
      </w:rPr>
    </w:pPr>
    <w:r>
      <w:rPr>
        <w:rFonts w:ascii="Arial" w:hAnsi="Arial"/>
        <w:sz w:val="20"/>
      </w:rPr>
      <w:t xml:space="preserve">LHE/22/5.EXT.COM/4 – page </w:t>
    </w:r>
    <w:r w:rsidR="00C364EE" w:rsidRPr="00C23A97">
      <w:rPr>
        <w:rStyle w:val="Numrodepage"/>
        <w:rFonts w:ascii="Arial" w:hAnsi="Arial" w:cs="Arial"/>
        <w:sz w:val="20"/>
      </w:rPr>
      <w:fldChar w:fldCharType="begin"/>
    </w:r>
    <w:r w:rsidR="00C364EE" w:rsidRPr="00C23A97">
      <w:rPr>
        <w:rStyle w:val="Numrodepage"/>
        <w:rFonts w:ascii="Arial" w:hAnsi="Arial" w:cs="Arial"/>
        <w:sz w:val="20"/>
      </w:rPr>
      <w:instrText xml:space="preserve"> PAGE </w:instrText>
    </w:r>
    <w:r w:rsidR="00C364EE" w:rsidRPr="00C23A97">
      <w:rPr>
        <w:rStyle w:val="Numrodepage"/>
        <w:rFonts w:ascii="Arial" w:hAnsi="Arial" w:cs="Arial"/>
        <w:sz w:val="20"/>
      </w:rPr>
      <w:fldChar w:fldCharType="separate"/>
    </w:r>
    <w:r w:rsidR="00C364EE">
      <w:rPr>
        <w:rStyle w:val="Numrodepage"/>
        <w:rFonts w:ascii="Arial" w:hAnsi="Arial" w:cs="Arial"/>
        <w:sz w:val="20"/>
      </w:rPr>
      <w:t>2</w:t>
    </w:r>
    <w:r w:rsidR="00C364EE" w:rsidRPr="00C23A97">
      <w:rPr>
        <w:rStyle w:val="Numrodepage"/>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547B5040" w:rsidR="00C364EE" w:rsidRPr="0063300C" w:rsidRDefault="000A401D" w:rsidP="00C5776D">
    <w:pPr>
      <w:pStyle w:val="En-tte"/>
      <w:jc w:val="right"/>
      <w:rPr>
        <w:rFonts w:ascii="Arial" w:hAnsi="Arial" w:cs="Arial"/>
      </w:rPr>
    </w:pPr>
    <w:r>
      <w:rPr>
        <w:rFonts w:ascii="Arial" w:hAnsi="Arial"/>
        <w:sz w:val="20"/>
      </w:rPr>
      <w:t xml:space="preserve">LHE/22/5.EXT.COM/4 – page </w:t>
    </w:r>
    <w:r w:rsidR="00C364EE" w:rsidRPr="0063300C">
      <w:rPr>
        <w:rStyle w:val="Numrodepage"/>
        <w:rFonts w:ascii="Arial" w:hAnsi="Arial" w:cs="Arial"/>
        <w:sz w:val="20"/>
      </w:rPr>
      <w:fldChar w:fldCharType="begin"/>
    </w:r>
    <w:r w:rsidR="00C364EE" w:rsidRPr="0063300C">
      <w:rPr>
        <w:rStyle w:val="Numrodepage"/>
        <w:rFonts w:ascii="Arial" w:hAnsi="Arial" w:cs="Arial"/>
        <w:sz w:val="20"/>
      </w:rPr>
      <w:instrText xml:space="preserve"> PAGE </w:instrText>
    </w:r>
    <w:r w:rsidR="00C364EE" w:rsidRPr="0063300C">
      <w:rPr>
        <w:rStyle w:val="Numrodepage"/>
        <w:rFonts w:ascii="Arial" w:hAnsi="Arial" w:cs="Arial"/>
        <w:sz w:val="20"/>
      </w:rPr>
      <w:fldChar w:fldCharType="separate"/>
    </w:r>
    <w:r w:rsidR="00C364EE">
      <w:rPr>
        <w:rStyle w:val="Numrodepage"/>
        <w:rFonts w:ascii="Arial" w:hAnsi="Arial" w:cs="Arial"/>
        <w:sz w:val="20"/>
      </w:rPr>
      <w:t>3</w:t>
    </w:r>
    <w:r w:rsidR="00C364EE" w:rsidRPr="0063300C">
      <w:rPr>
        <w:rStyle w:val="Numrodepage"/>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46C3" w14:textId="0D398744" w:rsidR="00C364EE" w:rsidRPr="00DE5604" w:rsidRDefault="002115B7" w:rsidP="009A01C7">
    <w:pPr>
      <w:pStyle w:val="En-tte"/>
      <w:rPr>
        <w:sz w:val="22"/>
        <w:szCs w:val="22"/>
      </w:rPr>
    </w:pPr>
    <w:r w:rsidRPr="00DE5604">
      <w:rPr>
        <w:rFonts w:ascii="Arial" w:hAnsi="Arial" w:cs="Arial"/>
        <w:b/>
        <w:noProof/>
        <w:sz w:val="44"/>
        <w:szCs w:val="44"/>
        <w:lang w:val="pt-PT"/>
      </w:rPr>
      <w:drawing>
        <wp:anchor distT="0" distB="0" distL="114300" distR="114300" simplePos="0" relativeHeight="251659264" behindDoc="1" locked="0" layoutInCell="1" allowOverlap="1" wp14:anchorId="7306F852" wp14:editId="479E9C15">
          <wp:simplePos x="0" y="0"/>
          <wp:positionH relativeFrom="column">
            <wp:posOffset>0</wp:posOffset>
          </wp:positionH>
          <wp:positionV relativeFrom="paragraph">
            <wp:posOffset>0</wp:posOffset>
          </wp:positionV>
          <wp:extent cx="1657350" cy="1391920"/>
          <wp:effectExtent l="0" t="0" r="0" b="0"/>
          <wp:wrapNone/>
          <wp:docPr id="5" name="Imag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anchor>
      </w:drawing>
    </w:r>
  </w:p>
  <w:p w14:paraId="55F78F37" w14:textId="1B5AFC71" w:rsidR="00C364EE" w:rsidRPr="00DE5604" w:rsidRDefault="000B7698" w:rsidP="009A01C7">
    <w:pPr>
      <w:pStyle w:val="En-tte"/>
      <w:spacing w:after="520"/>
      <w:jc w:val="right"/>
      <w:rPr>
        <w:rFonts w:ascii="Arial" w:hAnsi="Arial" w:cs="Arial"/>
        <w:b/>
        <w:sz w:val="44"/>
        <w:szCs w:val="44"/>
        <w:lang w:val="pt-BR"/>
      </w:rPr>
    </w:pPr>
    <w:r w:rsidRPr="00DE5604">
      <w:rPr>
        <w:rFonts w:ascii="Arial" w:hAnsi="Arial"/>
        <w:b/>
        <w:sz w:val="44"/>
        <w:lang w:val="pt-BR"/>
      </w:rPr>
      <w:t>5 EXT COM</w:t>
    </w:r>
  </w:p>
  <w:p w14:paraId="153E0BCC" w14:textId="5765C379" w:rsidR="00C364EE" w:rsidRPr="00DE5604" w:rsidRDefault="00C364EE" w:rsidP="009A01C7">
    <w:pPr>
      <w:jc w:val="right"/>
      <w:rPr>
        <w:rFonts w:ascii="Arial" w:hAnsi="Arial" w:cs="Arial"/>
        <w:b/>
        <w:sz w:val="22"/>
        <w:szCs w:val="22"/>
        <w:lang w:val="pt-BR"/>
      </w:rPr>
    </w:pPr>
    <w:r w:rsidRPr="00DE5604">
      <w:rPr>
        <w:rFonts w:ascii="Arial" w:hAnsi="Arial"/>
        <w:b/>
        <w:sz w:val="22"/>
        <w:lang w:val="pt-BR"/>
      </w:rPr>
      <w:t>LHE/22/5.EXT.COM/4</w:t>
    </w:r>
  </w:p>
  <w:p w14:paraId="08574A49" w14:textId="78989A30" w:rsidR="00C364EE" w:rsidRPr="00DE5604" w:rsidRDefault="00C364EE" w:rsidP="009A01C7">
    <w:pPr>
      <w:jc w:val="right"/>
      <w:rPr>
        <w:rFonts w:ascii="Arial" w:eastAsiaTheme="minorEastAsia" w:hAnsi="Arial" w:cs="Arial"/>
        <w:b/>
        <w:sz w:val="22"/>
        <w:szCs w:val="22"/>
      </w:rPr>
    </w:pPr>
    <w:r w:rsidRPr="00DE5604">
      <w:rPr>
        <w:rFonts w:ascii="Arial" w:hAnsi="Arial"/>
        <w:b/>
        <w:sz w:val="22"/>
      </w:rPr>
      <w:t xml:space="preserve">Paris, le </w:t>
    </w:r>
    <w:r w:rsidR="003A502D" w:rsidRPr="00DE5604">
      <w:rPr>
        <w:rFonts w:ascii="Arial" w:hAnsi="Arial"/>
        <w:b/>
        <w:sz w:val="22"/>
      </w:rPr>
      <w:t xml:space="preserve">21 </w:t>
    </w:r>
    <w:r w:rsidRPr="00DE5604">
      <w:rPr>
        <w:rFonts w:ascii="Arial" w:hAnsi="Arial"/>
        <w:b/>
        <w:sz w:val="22"/>
      </w:rPr>
      <w:t>juin 2022</w:t>
    </w:r>
  </w:p>
  <w:p w14:paraId="17C97657" w14:textId="11600E4A" w:rsidR="00C364EE" w:rsidRPr="00F32C23" w:rsidRDefault="00C364EE" w:rsidP="009A01C7">
    <w:pPr>
      <w:spacing w:after="120"/>
      <w:jc w:val="right"/>
      <w:rPr>
        <w:rFonts w:ascii="Arial" w:hAnsi="Arial" w:cs="Arial"/>
        <w:b/>
        <w:sz w:val="22"/>
        <w:szCs w:val="22"/>
      </w:rPr>
    </w:pPr>
    <w:r w:rsidRPr="00DE5604">
      <w:rPr>
        <w:rFonts w:ascii="Arial" w:hAnsi="Arial"/>
        <w:b/>
        <w:sz w:val="22"/>
      </w:rPr>
      <w:t xml:space="preserve">Original : </w:t>
    </w:r>
    <w:r w:rsidR="003A502D" w:rsidRPr="00DE5604">
      <w:rPr>
        <w:rFonts w:ascii="Arial" w:hAnsi="Arial"/>
        <w:b/>
        <w:sz w:val="22"/>
      </w:rPr>
      <w:t>a</w:t>
    </w:r>
    <w:r w:rsidRPr="00DE5604">
      <w:rPr>
        <w:rFonts w:ascii="Arial" w:hAnsi="Arial"/>
        <w:b/>
        <w:sz w:val="22"/>
      </w:rPr>
      <w:t>nglais</w:t>
    </w:r>
  </w:p>
  <w:p w14:paraId="5D2FBCB6" w14:textId="77777777" w:rsidR="00C364EE" w:rsidRPr="003A502D" w:rsidRDefault="00C364E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6B9B"/>
    <w:multiLevelType w:val="hybridMultilevel"/>
    <w:tmpl w:val="7B5260C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hint="default"/>
      </w:rPr>
    </w:lvl>
    <w:lvl w:ilvl="2" w:tplc="19A2B23E">
      <w:numFmt w:val="bullet"/>
      <w:lvlText w:val="-"/>
      <w:lvlJc w:val="left"/>
      <w:pPr>
        <w:ind w:left="2340" w:hanging="360"/>
      </w:pPr>
      <w:rPr>
        <w:rFonts w:ascii="Arial" w:eastAsia="Times New Roman" w:hAnsi="Arial" w:cs="Aria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232DE9"/>
    <w:multiLevelType w:val="hybridMultilevel"/>
    <w:tmpl w:val="EEF85128"/>
    <w:lvl w:ilvl="0" w:tplc="E0B4D2F2">
      <w:start w:val="1"/>
      <w:numFmt w:val="lowerLetter"/>
      <w:lvlText w:val="(%1)"/>
      <w:lvlJc w:val="left"/>
      <w:pPr>
        <w:ind w:left="720" w:hanging="360"/>
      </w:pPr>
      <w:rPr>
        <w:rFonts w:asciiTheme="minorHAnsi" w:hAnsiTheme="minorHAnsi" w:cstheme="minorHAnsi"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E0BB0"/>
    <w:multiLevelType w:val="hybridMultilevel"/>
    <w:tmpl w:val="FB521B56"/>
    <w:lvl w:ilvl="0" w:tplc="B37668E2">
      <w:start w:val="35"/>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2333FB"/>
    <w:multiLevelType w:val="hybridMultilevel"/>
    <w:tmpl w:val="4348B200"/>
    <w:lvl w:ilvl="0" w:tplc="4462BA06">
      <w:start w:val="1"/>
      <w:numFmt w:val="lowerLetter"/>
      <w:lvlText w:val="(%1)"/>
      <w:lvlJc w:val="left"/>
      <w:pPr>
        <w:ind w:left="720"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B069E8"/>
    <w:multiLevelType w:val="hybridMultilevel"/>
    <w:tmpl w:val="44DAD8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F532D6"/>
    <w:multiLevelType w:val="hybridMultilevel"/>
    <w:tmpl w:val="0F1E4B28"/>
    <w:lvl w:ilvl="0" w:tplc="334E9284">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A7950"/>
    <w:multiLevelType w:val="hybridMultilevel"/>
    <w:tmpl w:val="1AC44C7C"/>
    <w:lvl w:ilvl="0" w:tplc="9754F78A">
      <w:start w:val="1"/>
      <w:numFmt w:val="lowerLetter"/>
      <w:lvlText w:val="(%1)"/>
      <w:lvlJc w:val="left"/>
      <w:pPr>
        <w:ind w:left="927" w:hanging="360"/>
      </w:pPr>
      <w:rPr>
        <w:rFonts w:ascii="Arial" w:hAnsi="Arial" w:cs="Arial"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9304C7F"/>
    <w:multiLevelType w:val="hybridMultilevel"/>
    <w:tmpl w:val="C5C6E42E"/>
    <w:lvl w:ilvl="0" w:tplc="FB023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F07BFE"/>
    <w:multiLevelType w:val="hybridMultilevel"/>
    <w:tmpl w:val="8FC2AFB4"/>
    <w:lvl w:ilvl="0" w:tplc="1264F5A8">
      <w:start w:val="1"/>
      <w:numFmt w:val="decimal"/>
      <w:pStyle w:val="COMPara"/>
      <w:lvlText w:val="%1."/>
      <w:lvlJc w:val="left"/>
      <w:pPr>
        <w:ind w:left="720" w:hanging="360"/>
      </w:pPr>
      <w:rPr>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6E02F0"/>
    <w:multiLevelType w:val="hybridMultilevel"/>
    <w:tmpl w:val="B52608A0"/>
    <w:lvl w:ilvl="0" w:tplc="FB023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7A4DB1"/>
    <w:multiLevelType w:val="hybridMultilevel"/>
    <w:tmpl w:val="B6F68160"/>
    <w:lvl w:ilvl="0" w:tplc="D16C91AC">
      <w:start w:val="1"/>
      <w:numFmt w:val="decimal"/>
      <w:pStyle w:val="COMParaDecision"/>
      <w:lvlText w:val="%1."/>
      <w:lvlJc w:val="left"/>
      <w:pPr>
        <w:ind w:left="1287" w:hanging="360"/>
      </w:pPr>
      <w:rPr>
        <w:b w:val="0"/>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C024A97"/>
    <w:multiLevelType w:val="hybridMultilevel"/>
    <w:tmpl w:val="2640B514"/>
    <w:lvl w:ilvl="0" w:tplc="5E3ED29E">
      <w:start w:val="1"/>
      <w:numFmt w:val="lowerRoman"/>
      <w:lvlText w:val="(%1)"/>
      <w:lvlJc w:val="left"/>
      <w:pPr>
        <w:ind w:left="1440" w:hanging="360"/>
      </w:pPr>
      <w:rPr>
        <w:rFonts w:asciiTheme="minorHAnsi" w:eastAsia="Calibri" w:hAnsiTheme="minorHAnsi" w:cs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A7325"/>
    <w:multiLevelType w:val="hybridMultilevel"/>
    <w:tmpl w:val="6B8A1466"/>
    <w:lvl w:ilvl="0" w:tplc="BE229084">
      <w:start w:val="6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FA96642"/>
    <w:multiLevelType w:val="hybridMultilevel"/>
    <w:tmpl w:val="B298E760"/>
    <w:lvl w:ilvl="0" w:tplc="D0E46A06">
      <w:start w:val="1"/>
      <w:numFmt w:val="lowerLetter"/>
      <w:lvlText w:val="(%1)"/>
      <w:lvlJc w:val="left"/>
      <w:pPr>
        <w:ind w:left="36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F0075"/>
    <w:multiLevelType w:val="hybridMultilevel"/>
    <w:tmpl w:val="7CFC2D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514D6D"/>
    <w:multiLevelType w:val="hybridMultilevel"/>
    <w:tmpl w:val="C2D26E4C"/>
    <w:lvl w:ilvl="0" w:tplc="F9C23246">
      <w:start w:val="1"/>
      <w:numFmt w:val="lowerLetter"/>
      <w:lvlText w:val="(%1)"/>
      <w:lvlJc w:val="left"/>
      <w:pPr>
        <w:ind w:left="720" w:hanging="360"/>
      </w:pPr>
      <w:rPr>
        <w:rFonts w:asciiTheme="minorBidi" w:eastAsia="Calibri" w:hAnsiTheme="minorBidi" w:cstheme="minorBidi" w:hint="default"/>
        <w:strike w:val="0"/>
        <w:color w:val="231F20"/>
        <w:w w:val="90"/>
        <w:sz w:val="22"/>
        <w:szCs w:val="22"/>
      </w:rPr>
    </w:lvl>
    <w:lvl w:ilvl="1" w:tplc="334E9284">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124311"/>
    <w:multiLevelType w:val="hybridMultilevel"/>
    <w:tmpl w:val="3B5CAFB2"/>
    <w:lvl w:ilvl="0" w:tplc="DB8E86E6">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9DB205D"/>
    <w:multiLevelType w:val="hybridMultilevel"/>
    <w:tmpl w:val="6B8A1466"/>
    <w:lvl w:ilvl="0" w:tplc="BE229084">
      <w:start w:val="6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7B1107"/>
    <w:multiLevelType w:val="hybridMultilevel"/>
    <w:tmpl w:val="8CB6C26E"/>
    <w:lvl w:ilvl="0" w:tplc="87DEB68C">
      <w:start w:val="1"/>
      <w:numFmt w:val="decimal"/>
      <w:lvlText w:val="%1."/>
      <w:lvlJc w:val="left"/>
      <w:pPr>
        <w:ind w:left="9776" w:hanging="420"/>
      </w:pPr>
      <w:rPr>
        <w:rFonts w:asciiTheme="minorBidi" w:hAnsiTheme="minorBidi" w:cstheme="minorBidi" w:hint="default"/>
        <w:i w:val="0"/>
        <w:iCs w:val="0"/>
      </w:rPr>
    </w:lvl>
    <w:lvl w:ilvl="1" w:tplc="D0E46A0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4B76A7"/>
    <w:multiLevelType w:val="hybridMultilevel"/>
    <w:tmpl w:val="46B4FA70"/>
    <w:lvl w:ilvl="0" w:tplc="040C0019">
      <w:start w:val="1"/>
      <w:numFmt w:val="lowerLetter"/>
      <w:lvlText w:val="%1."/>
      <w:lvlJc w:val="left"/>
      <w:pPr>
        <w:ind w:left="1281" w:hanging="360"/>
      </w:pPr>
    </w:lvl>
    <w:lvl w:ilvl="1" w:tplc="040C0019" w:tentative="1">
      <w:start w:val="1"/>
      <w:numFmt w:val="lowerLetter"/>
      <w:lvlText w:val="%2."/>
      <w:lvlJc w:val="left"/>
      <w:pPr>
        <w:ind w:left="2001" w:hanging="360"/>
      </w:pPr>
    </w:lvl>
    <w:lvl w:ilvl="2" w:tplc="040C001B" w:tentative="1">
      <w:start w:val="1"/>
      <w:numFmt w:val="lowerRoman"/>
      <w:lvlText w:val="%3."/>
      <w:lvlJc w:val="right"/>
      <w:pPr>
        <w:ind w:left="2721" w:hanging="180"/>
      </w:pPr>
    </w:lvl>
    <w:lvl w:ilvl="3" w:tplc="040C000F" w:tentative="1">
      <w:start w:val="1"/>
      <w:numFmt w:val="decimal"/>
      <w:lvlText w:val="%4."/>
      <w:lvlJc w:val="left"/>
      <w:pPr>
        <w:ind w:left="3441" w:hanging="360"/>
      </w:pPr>
    </w:lvl>
    <w:lvl w:ilvl="4" w:tplc="040C0019" w:tentative="1">
      <w:start w:val="1"/>
      <w:numFmt w:val="lowerLetter"/>
      <w:lvlText w:val="%5."/>
      <w:lvlJc w:val="left"/>
      <w:pPr>
        <w:ind w:left="4161" w:hanging="360"/>
      </w:pPr>
    </w:lvl>
    <w:lvl w:ilvl="5" w:tplc="040C001B" w:tentative="1">
      <w:start w:val="1"/>
      <w:numFmt w:val="lowerRoman"/>
      <w:lvlText w:val="%6."/>
      <w:lvlJc w:val="right"/>
      <w:pPr>
        <w:ind w:left="4881" w:hanging="180"/>
      </w:pPr>
    </w:lvl>
    <w:lvl w:ilvl="6" w:tplc="040C000F" w:tentative="1">
      <w:start w:val="1"/>
      <w:numFmt w:val="decimal"/>
      <w:lvlText w:val="%7."/>
      <w:lvlJc w:val="left"/>
      <w:pPr>
        <w:ind w:left="5601" w:hanging="360"/>
      </w:pPr>
    </w:lvl>
    <w:lvl w:ilvl="7" w:tplc="040C0019" w:tentative="1">
      <w:start w:val="1"/>
      <w:numFmt w:val="lowerLetter"/>
      <w:lvlText w:val="%8."/>
      <w:lvlJc w:val="left"/>
      <w:pPr>
        <w:ind w:left="6321" w:hanging="360"/>
      </w:pPr>
    </w:lvl>
    <w:lvl w:ilvl="8" w:tplc="040C001B" w:tentative="1">
      <w:start w:val="1"/>
      <w:numFmt w:val="lowerRoman"/>
      <w:lvlText w:val="%9."/>
      <w:lvlJc w:val="right"/>
      <w:pPr>
        <w:ind w:left="7041" w:hanging="180"/>
      </w:pPr>
    </w:lvl>
  </w:abstractNum>
  <w:abstractNum w:abstractNumId="22" w15:restartNumberingAfterBreak="0">
    <w:nsid w:val="586A1DB7"/>
    <w:multiLevelType w:val="hybridMultilevel"/>
    <w:tmpl w:val="AF9CA862"/>
    <w:lvl w:ilvl="0" w:tplc="DB80532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CE6304E"/>
    <w:multiLevelType w:val="hybridMultilevel"/>
    <w:tmpl w:val="B298E760"/>
    <w:lvl w:ilvl="0" w:tplc="D0E46A06">
      <w:start w:val="1"/>
      <w:numFmt w:val="lowerLetter"/>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D4F4C"/>
    <w:multiLevelType w:val="hybridMultilevel"/>
    <w:tmpl w:val="A41A002E"/>
    <w:lvl w:ilvl="0" w:tplc="19A2B23E">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48D4684"/>
    <w:multiLevelType w:val="hybridMultilevel"/>
    <w:tmpl w:val="015C6232"/>
    <w:lvl w:ilvl="0" w:tplc="ADE84CF0">
      <w:start w:val="1"/>
      <w:numFmt w:val="decimal"/>
      <w:lvlText w:val="%1."/>
      <w:lvlJc w:val="left"/>
      <w:pPr>
        <w:ind w:left="720" w:hanging="360"/>
      </w:pPr>
      <w:rPr>
        <w:rFonts w:asciiTheme="minorBidi" w:hAnsiTheme="minorBidi" w:cstheme="minorBidi" w:hint="default"/>
        <w:b w:val="0"/>
        <w:bCs/>
      </w:rPr>
    </w:lvl>
    <w:lvl w:ilvl="1" w:tplc="78805A46">
      <w:start w:val="1"/>
      <w:numFmt w:val="lowerLetter"/>
      <w:lvlText w:val="%2."/>
      <w:lvlJc w:val="left"/>
      <w:pPr>
        <w:ind w:left="1620" w:hanging="54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6325825"/>
    <w:multiLevelType w:val="hybridMultilevel"/>
    <w:tmpl w:val="9FFCFB6E"/>
    <w:lvl w:ilvl="0" w:tplc="D0E46A0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B5905FF"/>
    <w:multiLevelType w:val="hybridMultilevel"/>
    <w:tmpl w:val="50F41EFA"/>
    <w:lvl w:ilvl="0" w:tplc="040C0001">
      <w:start w:val="1"/>
      <w:numFmt w:val="bullet"/>
      <w:lvlText w:val=""/>
      <w:lvlJc w:val="left"/>
      <w:pPr>
        <w:ind w:left="2001" w:hanging="360"/>
      </w:pPr>
      <w:rPr>
        <w:rFonts w:ascii="Symbol" w:hAnsi="Symbol" w:hint="default"/>
      </w:rPr>
    </w:lvl>
    <w:lvl w:ilvl="1" w:tplc="040C0003" w:tentative="1">
      <w:start w:val="1"/>
      <w:numFmt w:val="bullet"/>
      <w:lvlText w:val="o"/>
      <w:lvlJc w:val="left"/>
      <w:pPr>
        <w:ind w:left="2721" w:hanging="360"/>
      </w:pPr>
      <w:rPr>
        <w:rFonts w:ascii="Courier New" w:hAnsi="Courier New" w:cs="Courier New" w:hint="default"/>
      </w:rPr>
    </w:lvl>
    <w:lvl w:ilvl="2" w:tplc="040C0005" w:tentative="1">
      <w:start w:val="1"/>
      <w:numFmt w:val="bullet"/>
      <w:lvlText w:val=""/>
      <w:lvlJc w:val="left"/>
      <w:pPr>
        <w:ind w:left="3441" w:hanging="360"/>
      </w:pPr>
      <w:rPr>
        <w:rFonts w:ascii="Wingdings" w:hAnsi="Wingdings" w:hint="default"/>
      </w:rPr>
    </w:lvl>
    <w:lvl w:ilvl="3" w:tplc="040C0001" w:tentative="1">
      <w:start w:val="1"/>
      <w:numFmt w:val="bullet"/>
      <w:lvlText w:val=""/>
      <w:lvlJc w:val="left"/>
      <w:pPr>
        <w:ind w:left="4161" w:hanging="360"/>
      </w:pPr>
      <w:rPr>
        <w:rFonts w:ascii="Symbol" w:hAnsi="Symbol" w:hint="default"/>
      </w:rPr>
    </w:lvl>
    <w:lvl w:ilvl="4" w:tplc="040C0003" w:tentative="1">
      <w:start w:val="1"/>
      <w:numFmt w:val="bullet"/>
      <w:lvlText w:val="o"/>
      <w:lvlJc w:val="left"/>
      <w:pPr>
        <w:ind w:left="4881" w:hanging="360"/>
      </w:pPr>
      <w:rPr>
        <w:rFonts w:ascii="Courier New" w:hAnsi="Courier New" w:cs="Courier New" w:hint="default"/>
      </w:rPr>
    </w:lvl>
    <w:lvl w:ilvl="5" w:tplc="040C0005" w:tentative="1">
      <w:start w:val="1"/>
      <w:numFmt w:val="bullet"/>
      <w:lvlText w:val=""/>
      <w:lvlJc w:val="left"/>
      <w:pPr>
        <w:ind w:left="5601" w:hanging="360"/>
      </w:pPr>
      <w:rPr>
        <w:rFonts w:ascii="Wingdings" w:hAnsi="Wingdings" w:hint="default"/>
      </w:rPr>
    </w:lvl>
    <w:lvl w:ilvl="6" w:tplc="040C0001" w:tentative="1">
      <w:start w:val="1"/>
      <w:numFmt w:val="bullet"/>
      <w:lvlText w:val=""/>
      <w:lvlJc w:val="left"/>
      <w:pPr>
        <w:ind w:left="6321" w:hanging="360"/>
      </w:pPr>
      <w:rPr>
        <w:rFonts w:ascii="Symbol" w:hAnsi="Symbol" w:hint="default"/>
      </w:rPr>
    </w:lvl>
    <w:lvl w:ilvl="7" w:tplc="040C0003" w:tentative="1">
      <w:start w:val="1"/>
      <w:numFmt w:val="bullet"/>
      <w:lvlText w:val="o"/>
      <w:lvlJc w:val="left"/>
      <w:pPr>
        <w:ind w:left="7041" w:hanging="360"/>
      </w:pPr>
      <w:rPr>
        <w:rFonts w:ascii="Courier New" w:hAnsi="Courier New" w:cs="Courier New" w:hint="default"/>
      </w:rPr>
    </w:lvl>
    <w:lvl w:ilvl="8" w:tplc="040C0005" w:tentative="1">
      <w:start w:val="1"/>
      <w:numFmt w:val="bullet"/>
      <w:lvlText w:val=""/>
      <w:lvlJc w:val="left"/>
      <w:pPr>
        <w:ind w:left="7761" w:hanging="360"/>
      </w:pPr>
      <w:rPr>
        <w:rFonts w:ascii="Wingdings" w:hAnsi="Wingdings" w:hint="default"/>
      </w:rPr>
    </w:lvl>
  </w:abstractNum>
  <w:abstractNum w:abstractNumId="28" w15:restartNumberingAfterBreak="0">
    <w:nsid w:val="715E6638"/>
    <w:multiLevelType w:val="hybridMultilevel"/>
    <w:tmpl w:val="B298E760"/>
    <w:lvl w:ilvl="0" w:tplc="D0E46A06">
      <w:start w:val="1"/>
      <w:numFmt w:val="lowerLetter"/>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12"/>
  </w:num>
  <w:num w:numId="5">
    <w:abstractNumId w:val="0"/>
  </w:num>
  <w:num w:numId="6">
    <w:abstractNumId w:val="26"/>
  </w:num>
  <w:num w:numId="7">
    <w:abstractNumId w:val="4"/>
  </w:num>
  <w:num w:numId="8">
    <w:abstractNumId w:val="8"/>
  </w:num>
  <w:num w:numId="9">
    <w:abstractNumId w:val="10"/>
  </w:num>
  <w:num w:numId="10">
    <w:abstractNumId w:val="18"/>
  </w:num>
  <w:num w:numId="11">
    <w:abstractNumId w:val="3"/>
  </w:num>
  <w:num w:numId="12">
    <w:abstractNumId w:val="19"/>
  </w:num>
  <w:num w:numId="13">
    <w:abstractNumId w:val="20"/>
  </w:num>
  <w:num w:numId="14">
    <w:abstractNumId w:val="9"/>
  </w:num>
  <w:num w:numId="15">
    <w:abstractNumId w:val="25"/>
  </w:num>
  <w:num w:numId="16">
    <w:abstractNumId w:val="7"/>
  </w:num>
  <w:num w:numId="17">
    <w:abstractNumId w:val="9"/>
  </w:num>
  <w:num w:numId="18">
    <w:abstractNumId w:val="9"/>
  </w:num>
  <w:num w:numId="19">
    <w:abstractNumId w:val="9"/>
  </w:num>
  <w:num w:numId="20">
    <w:abstractNumId w:val="9"/>
  </w:num>
  <w:num w:numId="21">
    <w:abstractNumId w:val="2"/>
  </w:num>
  <w:num w:numId="22">
    <w:abstractNumId w:val="15"/>
  </w:num>
  <w:num w:numId="23">
    <w:abstractNumId w:val="17"/>
  </w:num>
  <w:num w:numId="24">
    <w:abstractNumId w:val="16"/>
  </w:num>
  <w:num w:numId="25">
    <w:abstractNumId w:val="5"/>
  </w:num>
  <w:num w:numId="26">
    <w:abstractNumId w:val="6"/>
  </w:num>
  <w:num w:numId="27">
    <w:abstractNumId w:val="28"/>
  </w:num>
  <w:num w:numId="28">
    <w:abstractNumId w:val="13"/>
  </w:num>
  <w:num w:numId="29">
    <w:abstractNumId w:val="23"/>
  </w:num>
  <w:num w:numId="30">
    <w:abstractNumId w:val="14"/>
  </w:num>
  <w:num w:numId="31">
    <w:abstractNumId w:val="21"/>
  </w:num>
  <w:num w:numId="32">
    <w:abstractNumId w:val="27"/>
  </w:num>
  <w:num w:numId="33">
    <w:abstractNumId w:val="9"/>
  </w:num>
  <w:num w:numId="34">
    <w:abstractNumId w:val="9"/>
  </w:num>
  <w:num w:numId="35">
    <w:abstractNumId w:val="9"/>
  </w:num>
  <w:num w:numId="36">
    <w:abstractNumId w:val="9"/>
  </w:num>
  <w:num w:numId="37">
    <w:abstractNumId w:val="22"/>
  </w:num>
  <w:num w:numId="38">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0C80"/>
    <w:rsid w:val="000048ED"/>
    <w:rsid w:val="00007501"/>
    <w:rsid w:val="00012CAD"/>
    <w:rsid w:val="00014915"/>
    <w:rsid w:val="00014FAB"/>
    <w:rsid w:val="00015A7D"/>
    <w:rsid w:val="00024032"/>
    <w:rsid w:val="00024653"/>
    <w:rsid w:val="00026F00"/>
    <w:rsid w:val="000342E6"/>
    <w:rsid w:val="000401DF"/>
    <w:rsid w:val="00040C6B"/>
    <w:rsid w:val="00041A66"/>
    <w:rsid w:val="00042D88"/>
    <w:rsid w:val="00044055"/>
    <w:rsid w:val="0004507A"/>
    <w:rsid w:val="0005176E"/>
    <w:rsid w:val="0005475C"/>
    <w:rsid w:val="00056F6D"/>
    <w:rsid w:val="00060B7E"/>
    <w:rsid w:val="000644DA"/>
    <w:rsid w:val="00071F68"/>
    <w:rsid w:val="000765F7"/>
    <w:rsid w:val="00077AB7"/>
    <w:rsid w:val="00081CD8"/>
    <w:rsid w:val="00083993"/>
    <w:rsid w:val="000A1290"/>
    <w:rsid w:val="000A33A5"/>
    <w:rsid w:val="000A401D"/>
    <w:rsid w:val="000A553D"/>
    <w:rsid w:val="000A683E"/>
    <w:rsid w:val="000A7F0E"/>
    <w:rsid w:val="000B12B3"/>
    <w:rsid w:val="000B1C8F"/>
    <w:rsid w:val="000B4033"/>
    <w:rsid w:val="000B7698"/>
    <w:rsid w:val="000C05EE"/>
    <w:rsid w:val="000C0D61"/>
    <w:rsid w:val="000C29A5"/>
    <w:rsid w:val="000C52F1"/>
    <w:rsid w:val="000D31C3"/>
    <w:rsid w:val="000D4F96"/>
    <w:rsid w:val="000E0F9B"/>
    <w:rsid w:val="000E174D"/>
    <w:rsid w:val="000E2243"/>
    <w:rsid w:val="000F1B4A"/>
    <w:rsid w:val="000F3A3F"/>
    <w:rsid w:val="000F6AB5"/>
    <w:rsid w:val="000F7D8F"/>
    <w:rsid w:val="001021F9"/>
    <w:rsid w:val="00102557"/>
    <w:rsid w:val="00106A6B"/>
    <w:rsid w:val="00107799"/>
    <w:rsid w:val="00110DB1"/>
    <w:rsid w:val="0011409A"/>
    <w:rsid w:val="00120E8F"/>
    <w:rsid w:val="00123C96"/>
    <w:rsid w:val="0012563D"/>
    <w:rsid w:val="001301CD"/>
    <w:rsid w:val="00131B15"/>
    <w:rsid w:val="00132528"/>
    <w:rsid w:val="001360AF"/>
    <w:rsid w:val="00136F04"/>
    <w:rsid w:val="0013743B"/>
    <w:rsid w:val="001402CD"/>
    <w:rsid w:val="00140598"/>
    <w:rsid w:val="00144BE5"/>
    <w:rsid w:val="00153382"/>
    <w:rsid w:val="00153D11"/>
    <w:rsid w:val="001605E5"/>
    <w:rsid w:val="00164D56"/>
    <w:rsid w:val="00165AA0"/>
    <w:rsid w:val="00165AFF"/>
    <w:rsid w:val="00165E0D"/>
    <w:rsid w:val="0016619B"/>
    <w:rsid w:val="001670CB"/>
    <w:rsid w:val="00167B10"/>
    <w:rsid w:val="0017402F"/>
    <w:rsid w:val="001745F2"/>
    <w:rsid w:val="00176250"/>
    <w:rsid w:val="00180776"/>
    <w:rsid w:val="00180D74"/>
    <w:rsid w:val="001829F7"/>
    <w:rsid w:val="00185B32"/>
    <w:rsid w:val="00187928"/>
    <w:rsid w:val="00190205"/>
    <w:rsid w:val="001912D7"/>
    <w:rsid w:val="00191468"/>
    <w:rsid w:val="00193D0D"/>
    <w:rsid w:val="00194FBB"/>
    <w:rsid w:val="0019657C"/>
    <w:rsid w:val="00196C1B"/>
    <w:rsid w:val="00197DB1"/>
    <w:rsid w:val="001A66A3"/>
    <w:rsid w:val="001B0F73"/>
    <w:rsid w:val="001B5D7D"/>
    <w:rsid w:val="001C2DB7"/>
    <w:rsid w:val="001C4E0E"/>
    <w:rsid w:val="001C614A"/>
    <w:rsid w:val="001C6F9E"/>
    <w:rsid w:val="001D0EC1"/>
    <w:rsid w:val="001D14FE"/>
    <w:rsid w:val="001D4738"/>
    <w:rsid w:val="001D5C04"/>
    <w:rsid w:val="001D608F"/>
    <w:rsid w:val="001E070C"/>
    <w:rsid w:val="001E4A1B"/>
    <w:rsid w:val="001E546F"/>
    <w:rsid w:val="001F26CF"/>
    <w:rsid w:val="001F4E1A"/>
    <w:rsid w:val="001F6DE2"/>
    <w:rsid w:val="0020719D"/>
    <w:rsid w:val="00210797"/>
    <w:rsid w:val="002115B7"/>
    <w:rsid w:val="00213D66"/>
    <w:rsid w:val="002155B1"/>
    <w:rsid w:val="002165F9"/>
    <w:rsid w:val="00217634"/>
    <w:rsid w:val="00221329"/>
    <w:rsid w:val="00222A2D"/>
    <w:rsid w:val="00223029"/>
    <w:rsid w:val="00223441"/>
    <w:rsid w:val="00223F9A"/>
    <w:rsid w:val="00226C57"/>
    <w:rsid w:val="00232681"/>
    <w:rsid w:val="00234745"/>
    <w:rsid w:val="002351A6"/>
    <w:rsid w:val="00237DDA"/>
    <w:rsid w:val="002401BC"/>
    <w:rsid w:val="002407AF"/>
    <w:rsid w:val="002412BB"/>
    <w:rsid w:val="00245363"/>
    <w:rsid w:val="00246BD1"/>
    <w:rsid w:val="00255D57"/>
    <w:rsid w:val="00256848"/>
    <w:rsid w:val="00256AF6"/>
    <w:rsid w:val="0025736A"/>
    <w:rsid w:val="0026649B"/>
    <w:rsid w:val="0027466B"/>
    <w:rsid w:val="0028024A"/>
    <w:rsid w:val="00280AE3"/>
    <w:rsid w:val="00280BB2"/>
    <w:rsid w:val="002838A5"/>
    <w:rsid w:val="00285BB4"/>
    <w:rsid w:val="0028608E"/>
    <w:rsid w:val="002877B9"/>
    <w:rsid w:val="00291D77"/>
    <w:rsid w:val="00292106"/>
    <w:rsid w:val="00296C72"/>
    <w:rsid w:val="002970C1"/>
    <w:rsid w:val="002A099E"/>
    <w:rsid w:val="002A164E"/>
    <w:rsid w:val="002A3B1E"/>
    <w:rsid w:val="002A4450"/>
    <w:rsid w:val="002A71C7"/>
    <w:rsid w:val="002B2938"/>
    <w:rsid w:val="002B56E1"/>
    <w:rsid w:val="002B7E0F"/>
    <w:rsid w:val="002C09E3"/>
    <w:rsid w:val="002C164E"/>
    <w:rsid w:val="002C5CB2"/>
    <w:rsid w:val="002C66B1"/>
    <w:rsid w:val="002D1244"/>
    <w:rsid w:val="002D2DA3"/>
    <w:rsid w:val="002D59C6"/>
    <w:rsid w:val="002E0722"/>
    <w:rsid w:val="002E33D6"/>
    <w:rsid w:val="002E4CE5"/>
    <w:rsid w:val="002F0FFA"/>
    <w:rsid w:val="002F3726"/>
    <w:rsid w:val="002F5912"/>
    <w:rsid w:val="002F5D55"/>
    <w:rsid w:val="002F6B72"/>
    <w:rsid w:val="00302163"/>
    <w:rsid w:val="00306DB0"/>
    <w:rsid w:val="003076A9"/>
    <w:rsid w:val="00313749"/>
    <w:rsid w:val="00322094"/>
    <w:rsid w:val="0032544F"/>
    <w:rsid w:val="00325ACD"/>
    <w:rsid w:val="00325CA0"/>
    <w:rsid w:val="0032768B"/>
    <w:rsid w:val="003306C8"/>
    <w:rsid w:val="003328DD"/>
    <w:rsid w:val="0033577D"/>
    <w:rsid w:val="00336EEF"/>
    <w:rsid w:val="00336F11"/>
    <w:rsid w:val="00337CEB"/>
    <w:rsid w:val="00344B58"/>
    <w:rsid w:val="00344E3D"/>
    <w:rsid w:val="0034539A"/>
    <w:rsid w:val="00345CB4"/>
    <w:rsid w:val="0035146B"/>
    <w:rsid w:val="0035417E"/>
    <w:rsid w:val="00356AF8"/>
    <w:rsid w:val="00362D95"/>
    <w:rsid w:val="0036613F"/>
    <w:rsid w:val="00367D2C"/>
    <w:rsid w:val="00375258"/>
    <w:rsid w:val="00375D42"/>
    <w:rsid w:val="00376BFE"/>
    <w:rsid w:val="00377537"/>
    <w:rsid w:val="00377909"/>
    <w:rsid w:val="003839F9"/>
    <w:rsid w:val="003860A9"/>
    <w:rsid w:val="00387BB5"/>
    <w:rsid w:val="00390236"/>
    <w:rsid w:val="00390D33"/>
    <w:rsid w:val="00391EFA"/>
    <w:rsid w:val="00395BEE"/>
    <w:rsid w:val="003963D9"/>
    <w:rsid w:val="003A011E"/>
    <w:rsid w:val="003A1384"/>
    <w:rsid w:val="003A37F4"/>
    <w:rsid w:val="003A3A7B"/>
    <w:rsid w:val="003A3FB8"/>
    <w:rsid w:val="003A43BC"/>
    <w:rsid w:val="003A4530"/>
    <w:rsid w:val="003A502D"/>
    <w:rsid w:val="003A54CE"/>
    <w:rsid w:val="003B2E6D"/>
    <w:rsid w:val="003C0767"/>
    <w:rsid w:val="003C0EBA"/>
    <w:rsid w:val="003C5C9D"/>
    <w:rsid w:val="003C662C"/>
    <w:rsid w:val="003C6994"/>
    <w:rsid w:val="003D069C"/>
    <w:rsid w:val="003D0A01"/>
    <w:rsid w:val="003D3C3C"/>
    <w:rsid w:val="003D7646"/>
    <w:rsid w:val="003E0E9E"/>
    <w:rsid w:val="003F05E6"/>
    <w:rsid w:val="003F113A"/>
    <w:rsid w:val="003F146E"/>
    <w:rsid w:val="003F155F"/>
    <w:rsid w:val="003F25A7"/>
    <w:rsid w:val="003F37C9"/>
    <w:rsid w:val="003F3E63"/>
    <w:rsid w:val="003F4E2F"/>
    <w:rsid w:val="0040458E"/>
    <w:rsid w:val="00407480"/>
    <w:rsid w:val="00407956"/>
    <w:rsid w:val="00407FAD"/>
    <w:rsid w:val="00414643"/>
    <w:rsid w:val="00415E3C"/>
    <w:rsid w:val="0042101C"/>
    <w:rsid w:val="004235C6"/>
    <w:rsid w:val="0043006B"/>
    <w:rsid w:val="00432D91"/>
    <w:rsid w:val="00433C45"/>
    <w:rsid w:val="00435BAF"/>
    <w:rsid w:val="00440E08"/>
    <w:rsid w:val="004421E5"/>
    <w:rsid w:val="00443F0B"/>
    <w:rsid w:val="0044698A"/>
    <w:rsid w:val="00447754"/>
    <w:rsid w:val="00452284"/>
    <w:rsid w:val="00455662"/>
    <w:rsid w:val="00457C8E"/>
    <w:rsid w:val="004614DA"/>
    <w:rsid w:val="00462118"/>
    <w:rsid w:val="00465735"/>
    <w:rsid w:val="0046577F"/>
    <w:rsid w:val="00471F7E"/>
    <w:rsid w:val="00475D83"/>
    <w:rsid w:val="004768AB"/>
    <w:rsid w:val="00477E37"/>
    <w:rsid w:val="004807FA"/>
    <w:rsid w:val="004813C2"/>
    <w:rsid w:val="004835AA"/>
    <w:rsid w:val="004856CA"/>
    <w:rsid w:val="00487585"/>
    <w:rsid w:val="00487E67"/>
    <w:rsid w:val="0049044C"/>
    <w:rsid w:val="00493592"/>
    <w:rsid w:val="00493ADD"/>
    <w:rsid w:val="00495832"/>
    <w:rsid w:val="0049705E"/>
    <w:rsid w:val="0049731F"/>
    <w:rsid w:val="004A2875"/>
    <w:rsid w:val="004A3045"/>
    <w:rsid w:val="004A34A0"/>
    <w:rsid w:val="004A6303"/>
    <w:rsid w:val="004B480F"/>
    <w:rsid w:val="004B5F8F"/>
    <w:rsid w:val="004C268E"/>
    <w:rsid w:val="004C4915"/>
    <w:rsid w:val="004C7C82"/>
    <w:rsid w:val="004E0F0A"/>
    <w:rsid w:val="004E2D48"/>
    <w:rsid w:val="004E3546"/>
    <w:rsid w:val="004E6011"/>
    <w:rsid w:val="004E6578"/>
    <w:rsid w:val="004E75D5"/>
    <w:rsid w:val="004F48B6"/>
    <w:rsid w:val="005008A8"/>
    <w:rsid w:val="00500F0B"/>
    <w:rsid w:val="00505B77"/>
    <w:rsid w:val="005128F7"/>
    <w:rsid w:val="00514B9A"/>
    <w:rsid w:val="005173F3"/>
    <w:rsid w:val="00517FD8"/>
    <w:rsid w:val="005245B6"/>
    <w:rsid w:val="00526B7B"/>
    <w:rsid w:val="00530336"/>
    <w:rsid w:val="005308CE"/>
    <w:rsid w:val="0053318C"/>
    <w:rsid w:val="0053488C"/>
    <w:rsid w:val="0053497B"/>
    <w:rsid w:val="005475CD"/>
    <w:rsid w:val="005556EB"/>
    <w:rsid w:val="005654B9"/>
    <w:rsid w:val="005670CD"/>
    <w:rsid w:val="005704F8"/>
    <w:rsid w:val="0057176D"/>
    <w:rsid w:val="0057439C"/>
    <w:rsid w:val="0058443C"/>
    <w:rsid w:val="00584946"/>
    <w:rsid w:val="00586120"/>
    <w:rsid w:val="0058647D"/>
    <w:rsid w:val="00586965"/>
    <w:rsid w:val="00593FB4"/>
    <w:rsid w:val="005955CE"/>
    <w:rsid w:val="00597F62"/>
    <w:rsid w:val="005A149A"/>
    <w:rsid w:val="005A49E9"/>
    <w:rsid w:val="005B0127"/>
    <w:rsid w:val="005B7A35"/>
    <w:rsid w:val="005B7D5E"/>
    <w:rsid w:val="005C4B73"/>
    <w:rsid w:val="005C4FED"/>
    <w:rsid w:val="005E1D2B"/>
    <w:rsid w:val="005E356E"/>
    <w:rsid w:val="005E7074"/>
    <w:rsid w:val="005E7A1C"/>
    <w:rsid w:val="005F1CE5"/>
    <w:rsid w:val="005F2BAF"/>
    <w:rsid w:val="00600D93"/>
    <w:rsid w:val="00603352"/>
    <w:rsid w:val="00605160"/>
    <w:rsid w:val="006069C7"/>
    <w:rsid w:val="006159AA"/>
    <w:rsid w:val="0062229B"/>
    <w:rsid w:val="00626BEA"/>
    <w:rsid w:val="0063300C"/>
    <w:rsid w:val="00634D36"/>
    <w:rsid w:val="006373E6"/>
    <w:rsid w:val="006404F5"/>
    <w:rsid w:val="006428AE"/>
    <w:rsid w:val="006446DD"/>
    <w:rsid w:val="006449E9"/>
    <w:rsid w:val="00644A96"/>
    <w:rsid w:val="006458A1"/>
    <w:rsid w:val="006475BC"/>
    <w:rsid w:val="00651A5B"/>
    <w:rsid w:val="00651AB4"/>
    <w:rsid w:val="006548F6"/>
    <w:rsid w:val="00655054"/>
    <w:rsid w:val="00655736"/>
    <w:rsid w:val="00655F9C"/>
    <w:rsid w:val="00656367"/>
    <w:rsid w:val="00656B10"/>
    <w:rsid w:val="0066182C"/>
    <w:rsid w:val="00663B8D"/>
    <w:rsid w:val="00665251"/>
    <w:rsid w:val="006718A9"/>
    <w:rsid w:val="006740CB"/>
    <w:rsid w:val="00675153"/>
    <w:rsid w:val="00677E40"/>
    <w:rsid w:val="00690BD5"/>
    <w:rsid w:val="00696C8D"/>
    <w:rsid w:val="006A1F24"/>
    <w:rsid w:val="006A2AC2"/>
    <w:rsid w:val="006A3617"/>
    <w:rsid w:val="006B1334"/>
    <w:rsid w:val="006B23CB"/>
    <w:rsid w:val="006B43DE"/>
    <w:rsid w:val="006B4452"/>
    <w:rsid w:val="006B6177"/>
    <w:rsid w:val="006B6F41"/>
    <w:rsid w:val="006C3F55"/>
    <w:rsid w:val="006C42C0"/>
    <w:rsid w:val="006C4A29"/>
    <w:rsid w:val="006C51AF"/>
    <w:rsid w:val="006C7981"/>
    <w:rsid w:val="006D19E6"/>
    <w:rsid w:val="006D6662"/>
    <w:rsid w:val="006D6CB9"/>
    <w:rsid w:val="006D7DE0"/>
    <w:rsid w:val="006E0DAD"/>
    <w:rsid w:val="006E223D"/>
    <w:rsid w:val="006E2A65"/>
    <w:rsid w:val="006E46E4"/>
    <w:rsid w:val="006E75EB"/>
    <w:rsid w:val="006F6405"/>
    <w:rsid w:val="006F6711"/>
    <w:rsid w:val="006F783A"/>
    <w:rsid w:val="00701172"/>
    <w:rsid w:val="007016C0"/>
    <w:rsid w:val="00703345"/>
    <w:rsid w:val="007054D8"/>
    <w:rsid w:val="007071FF"/>
    <w:rsid w:val="00707B1F"/>
    <w:rsid w:val="00710F14"/>
    <w:rsid w:val="00713A22"/>
    <w:rsid w:val="00715137"/>
    <w:rsid w:val="007166D1"/>
    <w:rsid w:val="007169B3"/>
    <w:rsid w:val="00717DA5"/>
    <w:rsid w:val="00732E12"/>
    <w:rsid w:val="00744484"/>
    <w:rsid w:val="00746A58"/>
    <w:rsid w:val="00747566"/>
    <w:rsid w:val="0075112F"/>
    <w:rsid w:val="007529F5"/>
    <w:rsid w:val="007542CA"/>
    <w:rsid w:val="0075479B"/>
    <w:rsid w:val="00757F75"/>
    <w:rsid w:val="0076580E"/>
    <w:rsid w:val="00766A9A"/>
    <w:rsid w:val="00767E68"/>
    <w:rsid w:val="00773188"/>
    <w:rsid w:val="007766D2"/>
    <w:rsid w:val="0078225A"/>
    <w:rsid w:val="00783782"/>
    <w:rsid w:val="00784B8C"/>
    <w:rsid w:val="00785004"/>
    <w:rsid w:val="007869B7"/>
    <w:rsid w:val="007879E1"/>
    <w:rsid w:val="007930C4"/>
    <w:rsid w:val="0079336C"/>
    <w:rsid w:val="007942F2"/>
    <w:rsid w:val="007945F2"/>
    <w:rsid w:val="0079468C"/>
    <w:rsid w:val="007966C8"/>
    <w:rsid w:val="007974F0"/>
    <w:rsid w:val="007A11E7"/>
    <w:rsid w:val="007A30FC"/>
    <w:rsid w:val="007C56F3"/>
    <w:rsid w:val="007C5A69"/>
    <w:rsid w:val="007D0C33"/>
    <w:rsid w:val="007D18C7"/>
    <w:rsid w:val="007D206F"/>
    <w:rsid w:val="007D2D26"/>
    <w:rsid w:val="007E6076"/>
    <w:rsid w:val="007E6FEB"/>
    <w:rsid w:val="007E72B5"/>
    <w:rsid w:val="007F0CFF"/>
    <w:rsid w:val="007F1766"/>
    <w:rsid w:val="007F1822"/>
    <w:rsid w:val="007F2E73"/>
    <w:rsid w:val="007F4A50"/>
    <w:rsid w:val="007F5E87"/>
    <w:rsid w:val="00800EB2"/>
    <w:rsid w:val="008033AA"/>
    <w:rsid w:val="00804149"/>
    <w:rsid w:val="00804F39"/>
    <w:rsid w:val="008111BE"/>
    <w:rsid w:val="00812166"/>
    <w:rsid w:val="00812797"/>
    <w:rsid w:val="00814432"/>
    <w:rsid w:val="0081519F"/>
    <w:rsid w:val="008151FB"/>
    <w:rsid w:val="0082073E"/>
    <w:rsid w:val="00821C10"/>
    <w:rsid w:val="008221B3"/>
    <w:rsid w:val="0082247B"/>
    <w:rsid w:val="00823A11"/>
    <w:rsid w:val="00834447"/>
    <w:rsid w:val="00842B6D"/>
    <w:rsid w:val="00843A57"/>
    <w:rsid w:val="008440B2"/>
    <w:rsid w:val="008445A7"/>
    <w:rsid w:val="0085192B"/>
    <w:rsid w:val="00853DFA"/>
    <w:rsid w:val="0085405E"/>
    <w:rsid w:val="0085414A"/>
    <w:rsid w:val="00854F37"/>
    <w:rsid w:val="00855CAC"/>
    <w:rsid w:val="00855F2D"/>
    <w:rsid w:val="00857EB9"/>
    <w:rsid w:val="0086269D"/>
    <w:rsid w:val="00864190"/>
    <w:rsid w:val="0086543A"/>
    <w:rsid w:val="008724E5"/>
    <w:rsid w:val="00875DB3"/>
    <w:rsid w:val="00880F3D"/>
    <w:rsid w:val="00881007"/>
    <w:rsid w:val="00884A9D"/>
    <w:rsid w:val="0088507A"/>
    <w:rsid w:val="0088512B"/>
    <w:rsid w:val="008872B8"/>
    <w:rsid w:val="0089270C"/>
    <w:rsid w:val="008944A4"/>
    <w:rsid w:val="008A2B2D"/>
    <w:rsid w:val="008A4400"/>
    <w:rsid w:val="008A4E1E"/>
    <w:rsid w:val="008A784B"/>
    <w:rsid w:val="008B0F26"/>
    <w:rsid w:val="008B2F03"/>
    <w:rsid w:val="008B49CB"/>
    <w:rsid w:val="008B6A87"/>
    <w:rsid w:val="008C296C"/>
    <w:rsid w:val="008C49CF"/>
    <w:rsid w:val="008C4FF2"/>
    <w:rsid w:val="008C6CE4"/>
    <w:rsid w:val="008D01F9"/>
    <w:rsid w:val="008D119E"/>
    <w:rsid w:val="008D4305"/>
    <w:rsid w:val="008D7FB2"/>
    <w:rsid w:val="008E05A9"/>
    <w:rsid w:val="008E18C6"/>
    <w:rsid w:val="008E1A85"/>
    <w:rsid w:val="008E2914"/>
    <w:rsid w:val="008F21C5"/>
    <w:rsid w:val="008F39D5"/>
    <w:rsid w:val="008F6204"/>
    <w:rsid w:val="00903DD3"/>
    <w:rsid w:val="00904A22"/>
    <w:rsid w:val="00907F1B"/>
    <w:rsid w:val="009163A7"/>
    <w:rsid w:val="00921D1A"/>
    <w:rsid w:val="009230DF"/>
    <w:rsid w:val="009275B7"/>
    <w:rsid w:val="0093404A"/>
    <w:rsid w:val="00941B60"/>
    <w:rsid w:val="00941B9D"/>
    <w:rsid w:val="009425DD"/>
    <w:rsid w:val="00943FED"/>
    <w:rsid w:val="00944EAD"/>
    <w:rsid w:val="00946D0B"/>
    <w:rsid w:val="00947816"/>
    <w:rsid w:val="00955877"/>
    <w:rsid w:val="00955D77"/>
    <w:rsid w:val="00955F10"/>
    <w:rsid w:val="009562EC"/>
    <w:rsid w:val="009569AA"/>
    <w:rsid w:val="00960017"/>
    <w:rsid w:val="0096074E"/>
    <w:rsid w:val="00961E1E"/>
    <w:rsid w:val="00962034"/>
    <w:rsid w:val="009666E1"/>
    <w:rsid w:val="00967B3F"/>
    <w:rsid w:val="00967F87"/>
    <w:rsid w:val="009704D5"/>
    <w:rsid w:val="00980F39"/>
    <w:rsid w:val="00981209"/>
    <w:rsid w:val="00981285"/>
    <w:rsid w:val="00986249"/>
    <w:rsid w:val="009940FD"/>
    <w:rsid w:val="0099709D"/>
    <w:rsid w:val="009A01C7"/>
    <w:rsid w:val="009A05A6"/>
    <w:rsid w:val="009A18CD"/>
    <w:rsid w:val="009A39EC"/>
    <w:rsid w:val="009A3A70"/>
    <w:rsid w:val="009A51CD"/>
    <w:rsid w:val="009A59EA"/>
    <w:rsid w:val="009A7F16"/>
    <w:rsid w:val="009B1BDA"/>
    <w:rsid w:val="009C092E"/>
    <w:rsid w:val="009C137C"/>
    <w:rsid w:val="009C1C81"/>
    <w:rsid w:val="009C67AA"/>
    <w:rsid w:val="009C67B8"/>
    <w:rsid w:val="009C73DE"/>
    <w:rsid w:val="009D32FE"/>
    <w:rsid w:val="009D4A9B"/>
    <w:rsid w:val="009D5278"/>
    <w:rsid w:val="009D5428"/>
    <w:rsid w:val="009E299E"/>
    <w:rsid w:val="009E34B0"/>
    <w:rsid w:val="009E496F"/>
    <w:rsid w:val="009E5D05"/>
    <w:rsid w:val="009E61B5"/>
    <w:rsid w:val="009E6F4A"/>
    <w:rsid w:val="00A03B58"/>
    <w:rsid w:val="00A04245"/>
    <w:rsid w:val="00A05B3C"/>
    <w:rsid w:val="00A065C7"/>
    <w:rsid w:val="00A066AB"/>
    <w:rsid w:val="00A10387"/>
    <w:rsid w:val="00A10531"/>
    <w:rsid w:val="00A12558"/>
    <w:rsid w:val="00A13903"/>
    <w:rsid w:val="00A13A02"/>
    <w:rsid w:val="00A1679B"/>
    <w:rsid w:val="00A175CD"/>
    <w:rsid w:val="00A17CF8"/>
    <w:rsid w:val="00A2195F"/>
    <w:rsid w:val="00A24266"/>
    <w:rsid w:val="00A25BBC"/>
    <w:rsid w:val="00A25BD3"/>
    <w:rsid w:val="00A2710F"/>
    <w:rsid w:val="00A30661"/>
    <w:rsid w:val="00A30C99"/>
    <w:rsid w:val="00A33197"/>
    <w:rsid w:val="00A34ED5"/>
    <w:rsid w:val="00A36A0F"/>
    <w:rsid w:val="00A41490"/>
    <w:rsid w:val="00A43534"/>
    <w:rsid w:val="00A43D41"/>
    <w:rsid w:val="00A45DBF"/>
    <w:rsid w:val="00A46FFF"/>
    <w:rsid w:val="00A501AF"/>
    <w:rsid w:val="00A50316"/>
    <w:rsid w:val="00A5308A"/>
    <w:rsid w:val="00A628B9"/>
    <w:rsid w:val="00A639C1"/>
    <w:rsid w:val="00A67BF8"/>
    <w:rsid w:val="00A725CF"/>
    <w:rsid w:val="00A731EF"/>
    <w:rsid w:val="00A7322B"/>
    <w:rsid w:val="00A74C62"/>
    <w:rsid w:val="00A7509E"/>
    <w:rsid w:val="00A755A2"/>
    <w:rsid w:val="00A80A7B"/>
    <w:rsid w:val="00A83DA6"/>
    <w:rsid w:val="00A85CBD"/>
    <w:rsid w:val="00A93036"/>
    <w:rsid w:val="00AA0D59"/>
    <w:rsid w:val="00AA5362"/>
    <w:rsid w:val="00AA6660"/>
    <w:rsid w:val="00AB1108"/>
    <w:rsid w:val="00AB2BAA"/>
    <w:rsid w:val="00AB2C36"/>
    <w:rsid w:val="00AB6DDE"/>
    <w:rsid w:val="00AB70B6"/>
    <w:rsid w:val="00AC13BE"/>
    <w:rsid w:val="00AC1480"/>
    <w:rsid w:val="00AC3EAC"/>
    <w:rsid w:val="00AC6FE6"/>
    <w:rsid w:val="00AD0674"/>
    <w:rsid w:val="00AD1A86"/>
    <w:rsid w:val="00AD6E95"/>
    <w:rsid w:val="00AE0E35"/>
    <w:rsid w:val="00AE103E"/>
    <w:rsid w:val="00AE3214"/>
    <w:rsid w:val="00AE6FBB"/>
    <w:rsid w:val="00AE721F"/>
    <w:rsid w:val="00AE7C8B"/>
    <w:rsid w:val="00AF0A07"/>
    <w:rsid w:val="00AF3E1B"/>
    <w:rsid w:val="00AF4538"/>
    <w:rsid w:val="00AF4AEC"/>
    <w:rsid w:val="00AF625E"/>
    <w:rsid w:val="00B0008D"/>
    <w:rsid w:val="00B02CC0"/>
    <w:rsid w:val="00B05C06"/>
    <w:rsid w:val="00B12308"/>
    <w:rsid w:val="00B139BE"/>
    <w:rsid w:val="00B14A9C"/>
    <w:rsid w:val="00B20908"/>
    <w:rsid w:val="00B20CEC"/>
    <w:rsid w:val="00B2172B"/>
    <w:rsid w:val="00B275DA"/>
    <w:rsid w:val="00B3626F"/>
    <w:rsid w:val="00B37999"/>
    <w:rsid w:val="00B40900"/>
    <w:rsid w:val="00B4484B"/>
    <w:rsid w:val="00B57D53"/>
    <w:rsid w:val="00B60733"/>
    <w:rsid w:val="00B60DB9"/>
    <w:rsid w:val="00B63E50"/>
    <w:rsid w:val="00B66097"/>
    <w:rsid w:val="00B67E37"/>
    <w:rsid w:val="00B714AB"/>
    <w:rsid w:val="00B722F3"/>
    <w:rsid w:val="00B7253B"/>
    <w:rsid w:val="00B73E6E"/>
    <w:rsid w:val="00B74604"/>
    <w:rsid w:val="00B74B3B"/>
    <w:rsid w:val="00B809AF"/>
    <w:rsid w:val="00B840D4"/>
    <w:rsid w:val="00B90ED1"/>
    <w:rsid w:val="00B917D2"/>
    <w:rsid w:val="00B93788"/>
    <w:rsid w:val="00B94299"/>
    <w:rsid w:val="00B95B0F"/>
    <w:rsid w:val="00BA1C59"/>
    <w:rsid w:val="00BA241A"/>
    <w:rsid w:val="00BA75BE"/>
    <w:rsid w:val="00BB04AF"/>
    <w:rsid w:val="00BB2054"/>
    <w:rsid w:val="00BB2B89"/>
    <w:rsid w:val="00BB59A2"/>
    <w:rsid w:val="00BC7794"/>
    <w:rsid w:val="00BD29D9"/>
    <w:rsid w:val="00BD394B"/>
    <w:rsid w:val="00BD52C9"/>
    <w:rsid w:val="00BD59A9"/>
    <w:rsid w:val="00BE0C15"/>
    <w:rsid w:val="00BE1203"/>
    <w:rsid w:val="00BE6354"/>
    <w:rsid w:val="00BF2481"/>
    <w:rsid w:val="00BF32D7"/>
    <w:rsid w:val="00BF51A3"/>
    <w:rsid w:val="00C0134E"/>
    <w:rsid w:val="00C05292"/>
    <w:rsid w:val="00C052A0"/>
    <w:rsid w:val="00C058BF"/>
    <w:rsid w:val="00C070EE"/>
    <w:rsid w:val="00C07582"/>
    <w:rsid w:val="00C138D1"/>
    <w:rsid w:val="00C15262"/>
    <w:rsid w:val="00C15DF0"/>
    <w:rsid w:val="00C167FF"/>
    <w:rsid w:val="00C16FEC"/>
    <w:rsid w:val="00C17629"/>
    <w:rsid w:val="00C21DD0"/>
    <w:rsid w:val="00C21E5A"/>
    <w:rsid w:val="00C23A97"/>
    <w:rsid w:val="00C246E8"/>
    <w:rsid w:val="00C24F90"/>
    <w:rsid w:val="00C250FD"/>
    <w:rsid w:val="00C251E7"/>
    <w:rsid w:val="00C35823"/>
    <w:rsid w:val="00C364EE"/>
    <w:rsid w:val="00C36C62"/>
    <w:rsid w:val="00C42429"/>
    <w:rsid w:val="00C42BDB"/>
    <w:rsid w:val="00C42CC6"/>
    <w:rsid w:val="00C45605"/>
    <w:rsid w:val="00C464E5"/>
    <w:rsid w:val="00C47FEA"/>
    <w:rsid w:val="00C50DD6"/>
    <w:rsid w:val="00C52EBE"/>
    <w:rsid w:val="00C5776D"/>
    <w:rsid w:val="00C60BBF"/>
    <w:rsid w:val="00C61301"/>
    <w:rsid w:val="00C64096"/>
    <w:rsid w:val="00C646CE"/>
    <w:rsid w:val="00C64855"/>
    <w:rsid w:val="00C652F8"/>
    <w:rsid w:val="00C65DCA"/>
    <w:rsid w:val="00C70416"/>
    <w:rsid w:val="00C70EA7"/>
    <w:rsid w:val="00C7433F"/>
    <w:rsid w:val="00C7516E"/>
    <w:rsid w:val="00C75770"/>
    <w:rsid w:val="00C77AA7"/>
    <w:rsid w:val="00C811C8"/>
    <w:rsid w:val="00C817ED"/>
    <w:rsid w:val="00C837A5"/>
    <w:rsid w:val="00C86981"/>
    <w:rsid w:val="00C87A27"/>
    <w:rsid w:val="00C941DF"/>
    <w:rsid w:val="00CA3974"/>
    <w:rsid w:val="00CA56BB"/>
    <w:rsid w:val="00CB0542"/>
    <w:rsid w:val="00CB13D9"/>
    <w:rsid w:val="00CB1D81"/>
    <w:rsid w:val="00CB46D6"/>
    <w:rsid w:val="00CB5B8E"/>
    <w:rsid w:val="00CC123F"/>
    <w:rsid w:val="00CC2C9D"/>
    <w:rsid w:val="00CC62E0"/>
    <w:rsid w:val="00CD108B"/>
    <w:rsid w:val="00CD3AD6"/>
    <w:rsid w:val="00CD44E5"/>
    <w:rsid w:val="00CE24E7"/>
    <w:rsid w:val="00CE4D05"/>
    <w:rsid w:val="00CE56CE"/>
    <w:rsid w:val="00CE68F8"/>
    <w:rsid w:val="00CE69AA"/>
    <w:rsid w:val="00CE78D2"/>
    <w:rsid w:val="00CF6148"/>
    <w:rsid w:val="00CF6DE9"/>
    <w:rsid w:val="00CF734B"/>
    <w:rsid w:val="00CF7EA8"/>
    <w:rsid w:val="00D00B2B"/>
    <w:rsid w:val="00D00BF7"/>
    <w:rsid w:val="00D039A4"/>
    <w:rsid w:val="00D10A1E"/>
    <w:rsid w:val="00D14537"/>
    <w:rsid w:val="00D179F7"/>
    <w:rsid w:val="00D20D18"/>
    <w:rsid w:val="00D23F8B"/>
    <w:rsid w:val="00D24877"/>
    <w:rsid w:val="00D31C59"/>
    <w:rsid w:val="00D35366"/>
    <w:rsid w:val="00D35BFA"/>
    <w:rsid w:val="00D3600C"/>
    <w:rsid w:val="00D36562"/>
    <w:rsid w:val="00D36A6F"/>
    <w:rsid w:val="00D379B6"/>
    <w:rsid w:val="00D508E6"/>
    <w:rsid w:val="00D621FA"/>
    <w:rsid w:val="00D63C43"/>
    <w:rsid w:val="00D647FB"/>
    <w:rsid w:val="00D67DDB"/>
    <w:rsid w:val="00D7105A"/>
    <w:rsid w:val="00D71C50"/>
    <w:rsid w:val="00D73594"/>
    <w:rsid w:val="00D73CC8"/>
    <w:rsid w:val="00D75750"/>
    <w:rsid w:val="00D76E35"/>
    <w:rsid w:val="00D77586"/>
    <w:rsid w:val="00D77AD6"/>
    <w:rsid w:val="00D8250F"/>
    <w:rsid w:val="00D83C11"/>
    <w:rsid w:val="00D87A1A"/>
    <w:rsid w:val="00D95C4C"/>
    <w:rsid w:val="00D97103"/>
    <w:rsid w:val="00D97E21"/>
    <w:rsid w:val="00DA0414"/>
    <w:rsid w:val="00DA1624"/>
    <w:rsid w:val="00DA36ED"/>
    <w:rsid w:val="00DA47AC"/>
    <w:rsid w:val="00DA7FD1"/>
    <w:rsid w:val="00DB4FB6"/>
    <w:rsid w:val="00DB7996"/>
    <w:rsid w:val="00DC2495"/>
    <w:rsid w:val="00DC2E4F"/>
    <w:rsid w:val="00DC51D7"/>
    <w:rsid w:val="00DC5C2F"/>
    <w:rsid w:val="00DD22AA"/>
    <w:rsid w:val="00DD3DD9"/>
    <w:rsid w:val="00DD3EFF"/>
    <w:rsid w:val="00DD754F"/>
    <w:rsid w:val="00DE0263"/>
    <w:rsid w:val="00DE34F1"/>
    <w:rsid w:val="00DE5604"/>
    <w:rsid w:val="00DE6160"/>
    <w:rsid w:val="00DE6CF3"/>
    <w:rsid w:val="00DF4942"/>
    <w:rsid w:val="00DF5FE8"/>
    <w:rsid w:val="00E10704"/>
    <w:rsid w:val="00E1191E"/>
    <w:rsid w:val="00E12580"/>
    <w:rsid w:val="00E1304C"/>
    <w:rsid w:val="00E1339C"/>
    <w:rsid w:val="00E14E32"/>
    <w:rsid w:val="00E15176"/>
    <w:rsid w:val="00E160DF"/>
    <w:rsid w:val="00E2125F"/>
    <w:rsid w:val="00E2392B"/>
    <w:rsid w:val="00E24160"/>
    <w:rsid w:val="00E244E1"/>
    <w:rsid w:val="00E26298"/>
    <w:rsid w:val="00E2677D"/>
    <w:rsid w:val="00E30216"/>
    <w:rsid w:val="00E3025C"/>
    <w:rsid w:val="00E310BD"/>
    <w:rsid w:val="00E36FD2"/>
    <w:rsid w:val="00E4150C"/>
    <w:rsid w:val="00E415B9"/>
    <w:rsid w:val="00E463A4"/>
    <w:rsid w:val="00E50784"/>
    <w:rsid w:val="00E51AFF"/>
    <w:rsid w:val="00E562CF"/>
    <w:rsid w:val="00E6081B"/>
    <w:rsid w:val="00E60C13"/>
    <w:rsid w:val="00E627B1"/>
    <w:rsid w:val="00E65E83"/>
    <w:rsid w:val="00E67306"/>
    <w:rsid w:val="00E70169"/>
    <w:rsid w:val="00E721F7"/>
    <w:rsid w:val="00E7288F"/>
    <w:rsid w:val="00E771F0"/>
    <w:rsid w:val="00E7727E"/>
    <w:rsid w:val="00E77297"/>
    <w:rsid w:val="00E814D9"/>
    <w:rsid w:val="00E84C3F"/>
    <w:rsid w:val="00E8575D"/>
    <w:rsid w:val="00E917D0"/>
    <w:rsid w:val="00E9376C"/>
    <w:rsid w:val="00E95AE2"/>
    <w:rsid w:val="00EA1450"/>
    <w:rsid w:val="00EA15C9"/>
    <w:rsid w:val="00EA1BD4"/>
    <w:rsid w:val="00EA335E"/>
    <w:rsid w:val="00EA528C"/>
    <w:rsid w:val="00EA580C"/>
    <w:rsid w:val="00EB1330"/>
    <w:rsid w:val="00EB36F3"/>
    <w:rsid w:val="00EB7160"/>
    <w:rsid w:val="00EC2A27"/>
    <w:rsid w:val="00EC325E"/>
    <w:rsid w:val="00EC3C30"/>
    <w:rsid w:val="00EC3E64"/>
    <w:rsid w:val="00EC4BF1"/>
    <w:rsid w:val="00EC56EA"/>
    <w:rsid w:val="00EC5FCC"/>
    <w:rsid w:val="00EC6720"/>
    <w:rsid w:val="00EC6F8D"/>
    <w:rsid w:val="00ED0B0A"/>
    <w:rsid w:val="00ED39B2"/>
    <w:rsid w:val="00EE0CB3"/>
    <w:rsid w:val="00EE3B9F"/>
    <w:rsid w:val="00EE49F4"/>
    <w:rsid w:val="00EE736F"/>
    <w:rsid w:val="00EF0804"/>
    <w:rsid w:val="00EF234B"/>
    <w:rsid w:val="00EF31D9"/>
    <w:rsid w:val="00EF34E2"/>
    <w:rsid w:val="00EF47BC"/>
    <w:rsid w:val="00EF61D0"/>
    <w:rsid w:val="00EF7304"/>
    <w:rsid w:val="00F000E7"/>
    <w:rsid w:val="00F01065"/>
    <w:rsid w:val="00F030DD"/>
    <w:rsid w:val="00F052A8"/>
    <w:rsid w:val="00F052B0"/>
    <w:rsid w:val="00F05F36"/>
    <w:rsid w:val="00F0651A"/>
    <w:rsid w:val="00F11092"/>
    <w:rsid w:val="00F1277C"/>
    <w:rsid w:val="00F12E55"/>
    <w:rsid w:val="00F13884"/>
    <w:rsid w:val="00F14FDD"/>
    <w:rsid w:val="00F179C1"/>
    <w:rsid w:val="00F22FAB"/>
    <w:rsid w:val="00F270CD"/>
    <w:rsid w:val="00F3042A"/>
    <w:rsid w:val="00F30DC6"/>
    <w:rsid w:val="00F30E7D"/>
    <w:rsid w:val="00F32C23"/>
    <w:rsid w:val="00F37831"/>
    <w:rsid w:val="00F4186D"/>
    <w:rsid w:val="00F45CC4"/>
    <w:rsid w:val="00F52285"/>
    <w:rsid w:val="00F53DE9"/>
    <w:rsid w:val="00F54AFB"/>
    <w:rsid w:val="00F56A24"/>
    <w:rsid w:val="00F576CB"/>
    <w:rsid w:val="00F625A6"/>
    <w:rsid w:val="00F625A7"/>
    <w:rsid w:val="00F6394F"/>
    <w:rsid w:val="00F63C6F"/>
    <w:rsid w:val="00F67592"/>
    <w:rsid w:val="00F7035D"/>
    <w:rsid w:val="00F71A02"/>
    <w:rsid w:val="00F71EBA"/>
    <w:rsid w:val="00F73036"/>
    <w:rsid w:val="00F74F59"/>
    <w:rsid w:val="00F751B4"/>
    <w:rsid w:val="00F75EAC"/>
    <w:rsid w:val="00F76414"/>
    <w:rsid w:val="00F77FDB"/>
    <w:rsid w:val="00F81EC9"/>
    <w:rsid w:val="00F842E8"/>
    <w:rsid w:val="00F9022C"/>
    <w:rsid w:val="00F94993"/>
    <w:rsid w:val="00FA01DA"/>
    <w:rsid w:val="00FA0D63"/>
    <w:rsid w:val="00FA2386"/>
    <w:rsid w:val="00FA4841"/>
    <w:rsid w:val="00FA6D89"/>
    <w:rsid w:val="00FA72B7"/>
    <w:rsid w:val="00FA7BAF"/>
    <w:rsid w:val="00FB04DD"/>
    <w:rsid w:val="00FB2037"/>
    <w:rsid w:val="00FB30EC"/>
    <w:rsid w:val="00FB5C8D"/>
    <w:rsid w:val="00FC4C82"/>
    <w:rsid w:val="00FC788B"/>
    <w:rsid w:val="00FD1226"/>
    <w:rsid w:val="00FD4429"/>
    <w:rsid w:val="00FE327B"/>
    <w:rsid w:val="00FE3329"/>
    <w:rsid w:val="00FE4E7A"/>
    <w:rsid w:val="00FE5AF8"/>
    <w:rsid w:val="00FF1E91"/>
    <w:rsid w:val="00FF2BDE"/>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uiPriority w:val="9"/>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pPr>
  </w:style>
  <w:style w:type="character" w:customStyle="1" w:styleId="En-tteCar">
    <w:name w:val="En-tête Car"/>
    <w:link w:val="En-tte"/>
    <w:uiPriority w:val="99"/>
    <w:rsid w:val="008724E5"/>
    <w:rPr>
      <w:lang w:val="fr-FR"/>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fr-FR"/>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uiPriority w:val="9"/>
    <w:rsid w:val="00F71A02"/>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aliases w:val="CRITERES"/>
    <w:basedOn w:val="Normal"/>
    <w:uiPriority w:val="34"/>
    <w:qFormat/>
    <w:rsid w:val="004A2875"/>
    <w:pPr>
      <w:ind w:left="720"/>
      <w:contextualSpacing/>
    </w:pPr>
  </w:style>
  <w:style w:type="paragraph" w:styleId="Notedebasdepage">
    <w:name w:val="footnote text"/>
    <w:basedOn w:val="Normal"/>
    <w:link w:val="NotedebasdepageCar"/>
    <w:uiPriority w:val="99"/>
    <w:semiHidden/>
    <w:unhideWhenUsed/>
    <w:rsid w:val="00981285"/>
    <w:pPr>
      <w:widowControl w:val="0"/>
      <w:autoSpaceDE w:val="0"/>
      <w:autoSpaceDN w:val="0"/>
    </w:pPr>
    <w:rPr>
      <w:rFonts w:ascii="Calibri" w:eastAsia="Calibri" w:hAnsi="Calibri" w:cs="Calibri"/>
      <w:sz w:val="20"/>
      <w:szCs w:val="20"/>
      <w:lang w:eastAsia="en-US"/>
    </w:rPr>
  </w:style>
  <w:style w:type="character" w:customStyle="1" w:styleId="NotedebasdepageCar">
    <w:name w:val="Note de bas de page Car"/>
    <w:basedOn w:val="Policepardfaut"/>
    <w:link w:val="Notedebasdepage"/>
    <w:uiPriority w:val="99"/>
    <w:semiHidden/>
    <w:rsid w:val="00981285"/>
    <w:rPr>
      <w:rFonts w:eastAsia="Calibri" w:cs="Calibri"/>
      <w:lang w:val="fr-FR" w:eastAsia="en-US"/>
    </w:rPr>
  </w:style>
  <w:style w:type="character" w:styleId="Appelnotedebasdep">
    <w:name w:val="footnote reference"/>
    <w:basedOn w:val="Policepardfaut"/>
    <w:uiPriority w:val="99"/>
    <w:semiHidden/>
    <w:unhideWhenUsed/>
    <w:rsid w:val="00981285"/>
    <w:rPr>
      <w:vertAlign w:val="superscript"/>
    </w:rPr>
  </w:style>
  <w:style w:type="character" w:styleId="Lienhypertexte">
    <w:name w:val="Hyperlink"/>
    <w:aliases w:val=" Car Car3 Char, Car Car3 Char Char Char Char"/>
    <w:basedOn w:val="Policepardfaut"/>
    <w:link w:val="CarCar3"/>
    <w:uiPriority w:val="99"/>
    <w:unhideWhenUsed/>
    <w:rsid w:val="00981285"/>
    <w:rPr>
      <w:color w:val="0000FF" w:themeColor="hyperlink"/>
      <w:u w:val="single"/>
    </w:rPr>
  </w:style>
  <w:style w:type="character" w:styleId="Mentionnonrsolue">
    <w:name w:val="Unresolved Mention"/>
    <w:basedOn w:val="Policepardfaut"/>
    <w:uiPriority w:val="99"/>
    <w:semiHidden/>
    <w:unhideWhenUsed/>
    <w:rsid w:val="00981285"/>
    <w:rPr>
      <w:color w:val="605E5C"/>
      <w:shd w:val="clear" w:color="auto" w:fill="E1DFDD"/>
    </w:rPr>
  </w:style>
  <w:style w:type="paragraph" w:customStyle="1" w:styleId="1GAPara">
    <w:name w:val="1. GA Para"/>
    <w:qFormat/>
    <w:rsid w:val="0081519F"/>
    <w:pPr>
      <w:spacing w:after="120"/>
      <w:ind w:left="720" w:hanging="360"/>
    </w:pPr>
    <w:rPr>
      <w:rFonts w:ascii="Arial" w:eastAsia="Times New Roman" w:hAnsi="Arial" w:cs="Arial"/>
      <w:snapToGrid w:val="0"/>
      <w:sz w:val="22"/>
      <w:szCs w:val="22"/>
      <w:lang w:eastAsia="en-US"/>
    </w:rPr>
  </w:style>
  <w:style w:type="character" w:styleId="Lienhypertextesuivivisit">
    <w:name w:val="FollowedHyperlink"/>
    <w:basedOn w:val="Policepardfaut"/>
    <w:uiPriority w:val="99"/>
    <w:semiHidden/>
    <w:unhideWhenUsed/>
    <w:rsid w:val="00597F62"/>
    <w:rPr>
      <w:color w:val="800080" w:themeColor="followedHyperlink"/>
      <w:u w:val="single"/>
    </w:rPr>
  </w:style>
  <w:style w:type="character" w:styleId="Marquedecommentaire">
    <w:name w:val="annotation reference"/>
    <w:basedOn w:val="Policepardfaut"/>
    <w:uiPriority w:val="99"/>
    <w:semiHidden/>
    <w:unhideWhenUsed/>
    <w:rsid w:val="00A80A7B"/>
    <w:rPr>
      <w:sz w:val="16"/>
      <w:szCs w:val="16"/>
    </w:rPr>
  </w:style>
  <w:style w:type="paragraph" w:styleId="Commentaire">
    <w:name w:val="annotation text"/>
    <w:basedOn w:val="Normal"/>
    <w:link w:val="CommentaireCar"/>
    <w:uiPriority w:val="99"/>
    <w:semiHidden/>
    <w:unhideWhenUsed/>
    <w:rsid w:val="00A80A7B"/>
    <w:pPr>
      <w:spacing w:after="160"/>
    </w:pPr>
    <w:rPr>
      <w:rFonts w:asciiTheme="minorHAnsi" w:eastAsiaTheme="minorEastAsia" w:hAnsiTheme="minorHAnsi" w:cstheme="minorBidi"/>
      <w:sz w:val="20"/>
      <w:szCs w:val="20"/>
      <w:lang w:eastAsia="ja-JP"/>
    </w:rPr>
  </w:style>
  <w:style w:type="character" w:customStyle="1" w:styleId="CommentaireCar">
    <w:name w:val="Commentaire Car"/>
    <w:basedOn w:val="Policepardfaut"/>
    <w:link w:val="Commentaire"/>
    <w:uiPriority w:val="99"/>
    <w:semiHidden/>
    <w:rsid w:val="00A80A7B"/>
    <w:rPr>
      <w:rFonts w:asciiTheme="minorHAnsi" w:eastAsiaTheme="minorEastAsia" w:hAnsiTheme="minorHAnsi" w:cstheme="minorBidi"/>
      <w:lang w:val="fr-FR" w:eastAsia="ja-JP"/>
    </w:rPr>
  </w:style>
  <w:style w:type="paragraph" w:styleId="Objetducommentaire">
    <w:name w:val="annotation subject"/>
    <w:basedOn w:val="Commentaire"/>
    <w:next w:val="Commentaire"/>
    <w:link w:val="ObjetducommentaireCar"/>
    <w:uiPriority w:val="99"/>
    <w:semiHidden/>
    <w:unhideWhenUsed/>
    <w:rsid w:val="00A80A7B"/>
    <w:rPr>
      <w:b/>
      <w:bCs/>
    </w:rPr>
  </w:style>
  <w:style w:type="character" w:customStyle="1" w:styleId="ObjetducommentaireCar">
    <w:name w:val="Objet du commentaire Car"/>
    <w:basedOn w:val="CommentaireCar"/>
    <w:link w:val="Objetducommentaire"/>
    <w:uiPriority w:val="99"/>
    <w:semiHidden/>
    <w:rsid w:val="00A80A7B"/>
    <w:rPr>
      <w:rFonts w:asciiTheme="minorHAnsi" w:eastAsiaTheme="minorEastAsia" w:hAnsiTheme="minorHAnsi" w:cstheme="minorBidi"/>
      <w:b/>
      <w:bCs/>
      <w:lang w:val="fr-FR" w:eastAsia="ja-JP"/>
    </w:rPr>
  </w:style>
  <w:style w:type="paragraph" w:styleId="Rvision">
    <w:name w:val="Revision"/>
    <w:hidden/>
    <w:uiPriority w:val="99"/>
    <w:semiHidden/>
    <w:rsid w:val="00A80A7B"/>
    <w:rPr>
      <w:rFonts w:asciiTheme="minorHAnsi" w:eastAsiaTheme="minorEastAsia" w:hAnsiTheme="minorHAnsi" w:cstheme="minorBidi"/>
      <w:sz w:val="22"/>
      <w:szCs w:val="22"/>
      <w:lang w:eastAsia="ja-JP"/>
    </w:rPr>
  </w:style>
  <w:style w:type="paragraph" w:styleId="Corpsdetexte">
    <w:name w:val="Body Text"/>
    <w:basedOn w:val="Normal"/>
    <w:link w:val="CorpsdetexteCar"/>
    <w:uiPriority w:val="1"/>
    <w:qFormat/>
    <w:rsid w:val="00A80A7B"/>
    <w:pPr>
      <w:widowControl w:val="0"/>
      <w:autoSpaceDE w:val="0"/>
      <w:autoSpaceDN w:val="0"/>
      <w:spacing w:after="120" w:line="276" w:lineRule="auto"/>
    </w:pPr>
    <w:rPr>
      <w:rFonts w:ascii="Calibri" w:eastAsia="Calibri" w:hAnsi="Calibri" w:cs="Calibri"/>
      <w:sz w:val="20"/>
      <w:szCs w:val="20"/>
      <w:lang w:eastAsia="en-US"/>
    </w:rPr>
  </w:style>
  <w:style w:type="character" w:customStyle="1" w:styleId="CorpsdetexteCar">
    <w:name w:val="Corps de texte Car"/>
    <w:basedOn w:val="Policepardfaut"/>
    <w:link w:val="Corpsdetexte"/>
    <w:uiPriority w:val="1"/>
    <w:rsid w:val="00A80A7B"/>
    <w:rPr>
      <w:rFonts w:eastAsia="Calibri" w:cs="Calibri"/>
      <w:lang w:val="fr-FR" w:eastAsia="en-US"/>
    </w:rPr>
  </w:style>
  <w:style w:type="paragraph" w:customStyle="1" w:styleId="GAPara">
    <w:name w:val="GA Para"/>
    <w:qFormat/>
    <w:rsid w:val="001B5D7D"/>
    <w:pPr>
      <w:spacing w:after="120"/>
      <w:ind w:left="1287" w:hanging="360"/>
    </w:pPr>
    <w:rPr>
      <w:rFonts w:ascii="Arial" w:eastAsia="Times New Roman" w:hAnsi="Arial" w:cs="Arial"/>
      <w:snapToGrid w:val="0"/>
      <w:sz w:val="22"/>
      <w:szCs w:val="22"/>
      <w:lang w:eastAsia="en-US"/>
    </w:rPr>
  </w:style>
  <w:style w:type="table" w:customStyle="1" w:styleId="Grilledutableau1">
    <w:name w:val="Grille du tableau1"/>
    <w:basedOn w:val="TableauNormal"/>
    <w:next w:val="Grilledutableau"/>
    <w:uiPriority w:val="39"/>
    <w:rsid w:val="00165E0D"/>
    <w:rPr>
      <w:rFonts w:eastAsia="Yu Mincho"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487585"/>
    <w:rPr>
      <w:rFonts w:eastAsia="Yu Mincho"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30EC"/>
    <w:pPr>
      <w:spacing w:before="100" w:beforeAutospacing="1" w:after="100" w:afterAutospacing="1"/>
    </w:pPr>
    <w:rPr>
      <w:lang w:eastAsia="zh-CN"/>
    </w:rPr>
  </w:style>
  <w:style w:type="paragraph" w:customStyle="1" w:styleId="CarCar3">
    <w:name w:val="Car Car3"/>
    <w:aliases w:val=" Car Car3 Char Char"/>
    <w:basedOn w:val="Normal"/>
    <w:link w:val="Lienhypertexte"/>
    <w:uiPriority w:val="99"/>
    <w:rsid w:val="00F052A8"/>
    <w:pPr>
      <w:tabs>
        <w:tab w:val="left" w:pos="510"/>
        <w:tab w:val="right" w:pos="9639"/>
      </w:tabs>
      <w:autoSpaceDE w:val="0"/>
      <w:autoSpaceDN w:val="0"/>
      <w:adjustRightInd w:val="0"/>
      <w:spacing w:after="80" w:line="220" w:lineRule="exact"/>
      <w:ind w:left="1020" w:hanging="510"/>
      <w:jc w:val="both"/>
    </w:pPr>
    <w:rPr>
      <w:rFonts w:ascii="Calibri" w:eastAsia="SimSun" w:hAnsi="Calibri"/>
      <w:color w:val="0000FF" w:themeColor="hyperlink"/>
      <w:sz w:val="20"/>
      <w:szCs w:val="20"/>
      <w:u w:val="single"/>
    </w:rPr>
  </w:style>
  <w:style w:type="character" w:styleId="lev">
    <w:name w:val="Strong"/>
    <w:aliases w:val="Text"/>
    <w:uiPriority w:val="22"/>
    <w:qFormat/>
    <w:rsid w:val="008E05A9"/>
    <w:rPr>
      <w:b/>
      <w:bCs/>
    </w:rPr>
  </w:style>
  <w:style w:type="paragraph" w:styleId="Sansinterligne">
    <w:name w:val="No Spacing"/>
    <w:uiPriority w:val="1"/>
    <w:qFormat/>
    <w:rsid w:val="00F1388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64722878">
      <w:bodyDiv w:val="1"/>
      <w:marLeft w:val="0"/>
      <w:marRight w:val="0"/>
      <w:marTop w:val="0"/>
      <w:marBottom w:val="0"/>
      <w:divBdr>
        <w:top w:val="none" w:sz="0" w:space="0" w:color="auto"/>
        <w:left w:val="none" w:sz="0" w:space="0" w:color="auto"/>
        <w:bottom w:val="none" w:sz="0" w:space="0" w:color="auto"/>
        <w:right w:val="none" w:sz="0" w:space="0" w:color="auto"/>
      </w:divBdr>
    </w:div>
    <w:div w:id="1146750217">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36058429">
      <w:bodyDiv w:val="1"/>
      <w:marLeft w:val="0"/>
      <w:marRight w:val="0"/>
      <w:marTop w:val="0"/>
      <w:marBottom w:val="0"/>
      <w:divBdr>
        <w:top w:val="none" w:sz="0" w:space="0" w:color="auto"/>
        <w:left w:val="none" w:sz="0" w:space="0" w:color="auto"/>
        <w:bottom w:val="none" w:sz="0" w:space="0" w:color="auto"/>
        <w:right w:val="none" w:sz="0" w:space="0" w:color="auto"/>
      </w:divBdr>
    </w:div>
    <w:div w:id="1669940724">
      <w:bodyDiv w:val="1"/>
      <w:marLeft w:val="0"/>
      <w:marRight w:val="0"/>
      <w:marTop w:val="0"/>
      <w:marBottom w:val="0"/>
      <w:divBdr>
        <w:top w:val="none" w:sz="0" w:space="0" w:color="auto"/>
        <w:left w:val="none" w:sz="0" w:space="0" w:color="auto"/>
        <w:bottom w:val="none" w:sz="0" w:space="0" w:color="auto"/>
        <w:right w:val="none" w:sz="0" w:space="0" w:color="auto"/>
      </w:divBdr>
    </w:div>
    <w:div w:id="1758134973">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8.GA/11" TargetMode="External"/><Relationship Id="rId13" Type="http://schemas.openxmlformats.org/officeDocument/2006/relationships/hyperlink" Target="https://ich.unesco.org/fr/Decisions/14.COM/10" TargetMode="External"/><Relationship Id="rId18" Type="http://schemas.openxmlformats.org/officeDocument/2006/relationships/hyperlink" Target="https://ich.unesco.org/fr/d%C3%A9cisions/16.COM/14" TargetMode="External"/><Relationship Id="rId26" Type="http://schemas.openxmlformats.org/officeDocument/2006/relationships/hyperlink" Target="https://ich.unesco.org/doc/src/LHE-21-16.COM-14-FR.docx" TargetMode="External"/><Relationship Id="rId3" Type="http://schemas.openxmlformats.org/officeDocument/2006/relationships/styles" Target="styles.xml"/><Relationship Id="rId21" Type="http://schemas.openxmlformats.org/officeDocument/2006/relationships/hyperlink" Target="https://ich.unesco.org/doc/src/LHE-22-17.COM_WG-10-FR.docx" TargetMode="External"/><Relationship Id="rId7" Type="http://schemas.openxmlformats.org/officeDocument/2006/relationships/endnotes" Target="endnotes.xml"/><Relationship Id="rId12" Type="http://schemas.openxmlformats.org/officeDocument/2006/relationships/hyperlink" Target="https://ich.unesco.org/fr/Decisions/13.COM/10" TargetMode="External"/><Relationship Id="rId17" Type="http://schemas.openxmlformats.org/officeDocument/2006/relationships/hyperlink" Target="https://ich.unesco.org/fr/d%C3%A9cisions/16.COM/14" TargetMode="External"/><Relationship Id="rId25" Type="http://schemas.openxmlformats.org/officeDocument/2006/relationships/hyperlink" Target="https://ich.unesco.org/fr/d%C3%A9cisions/16.COM/1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h.unesco.org/fr/Decisions/16.COM/14" TargetMode="External"/><Relationship Id="rId20" Type="http://schemas.openxmlformats.org/officeDocument/2006/relationships/hyperlink" Target="https://ich.unesco.org/doc/src/LHE-22-17.COM_WG-9-FR.doc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2.COM/14" TargetMode="External"/><Relationship Id="rId24" Type="http://schemas.openxmlformats.org/officeDocument/2006/relationships/hyperlink" Target="https://ich.unesco.org/doc/src/LHE-22-17.COM_WG-Recommandations_FR.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h.unesco.org/doc/src/LHE-21-16.COM-14-FR.docx" TargetMode="External"/><Relationship Id="rId23" Type="http://schemas.openxmlformats.org/officeDocument/2006/relationships/hyperlink" Target="https://ich.unesco.org/doc/src/LHE-22-17.COM_WG-12-FR.docx" TargetMode="External"/><Relationship Id="rId28" Type="http://schemas.openxmlformats.org/officeDocument/2006/relationships/header" Target="header1.xml"/><Relationship Id="rId10" Type="http://schemas.openxmlformats.org/officeDocument/2006/relationships/hyperlink" Target="https://ich.unesco.org/fr/Decisions/12.COM/13" TargetMode="External"/><Relationship Id="rId19" Type="http://schemas.openxmlformats.org/officeDocument/2006/relationships/hyperlink" Target="https://ich.unesco.org/doc/src/LHE-22-5.EXT.COM-INF.4-FR.docx" TargetMode="External"/><Relationship Id="rId31" Type="http://schemas.openxmlformats.org/officeDocument/2006/relationships/hyperlink" Target="https://ich.unesco.org/fr/Decisions/16.COM/14" TargetMode="External"/><Relationship Id="rId4" Type="http://schemas.openxmlformats.org/officeDocument/2006/relationships/settings" Target="settings.xml"/><Relationship Id="rId9" Type="http://schemas.openxmlformats.org/officeDocument/2006/relationships/hyperlink" Target="https://ich.unesco.org/fr/Decisions/10.COM/19" TargetMode="External"/><Relationship Id="rId14" Type="http://schemas.openxmlformats.org/officeDocument/2006/relationships/hyperlink" Target="https://ich.unesco.org/fr/Decisions/14.COM/14" TargetMode="External"/><Relationship Id="rId22" Type="http://schemas.openxmlformats.org/officeDocument/2006/relationships/hyperlink" Target="https://ich.unesco.org/doc/src/55171-FR.docx" TargetMode="External"/><Relationship Id="rId27" Type="http://schemas.openxmlformats.org/officeDocument/2006/relationships/hyperlink" Target="https://ich.unesco.org/fr/Decisions/16.COM/14" TargetMode="Externa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ich.unesco.org/fr/rflexion-globale-sur-les-mcanismes-dinscription-sur-les-listes-0116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195</TotalTime>
  <Pages>14</Pages>
  <Words>5484</Words>
  <Characters>30163</Characters>
  <Application>Microsoft Office Word</Application>
  <DocSecurity>0</DocSecurity>
  <Lines>251</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Ohinata, Fumiko</cp:lastModifiedBy>
  <cp:revision>139</cp:revision>
  <cp:lastPrinted>2022-05-04T15:18:00Z</cp:lastPrinted>
  <dcterms:created xsi:type="dcterms:W3CDTF">2022-06-21T14:11:00Z</dcterms:created>
  <dcterms:modified xsi:type="dcterms:W3CDTF">2022-06-21T22:32:00Z</dcterms:modified>
</cp:coreProperties>
</file>