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Ind w:w="0" w:type="dxa"/>
        <w:tblLook w:val="04A0" w:firstRow="1" w:lastRow="0" w:firstColumn="1" w:lastColumn="0" w:noHBand="0" w:noVBand="1"/>
      </w:tblPr>
      <w:tblGrid>
        <w:gridCol w:w="4811"/>
        <w:gridCol w:w="4827"/>
      </w:tblGrid>
      <w:tr w:rsidR="00A00D55" w:rsidRPr="002B334C" w14:paraId="4AEC3ACB" w14:textId="77777777" w:rsidTr="004855EF">
        <w:tc>
          <w:tcPr>
            <w:tcW w:w="4811" w:type="dxa"/>
            <w:tcBorders>
              <w:top w:val="nil"/>
              <w:left w:val="nil"/>
              <w:bottom w:val="nil"/>
              <w:right w:val="nil"/>
            </w:tcBorders>
          </w:tcPr>
          <w:p w14:paraId="7AF6BF75" w14:textId="4D06D993" w:rsidR="00A00D55" w:rsidRPr="00C70EFC" w:rsidRDefault="00A00D55" w:rsidP="00AB297A">
            <w:pPr>
              <w:spacing w:after="0"/>
              <w:rPr>
                <w:rFonts w:ascii="Arial" w:hAnsi="Arial" w:cs="Arial"/>
                <w:bCs/>
                <w:szCs w:val="22"/>
              </w:rPr>
            </w:pPr>
          </w:p>
        </w:tc>
        <w:tc>
          <w:tcPr>
            <w:tcW w:w="4827" w:type="dxa"/>
            <w:tcBorders>
              <w:top w:val="nil"/>
              <w:left w:val="nil"/>
              <w:bottom w:val="nil"/>
              <w:right w:val="nil"/>
            </w:tcBorders>
          </w:tcPr>
          <w:p w14:paraId="34C6D528" w14:textId="3D89080E" w:rsidR="00A00D55" w:rsidRPr="00363C5F" w:rsidRDefault="00A00D55" w:rsidP="00AB297A">
            <w:pPr>
              <w:rPr>
                <w:rFonts w:ascii="Arial" w:hAnsi="Arial" w:cs="Arial"/>
                <w:bCs/>
                <w:szCs w:val="22"/>
                <w:lang w:val="pt-PT"/>
              </w:rPr>
            </w:pPr>
          </w:p>
        </w:tc>
      </w:tr>
    </w:tbl>
    <w:p w14:paraId="5ADDB52E" w14:textId="3813FAAA" w:rsidR="00B42AF4" w:rsidRPr="00353D32" w:rsidRDefault="00B42AF4" w:rsidP="00B42AF4">
      <w:pPr>
        <w:spacing w:before="1440"/>
        <w:jc w:val="center"/>
        <w:rPr>
          <w:rFonts w:ascii="Arial" w:hAnsi="Arial" w:cs="Arial"/>
          <w:b/>
          <w:noProof/>
          <w:szCs w:val="22"/>
        </w:rPr>
      </w:pPr>
      <w:r w:rsidRPr="00353D32">
        <w:rPr>
          <w:rFonts w:ascii="Arial" w:hAnsi="Arial" w:cs="Arial"/>
          <w:b/>
          <w:noProof/>
          <w:szCs w:val="22"/>
        </w:rPr>
        <w:t>CONVENTION FOR THE SAFEGUARDING OF THE</w:t>
      </w:r>
      <w:r w:rsidRPr="00353D32">
        <w:rPr>
          <w:rFonts w:ascii="Arial" w:hAnsi="Arial" w:cs="Arial"/>
          <w:b/>
          <w:noProof/>
          <w:szCs w:val="22"/>
        </w:rPr>
        <w:br/>
        <w:t>INTANGIBLE CULTURAL HERITAGE</w:t>
      </w:r>
    </w:p>
    <w:p w14:paraId="067C8313" w14:textId="74DFB90C" w:rsidR="00B42AF4" w:rsidRPr="00353D32" w:rsidRDefault="00B42AF4" w:rsidP="00B42AF4">
      <w:pPr>
        <w:spacing w:before="1200"/>
        <w:jc w:val="center"/>
        <w:rPr>
          <w:rFonts w:ascii="Arial" w:hAnsi="Arial" w:cs="Arial"/>
          <w:b/>
          <w:noProof/>
          <w:szCs w:val="22"/>
        </w:rPr>
      </w:pPr>
      <w:r w:rsidRPr="00353D32">
        <w:rPr>
          <w:rFonts w:ascii="Arial" w:hAnsi="Arial" w:cs="Arial"/>
          <w:b/>
          <w:noProof/>
          <w:szCs w:val="22"/>
        </w:rPr>
        <w:t>INTERGOVERNMENTAL COMMITTEE FOR THE</w:t>
      </w:r>
      <w:r w:rsidRPr="00353D32">
        <w:rPr>
          <w:rFonts w:ascii="Arial" w:hAnsi="Arial" w:cs="Arial"/>
          <w:b/>
          <w:noProof/>
          <w:szCs w:val="22"/>
        </w:rPr>
        <w:br/>
        <w:t>SAFEGUARDING OF THE INTANGIBLE CULTURAL HERITAGE</w:t>
      </w:r>
    </w:p>
    <w:p w14:paraId="7244590D" w14:textId="0A7294CC" w:rsidR="00601DD6" w:rsidRDefault="00B42AF4" w:rsidP="008D6991">
      <w:pPr>
        <w:spacing w:before="960" w:after="0"/>
        <w:jc w:val="center"/>
        <w:rPr>
          <w:rFonts w:ascii="Arial" w:eastAsiaTheme="minorEastAsia" w:hAnsi="Arial" w:cs="Arial"/>
          <w:b/>
          <w:szCs w:val="22"/>
          <w:lang w:eastAsia="ko-KR"/>
        </w:rPr>
      </w:pPr>
      <w:r>
        <w:rPr>
          <w:rFonts w:ascii="Arial" w:eastAsiaTheme="minorEastAsia" w:hAnsi="Arial" w:cs="Arial"/>
          <w:b/>
          <w:szCs w:val="22"/>
          <w:lang w:eastAsia="ko-KR"/>
        </w:rPr>
        <w:t>Fifth Extraordinary Session</w:t>
      </w:r>
    </w:p>
    <w:p w14:paraId="68C31054" w14:textId="014D4C9B" w:rsidR="00AA31AD" w:rsidRPr="00804FA2" w:rsidRDefault="00AA31AD" w:rsidP="00AA31AD">
      <w:pPr>
        <w:spacing w:after="0"/>
        <w:jc w:val="center"/>
        <w:rPr>
          <w:rFonts w:ascii="Arial" w:eastAsiaTheme="minorEastAsia" w:hAnsi="Arial" w:cs="Arial"/>
          <w:b/>
          <w:szCs w:val="22"/>
          <w:lang w:eastAsia="ko-KR"/>
        </w:rPr>
      </w:pPr>
      <w:r w:rsidRPr="00804FA2">
        <w:rPr>
          <w:rFonts w:ascii="Arial" w:eastAsiaTheme="minorEastAsia" w:hAnsi="Arial" w:cs="Arial"/>
          <w:b/>
          <w:szCs w:val="22"/>
          <w:lang w:eastAsia="ko-KR"/>
        </w:rPr>
        <w:t>Online</w:t>
      </w:r>
    </w:p>
    <w:p w14:paraId="43194899" w14:textId="77269966" w:rsidR="007E4E37" w:rsidRDefault="00190171" w:rsidP="004E056C">
      <w:pPr>
        <w:spacing w:after="0"/>
        <w:jc w:val="center"/>
        <w:rPr>
          <w:rFonts w:ascii="Arial" w:hAnsi="Arial" w:cs="Arial"/>
          <w:b/>
          <w:szCs w:val="22"/>
        </w:rPr>
      </w:pPr>
      <w:r w:rsidRPr="00804FA2">
        <w:rPr>
          <w:rFonts w:ascii="Arial" w:eastAsiaTheme="minorEastAsia" w:hAnsi="Arial" w:cs="Arial"/>
          <w:b/>
          <w:szCs w:val="22"/>
          <w:lang w:eastAsia="ko-KR"/>
        </w:rPr>
        <w:t>1</w:t>
      </w:r>
      <w:r w:rsidR="00F75CF4" w:rsidRPr="00804FA2">
        <w:rPr>
          <w:rFonts w:ascii="Arial" w:eastAsiaTheme="minorEastAsia" w:hAnsi="Arial" w:cs="Arial" w:hint="eastAsia"/>
          <w:b/>
          <w:szCs w:val="22"/>
          <w:lang w:eastAsia="ko-KR"/>
        </w:rPr>
        <w:t xml:space="preserve"> </w:t>
      </w:r>
      <w:r w:rsidRPr="00804FA2">
        <w:rPr>
          <w:rFonts w:ascii="Arial" w:eastAsiaTheme="minorEastAsia" w:hAnsi="Arial" w:cs="Arial"/>
          <w:b/>
          <w:szCs w:val="22"/>
          <w:lang w:eastAsia="ko-KR"/>
        </w:rPr>
        <w:t>July</w:t>
      </w:r>
      <w:r w:rsidR="00F75CF4" w:rsidRPr="00804FA2">
        <w:rPr>
          <w:rFonts w:ascii="Arial" w:hAnsi="Arial" w:cs="Arial"/>
          <w:b/>
          <w:szCs w:val="22"/>
        </w:rPr>
        <w:t xml:space="preserve"> 20</w:t>
      </w:r>
      <w:r w:rsidR="007A1845" w:rsidRPr="00804FA2">
        <w:rPr>
          <w:rFonts w:ascii="Arial" w:hAnsi="Arial" w:cs="Arial"/>
          <w:b/>
          <w:szCs w:val="22"/>
        </w:rPr>
        <w:t>2</w:t>
      </w:r>
      <w:r w:rsidR="00304F3C" w:rsidRPr="00804FA2">
        <w:rPr>
          <w:rFonts w:ascii="Arial" w:hAnsi="Arial" w:cs="Arial"/>
          <w:b/>
          <w:szCs w:val="22"/>
        </w:rPr>
        <w:t>2</w:t>
      </w:r>
    </w:p>
    <w:p w14:paraId="202C5426" w14:textId="63506A7B" w:rsidR="00CB500D" w:rsidRPr="00293C60" w:rsidRDefault="00CB500D" w:rsidP="0035565E">
      <w:pPr>
        <w:pStyle w:val="Sansinterligne2"/>
        <w:spacing w:before="1200"/>
        <w:jc w:val="center"/>
        <w:rPr>
          <w:rFonts w:ascii="Arial" w:hAnsi="Arial" w:cs="Arial"/>
          <w:b/>
          <w:sz w:val="22"/>
          <w:szCs w:val="22"/>
          <w:lang w:val="en-GB"/>
        </w:rPr>
      </w:pPr>
      <w:r w:rsidRPr="00293C60">
        <w:rPr>
          <w:rFonts w:ascii="Arial" w:hAnsi="Arial" w:cs="Arial"/>
          <w:b/>
          <w:sz w:val="22"/>
          <w:szCs w:val="22"/>
          <w:u w:val="single"/>
          <w:lang w:val="en-GB"/>
        </w:rPr>
        <w:t>Item</w:t>
      </w:r>
      <w:r w:rsidR="00365B94">
        <w:rPr>
          <w:rFonts w:ascii="Arial" w:hAnsi="Arial" w:cs="Arial"/>
          <w:b/>
          <w:sz w:val="22"/>
          <w:szCs w:val="22"/>
          <w:u w:val="single"/>
          <w:lang w:val="en-GB"/>
        </w:rPr>
        <w:t xml:space="preserve"> </w:t>
      </w:r>
      <w:r w:rsidR="00B8293B">
        <w:rPr>
          <w:rFonts w:ascii="Arial" w:hAnsi="Arial" w:cs="Arial"/>
          <w:b/>
          <w:sz w:val="22"/>
          <w:szCs w:val="22"/>
          <w:u w:val="single"/>
          <w:lang w:val="en-GB"/>
        </w:rPr>
        <w:t>5</w:t>
      </w:r>
      <w:r>
        <w:rPr>
          <w:rFonts w:ascii="Arial" w:hAnsi="Arial" w:cs="Arial"/>
          <w:b/>
          <w:sz w:val="22"/>
          <w:szCs w:val="22"/>
          <w:u w:val="single"/>
          <w:lang w:val="en-GB"/>
        </w:rPr>
        <w:t xml:space="preserve"> </w:t>
      </w:r>
      <w:r w:rsidRPr="00293C60">
        <w:rPr>
          <w:rFonts w:ascii="Arial" w:hAnsi="Arial" w:cs="Arial"/>
          <w:b/>
          <w:sz w:val="22"/>
          <w:szCs w:val="22"/>
          <w:u w:val="single"/>
          <w:lang w:val="en-GB"/>
        </w:rPr>
        <w:t xml:space="preserve">of the </w:t>
      </w:r>
      <w:r w:rsidR="00115F9D">
        <w:rPr>
          <w:rFonts w:ascii="Arial" w:hAnsi="Arial" w:cs="Arial"/>
          <w:b/>
          <w:sz w:val="22"/>
          <w:szCs w:val="22"/>
          <w:u w:val="single"/>
          <w:lang w:val="en-GB"/>
        </w:rPr>
        <w:t>p</w:t>
      </w:r>
      <w:r w:rsidRPr="00293C60">
        <w:rPr>
          <w:rFonts w:ascii="Arial" w:hAnsi="Arial" w:cs="Arial"/>
          <w:b/>
          <w:sz w:val="22"/>
          <w:szCs w:val="22"/>
          <w:u w:val="single"/>
          <w:lang w:val="en-GB"/>
        </w:rPr>
        <w:t xml:space="preserve">rovisional </w:t>
      </w:r>
      <w:r w:rsidR="00115F9D">
        <w:rPr>
          <w:rFonts w:ascii="Arial" w:hAnsi="Arial" w:cs="Arial"/>
          <w:b/>
          <w:sz w:val="22"/>
          <w:szCs w:val="22"/>
          <w:u w:val="single"/>
          <w:lang w:val="en-GB"/>
        </w:rPr>
        <w:t>a</w:t>
      </w:r>
      <w:r w:rsidRPr="00293C60">
        <w:rPr>
          <w:rFonts w:ascii="Arial" w:hAnsi="Arial" w:cs="Arial"/>
          <w:b/>
          <w:sz w:val="22"/>
          <w:szCs w:val="22"/>
          <w:u w:val="single"/>
          <w:lang w:val="en-GB"/>
        </w:rPr>
        <w:t>genda</w:t>
      </w:r>
      <w:r w:rsidRPr="00293C60">
        <w:rPr>
          <w:rFonts w:ascii="Arial" w:hAnsi="Arial" w:cs="Arial"/>
          <w:b/>
          <w:sz w:val="22"/>
          <w:szCs w:val="22"/>
          <w:lang w:val="en-GB"/>
        </w:rPr>
        <w:t>:</w:t>
      </w:r>
    </w:p>
    <w:p w14:paraId="52431C85" w14:textId="13FCF19F" w:rsidR="00190171" w:rsidRDefault="00190171" w:rsidP="00871AA7">
      <w:pPr>
        <w:pStyle w:val="Sansinterligne2"/>
        <w:jc w:val="center"/>
        <w:rPr>
          <w:rFonts w:ascii="Arial" w:hAnsi="Arial" w:cs="Arial"/>
          <w:b/>
          <w:sz w:val="22"/>
          <w:szCs w:val="22"/>
          <w:lang w:val="en-GB"/>
        </w:rPr>
      </w:pPr>
      <w:r w:rsidRPr="004E5568">
        <w:rPr>
          <w:rFonts w:ascii="Arial" w:hAnsi="Arial" w:cs="Arial"/>
          <w:b/>
          <w:sz w:val="22"/>
          <w:szCs w:val="22"/>
          <w:lang w:val="en-GB"/>
        </w:rPr>
        <w:t>Request by Ukraine to examine the nomination ‘Culture of Ukrainian borscht cooking’</w:t>
      </w:r>
    </w:p>
    <w:p w14:paraId="73AA005E" w14:textId="22D3C8DC" w:rsidR="00190171" w:rsidRPr="00293C60" w:rsidRDefault="007214BB" w:rsidP="00190171">
      <w:pPr>
        <w:pStyle w:val="Sansinterligne2"/>
        <w:spacing w:after="960"/>
        <w:jc w:val="center"/>
        <w:rPr>
          <w:rFonts w:ascii="Arial" w:hAnsi="Arial" w:cs="Arial"/>
          <w:b/>
          <w:sz w:val="22"/>
          <w:szCs w:val="22"/>
          <w:lang w:val="en-GB"/>
        </w:rPr>
      </w:pPr>
      <w:r>
        <w:rPr>
          <w:rFonts w:ascii="Arial" w:hAnsi="Arial" w:cs="Arial"/>
          <w:b/>
          <w:sz w:val="22"/>
          <w:szCs w:val="22"/>
          <w:lang w:val="en-GB"/>
        </w:rPr>
        <w:t>for the Urgent Safeguarding List as a case of extreme urgency</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CB500D" w:rsidRPr="00A725CF" w14:paraId="11E38FB5" w14:textId="77777777" w:rsidTr="00AB297A">
        <w:trPr>
          <w:jc w:val="center"/>
        </w:trPr>
        <w:tc>
          <w:tcPr>
            <w:tcW w:w="5670" w:type="dxa"/>
            <w:vAlign w:val="center"/>
          </w:tcPr>
          <w:p w14:paraId="5C3C8775" w14:textId="5D6BF2DB" w:rsidR="00BD48B7" w:rsidRPr="007214BB" w:rsidRDefault="007214BB" w:rsidP="007214BB">
            <w:pPr>
              <w:pStyle w:val="Sansinterligne1"/>
              <w:spacing w:before="200" w:after="200"/>
              <w:jc w:val="both"/>
              <w:rPr>
                <w:rFonts w:ascii="Arial" w:hAnsi="Arial" w:cs="Arial"/>
                <w:bCs/>
                <w:sz w:val="22"/>
                <w:szCs w:val="22"/>
                <w:lang w:val="en-GB"/>
              </w:rPr>
            </w:pPr>
            <w:r>
              <w:rPr>
                <w:rFonts w:ascii="Arial" w:hAnsi="Arial" w:cs="Arial"/>
                <w:bCs/>
                <w:sz w:val="22"/>
                <w:szCs w:val="22"/>
                <w:lang w:val="en-GB"/>
              </w:rPr>
              <w:t xml:space="preserve">Ukraine made a request for the Committee to examine the nomination ‘Culture of Ukrainian borscht cooking’ for inscription on the Urgent Safeguarding </w:t>
            </w:r>
            <w:r w:rsidRPr="006B45A2">
              <w:rPr>
                <w:rFonts w:asciiTheme="minorBidi" w:hAnsiTheme="minorBidi" w:cstheme="minorBidi"/>
                <w:bCs/>
                <w:sz w:val="22"/>
                <w:szCs w:val="22"/>
                <w:lang w:val="en-GB"/>
              </w:rPr>
              <w:t xml:space="preserve">List as a case of extreme urgency </w:t>
            </w:r>
            <w:r w:rsidR="006073F4" w:rsidRPr="006B45A2">
              <w:rPr>
                <w:rFonts w:asciiTheme="minorBidi" w:hAnsiTheme="minorBidi" w:cstheme="minorBidi"/>
                <w:bCs/>
                <w:sz w:val="22"/>
                <w:szCs w:val="22"/>
                <w:lang w:val="en-GB"/>
              </w:rPr>
              <w:t>as per</w:t>
            </w:r>
            <w:r w:rsidRPr="006B45A2">
              <w:rPr>
                <w:rFonts w:asciiTheme="minorBidi" w:hAnsiTheme="minorBidi" w:cstheme="minorBidi"/>
                <w:bCs/>
                <w:sz w:val="22"/>
                <w:szCs w:val="22"/>
                <w:lang w:val="en-GB"/>
              </w:rPr>
              <w:t xml:space="preserve"> Article 17.3 of the 2003 Convention.</w:t>
            </w:r>
            <w:r w:rsidRPr="006B45A2">
              <w:rPr>
                <w:rFonts w:asciiTheme="minorBidi" w:hAnsiTheme="minorBidi" w:cstheme="minorBidi"/>
                <w:bCs/>
                <w:szCs w:val="22"/>
                <w:lang w:val="en-US"/>
              </w:rPr>
              <w:t xml:space="preserve"> </w:t>
            </w:r>
            <w:r w:rsidR="006B45A2" w:rsidRPr="001F1253">
              <w:rPr>
                <w:rFonts w:ascii="Arial" w:hAnsi="Arial" w:cs="Arial"/>
                <w:bCs/>
                <w:sz w:val="22"/>
                <w:szCs w:val="22"/>
                <w:lang w:val="en-GB"/>
              </w:rPr>
              <w:t>Following the procedure established by the Bureau of the Committee</w:t>
            </w:r>
            <w:r w:rsidR="006B45A2" w:rsidRPr="00CC1C3D">
              <w:rPr>
                <w:rFonts w:ascii="Arial" w:hAnsi="Arial" w:cs="Arial"/>
                <w:bCs/>
                <w:sz w:val="22"/>
                <w:szCs w:val="22"/>
                <w:lang w:val="en-GB"/>
              </w:rPr>
              <w:t>, t</w:t>
            </w:r>
            <w:r w:rsidRPr="00CC1C3D">
              <w:rPr>
                <w:rFonts w:ascii="Arial" w:hAnsi="Arial" w:cs="Arial"/>
                <w:bCs/>
                <w:sz w:val="22"/>
                <w:szCs w:val="22"/>
                <w:lang w:val="en-GB"/>
              </w:rPr>
              <w:t>his document presents this request</w:t>
            </w:r>
            <w:r w:rsidR="006B45A2" w:rsidRPr="00CC1C3D">
              <w:rPr>
                <w:rFonts w:ascii="Arial" w:hAnsi="Arial" w:cs="Arial"/>
                <w:bCs/>
                <w:sz w:val="22"/>
                <w:szCs w:val="22"/>
                <w:lang w:val="en-GB"/>
              </w:rPr>
              <w:t xml:space="preserve"> and</w:t>
            </w:r>
            <w:r w:rsidRPr="00CC1C3D">
              <w:rPr>
                <w:rFonts w:ascii="Arial" w:hAnsi="Arial" w:cs="Arial"/>
                <w:bCs/>
                <w:sz w:val="22"/>
                <w:szCs w:val="22"/>
                <w:lang w:val="en-GB"/>
              </w:rPr>
              <w:t xml:space="preserve"> the recommendation of the Evaluation Body</w:t>
            </w:r>
            <w:r w:rsidR="001317C9">
              <w:rPr>
                <w:rFonts w:ascii="Arial" w:hAnsi="Arial" w:cs="Arial"/>
                <w:bCs/>
                <w:sz w:val="22"/>
                <w:szCs w:val="22"/>
                <w:lang w:val="en-GB"/>
              </w:rPr>
              <w:t>.</w:t>
            </w:r>
          </w:p>
          <w:p w14:paraId="3AB020B5" w14:textId="7DD74FAA" w:rsidR="00CB500D" w:rsidRPr="00293C60" w:rsidRDefault="00B42AF4" w:rsidP="00922F09">
            <w:pPr>
              <w:pStyle w:val="Sansinterligne2"/>
              <w:spacing w:before="200" w:after="200"/>
              <w:rPr>
                <w:rFonts w:ascii="Arial" w:hAnsi="Arial" w:cs="Arial"/>
                <w:b/>
                <w:sz w:val="22"/>
                <w:szCs w:val="22"/>
                <w:lang w:val="en-GB"/>
              </w:rPr>
            </w:pPr>
            <w:r>
              <w:rPr>
                <w:rFonts w:ascii="Arial" w:hAnsi="Arial" w:cs="Arial"/>
                <w:b/>
                <w:sz w:val="22"/>
                <w:szCs w:val="22"/>
                <w:lang w:val="en-GB"/>
              </w:rPr>
              <w:t>Decision Required:</w:t>
            </w:r>
            <w:r w:rsidR="00DA30CC">
              <w:rPr>
                <w:rFonts w:ascii="Arial" w:hAnsi="Arial" w:cs="Arial"/>
                <w:b/>
                <w:sz w:val="22"/>
                <w:szCs w:val="22"/>
                <w:lang w:val="en-GB"/>
              </w:rPr>
              <w:t xml:space="preserve"> </w:t>
            </w:r>
            <w:r w:rsidR="00DA30CC" w:rsidRPr="00DA30CC">
              <w:rPr>
                <w:rFonts w:ascii="Arial" w:hAnsi="Arial" w:cs="Arial"/>
                <w:bCs/>
                <w:sz w:val="22"/>
                <w:szCs w:val="22"/>
                <w:lang w:val="en-GB"/>
              </w:rPr>
              <w:t xml:space="preserve">paragraph </w:t>
            </w:r>
            <w:r w:rsidR="008428E7">
              <w:rPr>
                <w:rFonts w:ascii="Arial" w:hAnsi="Arial" w:cs="Arial"/>
                <w:bCs/>
                <w:sz w:val="22"/>
                <w:szCs w:val="22"/>
                <w:lang w:val="en-GB"/>
              </w:rPr>
              <w:t>7</w:t>
            </w:r>
          </w:p>
        </w:tc>
      </w:tr>
    </w:tbl>
    <w:p w14:paraId="0A5FB85E" w14:textId="77777777" w:rsidR="00C17F59" w:rsidRDefault="00C17F59">
      <w:pPr>
        <w:spacing w:after="0"/>
        <w:rPr>
          <w:rFonts w:ascii="Arial" w:eastAsia="SimSun" w:hAnsi="Arial" w:cs="Arial"/>
          <w:noProof/>
          <w:szCs w:val="22"/>
        </w:rPr>
      </w:pPr>
      <w:r>
        <w:rPr>
          <w:rFonts w:ascii="Arial" w:eastAsia="SimSun" w:hAnsi="Arial" w:cs="Arial"/>
          <w:noProof/>
          <w:szCs w:val="22"/>
        </w:rPr>
        <w:br w:type="page"/>
      </w:r>
    </w:p>
    <w:p w14:paraId="15DBFEE5" w14:textId="6356618B" w:rsidR="006E6154" w:rsidRDefault="00C9118C" w:rsidP="00CC1C3D">
      <w:pPr>
        <w:pStyle w:val="COMPara"/>
        <w:keepNext/>
        <w:numPr>
          <w:ilvl w:val="0"/>
          <w:numId w:val="16"/>
        </w:numPr>
        <w:ind w:left="567" w:hanging="567"/>
        <w:jc w:val="both"/>
      </w:pPr>
      <w:r w:rsidRPr="00C4434F">
        <w:rPr>
          <w:bCs/>
        </w:rPr>
        <w:lastRenderedPageBreak/>
        <w:t>This document concerns the request by Ukraine</w:t>
      </w:r>
      <w:r w:rsidRPr="00C4434F">
        <w:t xml:space="preserve"> to inscribe as soon as </w:t>
      </w:r>
      <w:r w:rsidRPr="00C4434F">
        <w:rPr>
          <w:bCs/>
        </w:rPr>
        <w:t>possible</w:t>
      </w:r>
      <w:r w:rsidRPr="00C4434F">
        <w:t xml:space="preserve"> the nomination ‘</w:t>
      </w:r>
      <w:r w:rsidRPr="00C4434F">
        <w:rPr>
          <w:bCs/>
        </w:rPr>
        <w:t>Culture of Ukrainian borscht cooking</w:t>
      </w:r>
      <w:r w:rsidRPr="00C4434F">
        <w:t xml:space="preserve">’ on </w:t>
      </w:r>
      <w:r w:rsidR="000E051E">
        <w:t>the List of Intangible Cultural Heritage in Need of Urgent Safeguarding (hereafter, ‘the Urgent Safeguarding List’)</w:t>
      </w:r>
      <w:r w:rsidR="001317C9">
        <w:t xml:space="preserve">. </w:t>
      </w:r>
      <w:r w:rsidR="00C0364B">
        <w:t>Following the initial submission in March 2021 for inscription on</w:t>
      </w:r>
      <w:r w:rsidR="000E051E">
        <w:t xml:space="preserve"> the</w:t>
      </w:r>
      <w:r w:rsidR="00C0364B">
        <w:t xml:space="preserve"> </w:t>
      </w:r>
      <w:r w:rsidR="000E051E" w:rsidRPr="00AA0BA2">
        <w:t>Representative List of the Intangible Cultural Heritage of Humanity</w:t>
      </w:r>
      <w:r w:rsidR="00C0364B">
        <w:t xml:space="preserve">, the nomination </w:t>
      </w:r>
      <w:r w:rsidR="003227C6">
        <w:t xml:space="preserve">was pending treatment </w:t>
      </w:r>
      <w:r w:rsidR="003227C6" w:rsidRPr="00D4410C">
        <w:t>in application of</w:t>
      </w:r>
      <w:r w:rsidR="00C0364B" w:rsidRPr="00485A17">
        <w:t xml:space="preserve"> </w:t>
      </w:r>
      <w:r w:rsidR="00D0209C" w:rsidRPr="00D4410C">
        <w:t xml:space="preserve">Priority (0) category as part of </w:t>
      </w:r>
      <w:r w:rsidR="000A7FEA" w:rsidRPr="00D4410C">
        <w:t xml:space="preserve">the annual ceiling and </w:t>
      </w:r>
      <w:r w:rsidR="000E051E" w:rsidRPr="00D4410C">
        <w:t>the order of priorities</w:t>
      </w:r>
      <w:r w:rsidR="000A7FEA" w:rsidRPr="00D4410C">
        <w:t xml:space="preserve"> </w:t>
      </w:r>
      <w:r w:rsidR="00D0209C" w:rsidRPr="00D4410C">
        <w:t xml:space="preserve">system </w:t>
      </w:r>
      <w:r w:rsidR="00182F49" w:rsidRPr="00D4410C">
        <w:t>for the listing mechanisms</w:t>
      </w:r>
      <w:r w:rsidR="00937FFE" w:rsidRPr="00D4410C">
        <w:t xml:space="preserve"> set out in the Operational Directives</w:t>
      </w:r>
      <w:r w:rsidR="000A7FEA" w:rsidRPr="00D4410C">
        <w:t>. In the context of</w:t>
      </w:r>
      <w:r w:rsidR="000A7FEA">
        <w:t xml:space="preserve"> the ongoing armed conflict, Ukraine made a request on 21 April 2022 for this nomination to be treated as a case of extreme urgency </w:t>
      </w:r>
      <w:r w:rsidR="000A7FEA" w:rsidRPr="00C4434F">
        <w:t>in reference to Article 17.3 of the 2003 Convention</w:t>
      </w:r>
      <w:r w:rsidR="000E051E">
        <w:t>,</w:t>
      </w:r>
      <w:r w:rsidR="000A7FEA">
        <w:t xml:space="preserve"> </w:t>
      </w:r>
      <w:r w:rsidR="00212E33">
        <w:t>which would be the first time that this</w:t>
      </w:r>
      <w:r w:rsidR="005173F3">
        <w:t xml:space="preserve"> provision </w:t>
      </w:r>
      <w:r w:rsidR="00212E33">
        <w:t>would be</w:t>
      </w:r>
      <w:r w:rsidR="00937FFE">
        <w:t xml:space="preserve"> applied </w:t>
      </w:r>
      <w:r w:rsidR="000A7FEA">
        <w:t>in the implementation of the Convention.</w:t>
      </w:r>
    </w:p>
    <w:p w14:paraId="5D4AB2FF" w14:textId="03E8F3CE" w:rsidR="00C0364B" w:rsidRDefault="00B85AF1" w:rsidP="00CC1C3D">
      <w:pPr>
        <w:pStyle w:val="COMPara"/>
        <w:keepNext/>
        <w:numPr>
          <w:ilvl w:val="0"/>
          <w:numId w:val="16"/>
        </w:numPr>
        <w:ind w:left="567" w:hanging="567"/>
        <w:jc w:val="both"/>
      </w:pPr>
      <w:r>
        <w:t>The</w:t>
      </w:r>
      <w:r w:rsidR="00C4434F" w:rsidRPr="00B85AF1">
        <w:t xml:space="preserve"> Bureau met on 6 May 2022 to consider the request and establish a </w:t>
      </w:r>
      <w:r w:rsidR="006523BB">
        <w:t xml:space="preserve">step-by-step </w:t>
      </w:r>
      <w:r w:rsidR="00C4434F" w:rsidRPr="00B85AF1">
        <w:t>procedure</w:t>
      </w:r>
      <w:r w:rsidR="006523BB">
        <w:t xml:space="preserve"> </w:t>
      </w:r>
      <w:r w:rsidR="00C4434F" w:rsidRPr="00B85AF1">
        <w:t xml:space="preserve">to treat the request (document </w:t>
      </w:r>
      <w:hyperlink r:id="rId8" w:history="1">
        <w:r w:rsidR="00C4434F" w:rsidRPr="00BA206A">
          <w:rPr>
            <w:rStyle w:val="Lienhypertexte"/>
          </w:rPr>
          <w:t>LHE/22/17.COM 3.BUR/3</w:t>
        </w:r>
      </w:hyperlink>
      <w:r w:rsidR="00C4434F" w:rsidRPr="00B85AF1">
        <w:rPr>
          <w:rStyle w:val="Lienhypertexte"/>
          <w:u w:val="none"/>
        </w:rPr>
        <w:t xml:space="preserve"> </w:t>
      </w:r>
      <w:r w:rsidR="00C4434F" w:rsidRPr="00B85AF1">
        <w:t>and</w:t>
      </w:r>
      <w:r w:rsidR="00C4434F" w:rsidRPr="00B85AF1">
        <w:rPr>
          <w:rStyle w:val="Lienhypertexte"/>
          <w:u w:val="none"/>
        </w:rPr>
        <w:t xml:space="preserve"> </w:t>
      </w:r>
      <w:hyperlink r:id="rId9" w:history="1">
        <w:r w:rsidR="00C4434F" w:rsidRPr="00BA206A">
          <w:rPr>
            <w:rStyle w:val="Lienhypertexte"/>
          </w:rPr>
          <w:t>Decision 17.COM 3.BUR 3</w:t>
        </w:r>
      </w:hyperlink>
      <w:r w:rsidR="00C4434F" w:rsidRPr="00B85AF1">
        <w:t>).</w:t>
      </w:r>
      <w:r w:rsidR="006523BB">
        <w:t xml:space="preserve"> </w:t>
      </w:r>
      <w:r w:rsidR="006B45A2">
        <w:t xml:space="preserve">Following </w:t>
      </w:r>
      <w:r w:rsidR="00C4434F" w:rsidRPr="006523BB">
        <w:t xml:space="preserve">the procedure established, Ukraine was invited to submit any additional information </w:t>
      </w:r>
      <w:r w:rsidR="00D33B28" w:rsidRPr="00D33B28">
        <w:t xml:space="preserve">to </w:t>
      </w:r>
      <w:r w:rsidR="003426EC" w:rsidRPr="00D33B28">
        <w:t xml:space="preserve">that which </w:t>
      </w:r>
      <w:r w:rsidR="00C4434F" w:rsidRPr="00D33B28">
        <w:t xml:space="preserve">had been </w:t>
      </w:r>
      <w:r w:rsidR="00D33B28" w:rsidRPr="008C0685">
        <w:t xml:space="preserve">previously </w:t>
      </w:r>
      <w:r w:rsidR="00C4434F" w:rsidRPr="00D33B28">
        <w:t>provided, particularly</w:t>
      </w:r>
      <w:r w:rsidR="00C4434F" w:rsidRPr="006523BB">
        <w:t xml:space="preserve"> as regards inscription criteria U.2(b) and U.6. The Secretariat consolidated the additional information received from Ukraine on 14</w:t>
      </w:r>
      <w:r w:rsidR="00517382">
        <w:t xml:space="preserve"> June (a letter)</w:t>
      </w:r>
      <w:r w:rsidR="00C4434F" w:rsidRPr="006523BB">
        <w:t xml:space="preserve"> and 15 June</w:t>
      </w:r>
      <w:r w:rsidR="00517382">
        <w:t xml:space="preserve"> (a complete Form ICH-01 and a new set of ten photos)</w:t>
      </w:r>
      <w:r w:rsidR="00C4434F" w:rsidRPr="006523BB">
        <w:t xml:space="preserve"> into a composite nomination dossier</w:t>
      </w:r>
      <w:r w:rsidR="008F7F61">
        <w:t xml:space="preserve"> </w:t>
      </w:r>
      <w:r w:rsidR="00517382" w:rsidRPr="006523BB">
        <w:t xml:space="preserve">(no. </w:t>
      </w:r>
      <w:r w:rsidR="00517382" w:rsidRPr="008C0685">
        <w:t>01852</w:t>
      </w:r>
      <w:r w:rsidR="00EF16FC">
        <w:t xml:space="preserve">; </w:t>
      </w:r>
      <w:hyperlink r:id="rId10" w:history="1">
        <w:r w:rsidR="003227C6" w:rsidRPr="005D0D83">
          <w:rPr>
            <w:rStyle w:val="Lienhypertexte"/>
          </w:rPr>
          <w:t>https://ich.unesco.org/en/ukraine-request-01263</w:t>
        </w:r>
      </w:hyperlink>
      <w:r w:rsidR="00517382" w:rsidRPr="006523BB">
        <w:t>)</w:t>
      </w:r>
      <w:r w:rsidR="00C4434F" w:rsidRPr="006523BB">
        <w:t xml:space="preserve">, using </w:t>
      </w:r>
      <w:r w:rsidR="00C0364B">
        <w:t xml:space="preserve">newly submitted </w:t>
      </w:r>
      <w:r w:rsidR="00C4434F" w:rsidRPr="006523BB">
        <w:t>Form ICH-01</w:t>
      </w:r>
      <w:r w:rsidR="00E24846" w:rsidRPr="006523BB">
        <w:t xml:space="preserve"> </w:t>
      </w:r>
      <w:r w:rsidR="001317C9">
        <w:t xml:space="preserve">as a main </w:t>
      </w:r>
      <w:r w:rsidR="00517382">
        <w:t>base</w:t>
      </w:r>
      <w:r w:rsidR="00C4434F" w:rsidRPr="006523BB">
        <w:t>.</w:t>
      </w:r>
    </w:p>
    <w:p w14:paraId="021CF892" w14:textId="4F9D0E54" w:rsidR="009F004F" w:rsidRPr="006523BB" w:rsidRDefault="00313926" w:rsidP="00CC1C3D">
      <w:pPr>
        <w:pStyle w:val="COMPara"/>
        <w:keepNext/>
        <w:numPr>
          <w:ilvl w:val="0"/>
          <w:numId w:val="16"/>
        </w:numPr>
        <w:ind w:left="567" w:hanging="567"/>
        <w:jc w:val="both"/>
      </w:pPr>
      <w:r>
        <w:rPr>
          <w:lang w:val="en-US"/>
        </w:rPr>
        <w:t xml:space="preserve">Following the request by the Bureau, the </w:t>
      </w:r>
      <w:r w:rsidR="00371323">
        <w:rPr>
          <w:lang w:val="en-US"/>
        </w:rPr>
        <w:t xml:space="preserve">2022 </w:t>
      </w:r>
      <w:r>
        <w:rPr>
          <w:lang w:val="en-US"/>
        </w:rPr>
        <w:t xml:space="preserve">Evaluation Body evaluated the nomination, </w:t>
      </w:r>
      <w:r w:rsidRPr="00CC1C3D">
        <w:t>using</w:t>
      </w:r>
      <w:r>
        <w:rPr>
          <w:lang w:val="en-US"/>
        </w:rPr>
        <w:t xml:space="preserve"> the same working method </w:t>
      </w:r>
      <w:r w:rsidR="009C1E63">
        <w:rPr>
          <w:lang w:val="en-US"/>
        </w:rPr>
        <w:t xml:space="preserve">as that </w:t>
      </w:r>
      <w:r>
        <w:rPr>
          <w:lang w:val="en-US"/>
        </w:rPr>
        <w:t xml:space="preserve">used for evaluating the files of the 2022 cycle. </w:t>
      </w:r>
      <w:r w:rsidR="00C4434F" w:rsidRPr="006523BB">
        <w:rPr>
          <w:lang w:val="en-US"/>
        </w:rPr>
        <w:t xml:space="preserve">The nomination was </w:t>
      </w:r>
      <w:r>
        <w:rPr>
          <w:lang w:val="en-US"/>
        </w:rPr>
        <w:t>first t</w:t>
      </w:r>
      <w:r w:rsidR="00C4434F" w:rsidRPr="006523BB">
        <w:rPr>
          <w:lang w:val="en-US"/>
        </w:rPr>
        <w:t xml:space="preserve">ransmitted to </w:t>
      </w:r>
      <w:r w:rsidR="00371323">
        <w:rPr>
          <w:lang w:val="en-US"/>
        </w:rPr>
        <w:t>its members</w:t>
      </w:r>
      <w:r w:rsidR="00C4434F" w:rsidRPr="006523BB">
        <w:rPr>
          <w:lang w:val="en-US"/>
        </w:rPr>
        <w:t xml:space="preserve"> </w:t>
      </w:r>
      <w:r w:rsidR="008E00EE">
        <w:rPr>
          <w:lang w:val="en-US"/>
        </w:rPr>
        <w:t>on 15 and 16 June 2022</w:t>
      </w:r>
      <w:r w:rsidR="00517382">
        <w:rPr>
          <w:lang w:val="en-US"/>
        </w:rPr>
        <w:t xml:space="preserve"> through the online interface </w:t>
      </w:r>
      <w:r w:rsidR="00371323">
        <w:rPr>
          <w:lang w:val="en-US"/>
        </w:rPr>
        <w:t>to facilitate</w:t>
      </w:r>
      <w:r w:rsidR="008E00EE">
        <w:rPr>
          <w:lang w:val="en-US"/>
        </w:rPr>
        <w:t xml:space="preserve"> </w:t>
      </w:r>
      <w:r w:rsidR="00517382">
        <w:rPr>
          <w:lang w:val="en-US"/>
        </w:rPr>
        <w:t>individual evaluation</w:t>
      </w:r>
      <w:r w:rsidR="00371323">
        <w:rPr>
          <w:lang w:val="en-US"/>
        </w:rPr>
        <w:t>s</w:t>
      </w:r>
      <w:r w:rsidR="00517382">
        <w:rPr>
          <w:lang w:val="en-US"/>
        </w:rPr>
        <w:t xml:space="preserve">. </w:t>
      </w:r>
      <w:r>
        <w:rPr>
          <w:lang w:val="en-US"/>
        </w:rPr>
        <w:t>During its June meeting</w:t>
      </w:r>
      <w:r w:rsidR="00C4434F" w:rsidRPr="006523BB">
        <w:t xml:space="preserve"> </w:t>
      </w:r>
      <w:r>
        <w:t>t</w:t>
      </w:r>
      <w:r w:rsidR="00F17AC5" w:rsidRPr="006523BB">
        <w:t>he Body</w:t>
      </w:r>
      <w:r w:rsidR="00371323">
        <w:t xml:space="preserve"> members</w:t>
      </w:r>
      <w:r w:rsidR="00F17AC5" w:rsidRPr="006523BB">
        <w:t xml:space="preserve"> </w:t>
      </w:r>
      <w:r>
        <w:t xml:space="preserve">evaluated the nomination collectively </w:t>
      </w:r>
      <w:r w:rsidR="00C75533">
        <w:t xml:space="preserve">on 20 June 2022 </w:t>
      </w:r>
      <w:r>
        <w:t xml:space="preserve">and </w:t>
      </w:r>
      <w:r w:rsidR="00F17AC5" w:rsidRPr="006523BB">
        <w:t>finalized its recommendation</w:t>
      </w:r>
      <w:r>
        <w:t xml:space="preserve"> on 21 June 2022. The recommendation of the Evaluation Body</w:t>
      </w:r>
      <w:r w:rsidR="00F17AC5" w:rsidRPr="006523BB">
        <w:t xml:space="preserve"> was</w:t>
      </w:r>
      <w:r>
        <w:t xml:space="preserve"> </w:t>
      </w:r>
      <w:r w:rsidR="00E24846" w:rsidRPr="006523BB">
        <w:t>transferred</w:t>
      </w:r>
      <w:r w:rsidR="00F17AC5" w:rsidRPr="006523BB">
        <w:t xml:space="preserve"> to the Bureau for its meeting on 23 June 2022</w:t>
      </w:r>
      <w:r w:rsidR="00E24846" w:rsidRPr="006523BB">
        <w:t xml:space="preserve"> (document </w:t>
      </w:r>
      <w:hyperlink r:id="rId11" w:history="1">
        <w:r w:rsidR="00E24846" w:rsidRPr="00E24846">
          <w:rPr>
            <w:rStyle w:val="Lienhypertexte"/>
          </w:rPr>
          <w:t>LHE/22/17 COM 4.BUR 5</w:t>
        </w:r>
      </w:hyperlink>
      <w:r w:rsidR="00E24846" w:rsidRPr="006523BB">
        <w:t>)</w:t>
      </w:r>
      <w:r w:rsidR="00F17AC5" w:rsidRPr="006523BB">
        <w:t>.</w:t>
      </w:r>
    </w:p>
    <w:p w14:paraId="7E6822C8" w14:textId="1AEB1A9C" w:rsidR="00CC1C3D" w:rsidRPr="008F7F61" w:rsidRDefault="00CC1C3D" w:rsidP="00335C0B">
      <w:pPr>
        <w:pStyle w:val="COMParaDecision"/>
        <w:numPr>
          <w:ilvl w:val="0"/>
          <w:numId w:val="16"/>
        </w:numPr>
        <w:ind w:left="567" w:hanging="567"/>
        <w:rPr>
          <w:lang w:val="en-US"/>
        </w:rPr>
      </w:pPr>
      <w:r>
        <w:rPr>
          <w:u w:val="none"/>
        </w:rPr>
        <w:t>The Evaluation Body noted that the element performs a function of social integration and cohesion that serves to unite the people of Ukraine, regardless of age, gender or background. In this sense, the present case also demonstrate</w:t>
      </w:r>
      <w:r w:rsidR="003426EC">
        <w:rPr>
          <w:u w:val="none"/>
        </w:rPr>
        <w:t>s</w:t>
      </w:r>
      <w:r>
        <w:rPr>
          <w:u w:val="none"/>
        </w:rPr>
        <w:t xml:space="preserve"> the dual role of intangible cultural heritage in emergencies in the sense of the Convention’s </w:t>
      </w:r>
      <w:hyperlink r:id="rId12" w:history="1">
        <w:r w:rsidRPr="00AD56D8">
          <w:rPr>
            <w:rStyle w:val="Lienhypertexte"/>
          </w:rPr>
          <w:t>Operational principles and modalities</w:t>
        </w:r>
      </w:hyperlink>
      <w:r>
        <w:rPr>
          <w:u w:val="none"/>
        </w:rPr>
        <w:t xml:space="preserve"> for safeguarding intangible cultural heritage and emergencies. While on the one hand its continued practice is directly threatened by the armed conflict, on the other hand, the element play</w:t>
      </w:r>
      <w:r w:rsidR="003426EC">
        <w:rPr>
          <w:u w:val="none"/>
        </w:rPr>
        <w:t>s</w:t>
      </w:r>
      <w:r>
        <w:rPr>
          <w:u w:val="none"/>
        </w:rPr>
        <w:t xml:space="preserve"> a role in supporting affected communities by providing a sense of resilience and solidarity.</w:t>
      </w:r>
    </w:p>
    <w:p w14:paraId="11DA0E66" w14:textId="438570C9" w:rsidR="005C224C" w:rsidRPr="00335C0B" w:rsidRDefault="00F17AC5" w:rsidP="00CF3EC6">
      <w:pPr>
        <w:pStyle w:val="COMParaDecision"/>
        <w:numPr>
          <w:ilvl w:val="0"/>
          <w:numId w:val="16"/>
        </w:numPr>
        <w:ind w:left="567" w:hanging="567"/>
        <w:rPr>
          <w:lang w:val="en-US"/>
        </w:rPr>
      </w:pPr>
      <w:r w:rsidRPr="00CC1C3D">
        <w:rPr>
          <w:rFonts w:eastAsia="Times New Roman"/>
          <w:u w:val="none"/>
          <w:lang w:val="en-US" w:eastAsia="en-US"/>
        </w:rPr>
        <w:t>Based</w:t>
      </w:r>
      <w:r w:rsidRPr="00CC1C3D">
        <w:rPr>
          <w:u w:val="none"/>
        </w:rPr>
        <w:t xml:space="preserve"> on </w:t>
      </w:r>
      <w:r w:rsidRPr="00CC1C3D">
        <w:rPr>
          <w:u w:val="none"/>
          <w:lang w:val="en-US"/>
        </w:rPr>
        <w:t>the</w:t>
      </w:r>
      <w:r w:rsidRPr="00CC1C3D">
        <w:rPr>
          <w:u w:val="none"/>
        </w:rPr>
        <w:t xml:space="preserve"> recommendation of the Evaluation Body,</w:t>
      </w:r>
      <w:r w:rsidR="00313926" w:rsidRPr="00CC1C3D">
        <w:rPr>
          <w:u w:val="none"/>
        </w:rPr>
        <w:t xml:space="preserve"> which is provided in sections A and B below,</w:t>
      </w:r>
      <w:r w:rsidRPr="00CC1C3D">
        <w:rPr>
          <w:u w:val="none"/>
        </w:rPr>
        <w:t xml:space="preserve"> the Bureau considered that the nomination constituted a case of extreme urgency in line with Article 17.3 of the Convention</w:t>
      </w:r>
      <w:r w:rsidR="00E02F45" w:rsidRPr="00CC1C3D">
        <w:rPr>
          <w:u w:val="none"/>
        </w:rPr>
        <w:t xml:space="preserve"> and underscored the importance of bringing this request to the Committee as quickly as possible after its submission (Decision </w:t>
      </w:r>
      <w:hyperlink r:id="rId13" w:history="1">
        <w:r w:rsidR="00E02F45" w:rsidRPr="00CC1C3D">
          <w:rPr>
            <w:rStyle w:val="Lienhypertexte"/>
            <w:u w:val="none"/>
          </w:rPr>
          <w:t>17.COM 4.BUR 5</w:t>
        </w:r>
      </w:hyperlink>
      <w:r w:rsidR="00E02F45" w:rsidRPr="00CC1C3D">
        <w:rPr>
          <w:u w:val="none"/>
        </w:rPr>
        <w:t>)</w:t>
      </w:r>
      <w:r w:rsidRPr="00CC1C3D">
        <w:rPr>
          <w:u w:val="none"/>
        </w:rPr>
        <w:t xml:space="preserve">. </w:t>
      </w:r>
      <w:r w:rsidR="00E24846" w:rsidRPr="00CC1C3D">
        <w:rPr>
          <w:u w:val="none"/>
        </w:rPr>
        <w:t>In this regard, t</w:t>
      </w:r>
      <w:r w:rsidRPr="00CC1C3D">
        <w:rPr>
          <w:u w:val="none"/>
        </w:rPr>
        <w:t>he Bureau</w:t>
      </w:r>
      <w:r w:rsidR="00E02F45" w:rsidRPr="00CC1C3D">
        <w:rPr>
          <w:u w:val="none"/>
        </w:rPr>
        <w:t xml:space="preserve"> requested the Secretariat to initiate an electronic exchange with the Committee members to include an item on the request by Ukraine in the fifth extraordinary session of the Committee</w:t>
      </w:r>
      <w:r w:rsidRPr="00CC1C3D">
        <w:rPr>
          <w:u w:val="none"/>
        </w:rPr>
        <w:t xml:space="preserve"> (Online</w:t>
      </w:r>
      <w:r w:rsidR="00E02F45" w:rsidRPr="00CC1C3D">
        <w:rPr>
          <w:u w:val="none"/>
        </w:rPr>
        <w:t>,</w:t>
      </w:r>
      <w:r w:rsidRPr="00CC1C3D">
        <w:rPr>
          <w:u w:val="none"/>
        </w:rPr>
        <w:t xml:space="preserve"> 1 July 2022</w:t>
      </w:r>
      <w:r w:rsidR="009F004F" w:rsidRPr="00CC1C3D">
        <w:rPr>
          <w:u w:val="none"/>
        </w:rPr>
        <w:t>)</w:t>
      </w:r>
      <w:r w:rsidRPr="00CC1C3D">
        <w:rPr>
          <w:u w:val="none"/>
        </w:rPr>
        <w:t>.</w:t>
      </w:r>
      <w:r w:rsidR="009F004F" w:rsidRPr="00CC1C3D">
        <w:rPr>
          <w:u w:val="none"/>
        </w:rPr>
        <w:t xml:space="preserve"> </w:t>
      </w:r>
      <w:r w:rsidR="009C1E63" w:rsidRPr="00CC1C3D">
        <w:rPr>
          <w:u w:val="none"/>
        </w:rPr>
        <w:t>As</w:t>
      </w:r>
      <w:r w:rsidR="00E02F45" w:rsidRPr="00CC1C3D">
        <w:rPr>
          <w:u w:val="none"/>
        </w:rPr>
        <w:t xml:space="preserve"> at least two thirds of the Committee agreed with the proposal by the Bureau</w:t>
      </w:r>
      <w:r w:rsidR="008F7F61">
        <w:rPr>
          <w:u w:val="none"/>
        </w:rPr>
        <w:t xml:space="preserve"> with reference to Rule 2.2 and Rule 11 of the Rules of Procedure of the Committee</w:t>
      </w:r>
      <w:r w:rsidR="00E02F45" w:rsidRPr="00CC1C3D">
        <w:rPr>
          <w:u w:val="none"/>
        </w:rPr>
        <w:t>, the request is brough</w:t>
      </w:r>
      <w:r w:rsidR="009C1E63" w:rsidRPr="00CC1C3D">
        <w:rPr>
          <w:u w:val="none"/>
        </w:rPr>
        <w:t>t</w:t>
      </w:r>
      <w:r w:rsidR="00E02F45" w:rsidRPr="00CC1C3D">
        <w:rPr>
          <w:u w:val="none"/>
        </w:rPr>
        <w:t xml:space="preserve"> to the attention of the present extraordinary session of the Committee</w:t>
      </w:r>
      <w:r w:rsidR="00335C0B" w:rsidRPr="00CC1C3D">
        <w:rPr>
          <w:u w:val="none"/>
        </w:rPr>
        <w:t>.</w:t>
      </w:r>
    </w:p>
    <w:p w14:paraId="37C229D6" w14:textId="77777777" w:rsidR="00C9118C" w:rsidRDefault="00C9118C" w:rsidP="00CF3EC6">
      <w:pPr>
        <w:pStyle w:val="ABSTRACTS"/>
        <w:numPr>
          <w:ilvl w:val="0"/>
          <w:numId w:val="23"/>
        </w:numPr>
        <w:snapToGrid w:val="0"/>
        <w:ind w:left="540" w:hanging="540"/>
        <w:rPr>
          <w:b/>
          <w:bCs/>
          <w:lang w:val="en-GB"/>
        </w:rPr>
      </w:pPr>
      <w:r>
        <w:rPr>
          <w:b/>
          <w:bCs/>
          <w:lang w:val="en-GB"/>
        </w:rPr>
        <w:t>Recommendation</w:t>
      </w:r>
    </w:p>
    <w:p w14:paraId="2ECBD2E8" w14:textId="77777777" w:rsidR="00C9118C" w:rsidRDefault="00C9118C" w:rsidP="00CF3EC6">
      <w:pPr>
        <w:pStyle w:val="COMPara"/>
        <w:numPr>
          <w:ilvl w:val="0"/>
          <w:numId w:val="16"/>
        </w:numPr>
        <w:ind w:left="567" w:hanging="567"/>
        <w:jc w:val="both"/>
      </w:pPr>
      <w:r w:rsidRPr="00CC1C3D">
        <w:rPr>
          <w:lang w:val="en-US"/>
        </w:rPr>
        <w:t>The</w:t>
      </w:r>
      <w:r>
        <w:t xml:space="preserve"> Evaluation Body recommends that the Committee inscribe the following element on the List of Intangible Cultural Heritage in Need of Urgent Safeguarding as a case of extreme urgency:</w:t>
      </w:r>
    </w:p>
    <w:tbl>
      <w:tblPr>
        <w:tblW w:w="4650" w:type="pct"/>
        <w:tblInd w:w="624" w:type="dxa"/>
        <w:tblBorders>
          <w:top w:val="single" w:sz="4" w:space="0" w:color="auto"/>
          <w:left w:val="single" w:sz="4" w:space="0" w:color="auto"/>
          <w:bottom w:val="single" w:sz="4" w:space="0" w:color="auto"/>
          <w:right w:val="single" w:sz="4" w:space="0" w:color="auto"/>
        </w:tblBorders>
        <w:tblCellMar>
          <w:left w:w="57" w:type="dxa"/>
          <w:right w:w="57" w:type="dxa"/>
        </w:tblCellMar>
        <w:tblLook w:val="00A0" w:firstRow="1" w:lastRow="0" w:firstColumn="1" w:lastColumn="0" w:noHBand="0" w:noVBand="0"/>
      </w:tblPr>
      <w:tblGrid>
        <w:gridCol w:w="1801"/>
        <w:gridCol w:w="1852"/>
        <w:gridCol w:w="4309"/>
        <w:gridCol w:w="992"/>
      </w:tblGrid>
      <w:tr w:rsidR="00C9118C" w14:paraId="3BE474EB" w14:textId="77777777" w:rsidTr="00D37F86">
        <w:trPr>
          <w:cantSplit/>
          <w:trHeight w:val="586"/>
        </w:trPr>
        <w:tc>
          <w:tcPr>
            <w:tcW w:w="1006" w:type="pct"/>
            <w:tcBorders>
              <w:top w:val="single" w:sz="4" w:space="0" w:color="auto"/>
              <w:left w:val="single" w:sz="4" w:space="0" w:color="auto"/>
              <w:bottom w:val="nil"/>
              <w:right w:val="nil"/>
            </w:tcBorders>
            <w:shd w:val="clear" w:color="auto" w:fill="BFBFBF" w:themeFill="background1" w:themeFillShade="BF"/>
            <w:vAlign w:val="center"/>
            <w:hideMark/>
          </w:tcPr>
          <w:p w14:paraId="5C66D1CA" w14:textId="77777777" w:rsidR="00C9118C" w:rsidRDefault="00C9118C" w:rsidP="00665BD2">
            <w:pPr>
              <w:keepNext/>
              <w:spacing w:before="120"/>
              <w:jc w:val="center"/>
              <w:rPr>
                <w:rFonts w:ascii="Arial" w:hAnsi="Arial" w:cs="Arial"/>
                <w:color w:val="0000FF"/>
                <w:szCs w:val="22"/>
                <w:u w:val="single"/>
              </w:rPr>
            </w:pPr>
            <w:r>
              <w:rPr>
                <w:rFonts w:ascii="Arial" w:hAnsi="Arial" w:cs="Arial"/>
                <w:b/>
                <w:szCs w:val="22"/>
              </w:rPr>
              <w:lastRenderedPageBreak/>
              <w:t>Draft Decision</w:t>
            </w:r>
          </w:p>
        </w:tc>
        <w:tc>
          <w:tcPr>
            <w:tcW w:w="1034" w:type="pct"/>
            <w:tcBorders>
              <w:top w:val="single" w:sz="4" w:space="0" w:color="auto"/>
              <w:left w:val="nil"/>
              <w:bottom w:val="nil"/>
              <w:right w:val="nil"/>
            </w:tcBorders>
            <w:shd w:val="clear" w:color="auto" w:fill="BFBFBF" w:themeFill="background1" w:themeFillShade="BF"/>
            <w:vAlign w:val="center"/>
            <w:hideMark/>
          </w:tcPr>
          <w:p w14:paraId="6F8B2578" w14:textId="77777777" w:rsidR="00C9118C" w:rsidRDefault="00C9118C" w:rsidP="00665BD2">
            <w:pPr>
              <w:keepNext/>
              <w:spacing w:before="120"/>
              <w:jc w:val="center"/>
              <w:rPr>
                <w:rFonts w:ascii="Arial" w:hAnsi="Arial" w:cs="Arial"/>
                <w:szCs w:val="22"/>
              </w:rPr>
            </w:pPr>
            <w:r>
              <w:rPr>
                <w:rFonts w:ascii="Arial" w:hAnsi="Arial" w:cs="Arial"/>
                <w:b/>
                <w:szCs w:val="22"/>
              </w:rPr>
              <w:t>Submitting State</w:t>
            </w:r>
          </w:p>
        </w:tc>
        <w:tc>
          <w:tcPr>
            <w:tcW w:w="2406" w:type="pct"/>
            <w:tcBorders>
              <w:top w:val="single" w:sz="4" w:space="0" w:color="auto"/>
              <w:left w:val="nil"/>
              <w:bottom w:val="nil"/>
              <w:right w:val="nil"/>
            </w:tcBorders>
            <w:shd w:val="clear" w:color="auto" w:fill="BFBFBF" w:themeFill="background1" w:themeFillShade="BF"/>
            <w:vAlign w:val="center"/>
            <w:hideMark/>
          </w:tcPr>
          <w:p w14:paraId="48296CCC" w14:textId="77777777" w:rsidR="00C9118C" w:rsidRDefault="00C9118C" w:rsidP="00665BD2">
            <w:pPr>
              <w:keepNext/>
              <w:spacing w:before="120"/>
              <w:jc w:val="center"/>
              <w:rPr>
                <w:rFonts w:ascii="Arial" w:hAnsi="Arial" w:cs="Arial"/>
                <w:color w:val="000000"/>
                <w:szCs w:val="22"/>
              </w:rPr>
            </w:pPr>
            <w:r>
              <w:rPr>
                <w:rFonts w:ascii="Arial" w:hAnsi="Arial" w:cs="Arial"/>
                <w:b/>
                <w:szCs w:val="22"/>
              </w:rPr>
              <w:t>Nomination</w:t>
            </w:r>
          </w:p>
        </w:tc>
        <w:tc>
          <w:tcPr>
            <w:tcW w:w="554" w:type="pct"/>
            <w:tcBorders>
              <w:top w:val="single" w:sz="4" w:space="0" w:color="auto"/>
              <w:left w:val="nil"/>
              <w:bottom w:val="nil"/>
              <w:right w:val="single" w:sz="4" w:space="0" w:color="auto"/>
            </w:tcBorders>
            <w:shd w:val="clear" w:color="auto" w:fill="BFBFBF" w:themeFill="background1" w:themeFillShade="BF"/>
            <w:vAlign w:val="center"/>
            <w:hideMark/>
          </w:tcPr>
          <w:p w14:paraId="783F9FDA" w14:textId="77777777" w:rsidR="00C9118C" w:rsidRDefault="00C9118C" w:rsidP="00665BD2">
            <w:pPr>
              <w:keepNext/>
              <w:spacing w:before="120"/>
              <w:jc w:val="center"/>
              <w:rPr>
                <w:rFonts w:ascii="Arial" w:hAnsi="Arial" w:cs="Arial"/>
                <w:color w:val="000000"/>
                <w:szCs w:val="22"/>
              </w:rPr>
            </w:pPr>
            <w:r>
              <w:rPr>
                <w:rFonts w:ascii="Arial" w:hAnsi="Arial" w:cs="Arial"/>
                <w:b/>
                <w:bCs/>
                <w:color w:val="000000"/>
                <w:szCs w:val="22"/>
                <w:lang w:eastAsia="en-GB"/>
              </w:rPr>
              <w:t>File No.</w:t>
            </w:r>
          </w:p>
        </w:tc>
      </w:tr>
      <w:tr w:rsidR="00C9118C" w14:paraId="283F7D09" w14:textId="77777777" w:rsidTr="00D37F86">
        <w:trPr>
          <w:cantSplit/>
          <w:trHeight w:val="586"/>
        </w:trPr>
        <w:tc>
          <w:tcPr>
            <w:tcW w:w="1006" w:type="pct"/>
            <w:tcBorders>
              <w:top w:val="nil"/>
              <w:left w:val="single" w:sz="4" w:space="0" w:color="auto"/>
              <w:bottom w:val="single" w:sz="4" w:space="0" w:color="auto"/>
              <w:right w:val="nil"/>
            </w:tcBorders>
            <w:hideMark/>
          </w:tcPr>
          <w:p w14:paraId="466625A0" w14:textId="731A9E9F" w:rsidR="00C9118C" w:rsidRDefault="00C9118C" w:rsidP="00665BD2">
            <w:pPr>
              <w:keepNext/>
              <w:spacing w:before="120"/>
              <w:rPr>
                <w:rFonts w:ascii="Arial" w:hAnsi="Arial" w:cs="Arial"/>
                <w:szCs w:val="22"/>
              </w:rPr>
            </w:pPr>
            <w:r>
              <w:rPr>
                <w:rFonts w:ascii="Arial" w:hAnsi="Arial" w:cs="Arial"/>
                <w:szCs w:val="22"/>
              </w:rPr>
              <w:t>17 COM 5.EXT 5</w:t>
            </w:r>
          </w:p>
        </w:tc>
        <w:tc>
          <w:tcPr>
            <w:tcW w:w="1034" w:type="pct"/>
            <w:tcBorders>
              <w:top w:val="nil"/>
              <w:left w:val="nil"/>
              <w:bottom w:val="single" w:sz="4" w:space="0" w:color="auto"/>
              <w:right w:val="nil"/>
            </w:tcBorders>
            <w:hideMark/>
          </w:tcPr>
          <w:p w14:paraId="57BE4530" w14:textId="77777777" w:rsidR="00C9118C" w:rsidRDefault="00C9118C" w:rsidP="00665BD2">
            <w:pPr>
              <w:keepNext/>
              <w:spacing w:before="120"/>
              <w:jc w:val="center"/>
              <w:rPr>
                <w:rFonts w:ascii="Arial" w:hAnsi="Arial" w:cs="Arial"/>
                <w:szCs w:val="22"/>
              </w:rPr>
            </w:pPr>
            <w:r>
              <w:rPr>
                <w:rFonts w:ascii="Arial" w:hAnsi="Arial" w:cs="Arial"/>
                <w:szCs w:val="22"/>
              </w:rPr>
              <w:t>Ukraine</w:t>
            </w:r>
          </w:p>
        </w:tc>
        <w:tc>
          <w:tcPr>
            <w:tcW w:w="2406" w:type="pct"/>
            <w:tcBorders>
              <w:top w:val="nil"/>
              <w:left w:val="nil"/>
              <w:bottom w:val="single" w:sz="4" w:space="0" w:color="auto"/>
              <w:right w:val="nil"/>
            </w:tcBorders>
            <w:hideMark/>
          </w:tcPr>
          <w:p w14:paraId="39712904" w14:textId="77777777" w:rsidR="00C9118C" w:rsidRDefault="00C9118C" w:rsidP="00665BD2">
            <w:pPr>
              <w:keepNext/>
              <w:spacing w:before="120"/>
              <w:jc w:val="center"/>
              <w:rPr>
                <w:rFonts w:ascii="Arial" w:hAnsi="Arial" w:cs="Arial"/>
                <w:color w:val="000000"/>
                <w:szCs w:val="22"/>
              </w:rPr>
            </w:pPr>
            <w:r>
              <w:rPr>
                <w:rFonts w:ascii="Arial" w:hAnsi="Arial" w:cs="Arial"/>
                <w:color w:val="000000"/>
                <w:szCs w:val="22"/>
              </w:rPr>
              <w:t>Culture of Ukrainian Borscht Cooking</w:t>
            </w:r>
          </w:p>
        </w:tc>
        <w:tc>
          <w:tcPr>
            <w:tcW w:w="554" w:type="pct"/>
            <w:tcBorders>
              <w:top w:val="nil"/>
              <w:left w:val="nil"/>
              <w:bottom w:val="single" w:sz="4" w:space="0" w:color="auto"/>
              <w:right w:val="single" w:sz="4" w:space="0" w:color="auto"/>
            </w:tcBorders>
            <w:hideMark/>
          </w:tcPr>
          <w:p w14:paraId="453F4B7B" w14:textId="77777777" w:rsidR="00C9118C" w:rsidRDefault="00C9118C" w:rsidP="00665BD2">
            <w:pPr>
              <w:keepNext/>
              <w:spacing w:before="120"/>
              <w:jc w:val="center"/>
              <w:rPr>
                <w:rFonts w:ascii="Arial" w:hAnsi="Arial" w:cs="Arial"/>
                <w:color w:val="000000"/>
                <w:szCs w:val="22"/>
              </w:rPr>
            </w:pPr>
            <w:r>
              <w:rPr>
                <w:rFonts w:ascii="Arial" w:hAnsi="Arial" w:cs="Arial"/>
                <w:color w:val="000000"/>
                <w:szCs w:val="22"/>
              </w:rPr>
              <w:t>01852</w:t>
            </w:r>
          </w:p>
        </w:tc>
      </w:tr>
    </w:tbl>
    <w:p w14:paraId="26AC8376" w14:textId="05D5B5FF" w:rsidR="00C9118C" w:rsidRDefault="00C9118C" w:rsidP="00665BD2">
      <w:pPr>
        <w:pStyle w:val="ABSTRACTS"/>
        <w:keepNext/>
        <w:numPr>
          <w:ilvl w:val="0"/>
          <w:numId w:val="23"/>
        </w:numPr>
        <w:snapToGrid w:val="0"/>
        <w:spacing w:before="240"/>
        <w:ind w:left="567" w:hanging="567"/>
        <w:rPr>
          <w:b/>
          <w:bCs/>
          <w:lang w:val="en-GB"/>
        </w:rPr>
      </w:pPr>
      <w:r>
        <w:rPr>
          <w:b/>
          <w:bCs/>
          <w:lang w:val="en-GB"/>
        </w:rPr>
        <w:t>Draft Decision</w:t>
      </w:r>
    </w:p>
    <w:p w14:paraId="433BFA64" w14:textId="77777777" w:rsidR="00C9118C" w:rsidRDefault="00C9118C" w:rsidP="00CC1C3D">
      <w:pPr>
        <w:pStyle w:val="COMPara"/>
        <w:keepNext/>
        <w:numPr>
          <w:ilvl w:val="0"/>
          <w:numId w:val="16"/>
        </w:numPr>
        <w:ind w:left="567" w:hanging="567"/>
        <w:jc w:val="both"/>
      </w:pPr>
      <w:r w:rsidRPr="00CC1C3D">
        <w:rPr>
          <w:lang w:val="en-US"/>
        </w:rPr>
        <w:t>The</w:t>
      </w:r>
      <w:r>
        <w:t xml:space="preserve"> Committee may wish to adopt the following decision: </w:t>
      </w:r>
    </w:p>
    <w:p w14:paraId="6F01B4D4" w14:textId="51071C2A" w:rsidR="00C9118C" w:rsidRDefault="00C9118C" w:rsidP="00C9118C">
      <w:pPr>
        <w:pStyle w:val="Sansinterligne"/>
        <w:keepNext/>
        <w:tabs>
          <w:tab w:val="left" w:pos="567"/>
          <w:tab w:val="left" w:pos="1134"/>
          <w:tab w:val="left" w:pos="1701"/>
          <w:tab w:val="left" w:pos="2268"/>
        </w:tabs>
        <w:spacing w:before="120" w:after="120"/>
        <w:ind w:left="567"/>
        <w:jc w:val="both"/>
        <w:rPr>
          <w:rFonts w:asciiTheme="minorBidi" w:hAnsiTheme="minorBidi" w:cstheme="minorBidi"/>
          <w:sz w:val="22"/>
          <w:szCs w:val="22"/>
          <w:lang w:val="en-GB"/>
        </w:rPr>
      </w:pPr>
      <w:r>
        <w:rPr>
          <w:rFonts w:asciiTheme="minorBidi" w:hAnsiTheme="minorBidi" w:cstheme="minorBidi"/>
          <w:b/>
          <w:bCs/>
          <w:sz w:val="22"/>
          <w:szCs w:val="22"/>
          <w:lang w:val="en-GB"/>
        </w:rPr>
        <w:t>DRAFT DECISION 17.COM 5.EXT 5</w:t>
      </w:r>
    </w:p>
    <w:p w14:paraId="2F831570" w14:textId="77777777" w:rsidR="00C9118C" w:rsidRDefault="00C9118C" w:rsidP="00C9118C">
      <w:pPr>
        <w:pStyle w:val="Sansinterligne"/>
        <w:keepNext/>
        <w:tabs>
          <w:tab w:val="left" w:pos="567"/>
          <w:tab w:val="left" w:pos="1134"/>
          <w:tab w:val="left" w:pos="1701"/>
          <w:tab w:val="left" w:pos="2268"/>
        </w:tabs>
        <w:spacing w:before="120" w:after="120"/>
        <w:ind w:left="567"/>
        <w:jc w:val="both"/>
        <w:rPr>
          <w:rFonts w:ascii="Arial" w:hAnsi="Arial" w:cs="Arial"/>
          <w:sz w:val="22"/>
          <w:szCs w:val="22"/>
          <w:lang w:val="en-GB"/>
        </w:rPr>
      </w:pPr>
      <w:r>
        <w:rPr>
          <w:rFonts w:ascii="Arial" w:hAnsi="Arial" w:cs="Arial"/>
          <w:sz w:val="22"/>
          <w:szCs w:val="22"/>
          <w:lang w:val="en-GB"/>
        </w:rPr>
        <w:t>The Committee</w:t>
      </w:r>
    </w:p>
    <w:p w14:paraId="52DA3D3B" w14:textId="77777777" w:rsidR="00C9118C" w:rsidRDefault="00C9118C" w:rsidP="00C9118C">
      <w:pPr>
        <w:pStyle w:val="Style1"/>
        <w:numPr>
          <w:ilvl w:val="6"/>
          <w:numId w:val="24"/>
        </w:numPr>
        <w:tabs>
          <w:tab w:val="clear" w:pos="1701"/>
          <w:tab w:val="left" w:pos="1985"/>
        </w:tabs>
        <w:ind w:left="1134" w:hanging="567"/>
        <w:rPr>
          <w:lang w:val="en-GB"/>
        </w:rPr>
      </w:pPr>
      <w:r>
        <w:rPr>
          <w:u w:val="single"/>
          <w:lang w:val="en-GB"/>
        </w:rPr>
        <w:t>Takes note</w:t>
      </w:r>
      <w:r>
        <w:rPr>
          <w:lang w:val="en-GB"/>
        </w:rPr>
        <w:t xml:space="preserve"> of the request that Ukraine made on 21 April 2022 to process the nomination </w:t>
      </w:r>
      <w:r>
        <w:rPr>
          <w:b/>
          <w:bCs/>
          <w:lang w:val="en-GB"/>
        </w:rPr>
        <w:t>Culture of Ukrainian Borscht Cooking</w:t>
      </w:r>
      <w:r>
        <w:rPr>
          <w:lang w:val="en-GB"/>
        </w:rPr>
        <w:t xml:space="preserve"> (No. 01852) for inscription on the List of Intangible Cultural Heritage in Need of Urgent Safeguarding, as a case of extreme urgency, as foreseen under Article 17.3 of the Convention and paragraphs 1 and 32 of the Operational Directives:</w:t>
      </w:r>
    </w:p>
    <w:p w14:paraId="196BEE95" w14:textId="77777777" w:rsidR="00C9118C" w:rsidRDefault="00C9118C" w:rsidP="00C9118C">
      <w:pPr>
        <w:pStyle w:val="Style1"/>
        <w:tabs>
          <w:tab w:val="clear" w:pos="1701"/>
          <w:tab w:val="left" w:pos="1985"/>
        </w:tabs>
        <w:ind w:left="1134"/>
        <w:rPr>
          <w:lang w:val="en-GB"/>
        </w:rPr>
      </w:pPr>
      <w:r>
        <w:rPr>
          <w:lang w:val="en-GB"/>
        </w:rPr>
        <w:t xml:space="preserve">Ukrainian borscht is a traditional dish that is cooked with broth combined with beetroot, sugar beet or fermented beet juice. There are many versions, and the practice entails the recipe, cooking method and occasion, according to which a certain variety is prepared. Borscht is cooked in a large pan or pot and typically served with bread or garlic buns. It is prepared primarily by women, although many men also prepare it as an everyday dish. The practice dates back centuries and is passed on within families, with children participating in the preparation. An expression of hospitality, Ukrainian borscht unites people of all ages, genders and backgrounds at the table. It is also used in ritual practices, such as in the region of Podillia, where the third day of the wedding has maintained its ritual name </w:t>
      </w:r>
      <w:r>
        <w:rPr>
          <w:i/>
          <w:iCs/>
          <w:lang w:val="en-GB"/>
        </w:rPr>
        <w:t>do</w:t>
      </w:r>
      <w:r>
        <w:rPr>
          <w:lang w:val="en-GB"/>
        </w:rPr>
        <w:t xml:space="preserve"> </w:t>
      </w:r>
      <w:r>
        <w:rPr>
          <w:i/>
          <w:iCs/>
          <w:lang w:val="en-GB"/>
        </w:rPr>
        <w:t>nevistky – na borshch</w:t>
      </w:r>
      <w:r>
        <w:rPr>
          <w:lang w:val="en-GB"/>
        </w:rPr>
        <w:t xml:space="preserve">, meaning ‘visit daughter-in-law to eat borscht’. It is lauded in tales, folk songs and proverbs and viewed as a lifestyle and identity marker. </w:t>
      </w:r>
      <w:r>
        <w:rPr>
          <w:rFonts w:eastAsia="Arial"/>
          <w:color w:val="000000"/>
          <w:lang w:val="en-GB"/>
        </w:rPr>
        <w:t xml:space="preserve">The viability of the element, however, is threatened by various factors since the beginning of the armed conflict in February 2022, including the displacement of bearers from their communities of origin and from the cultural contexts necessary for the cooking and consumption of borscht in Ukraine. Moreover, destruction to the surrounding </w:t>
      </w:r>
      <w:r>
        <w:rPr>
          <w:rFonts w:eastAsia="Arial"/>
          <w:lang w:val="en-GB"/>
        </w:rPr>
        <w:t>environment and traditional agriculture has prevented communities from accessing local products, such as vegetables, needed to prepare the dish. Despite these difficulties, communities across Ukraine have united around the element.</w:t>
      </w:r>
    </w:p>
    <w:p w14:paraId="5CAC7E0E" w14:textId="776C47EE" w:rsidR="00C9118C" w:rsidRDefault="00C9118C" w:rsidP="00C9118C">
      <w:pPr>
        <w:pStyle w:val="Style1"/>
        <w:numPr>
          <w:ilvl w:val="6"/>
          <w:numId w:val="24"/>
        </w:numPr>
        <w:tabs>
          <w:tab w:val="clear" w:pos="1701"/>
          <w:tab w:val="left" w:pos="1985"/>
        </w:tabs>
        <w:ind w:left="1134" w:hanging="567"/>
        <w:rPr>
          <w:lang w:val="en-GB"/>
        </w:rPr>
      </w:pPr>
      <w:r>
        <w:rPr>
          <w:u w:val="single"/>
          <w:lang w:val="en-GB"/>
        </w:rPr>
        <w:t>Further takes note</w:t>
      </w:r>
      <w:r>
        <w:rPr>
          <w:lang w:val="en-GB"/>
        </w:rPr>
        <w:t xml:space="preserve"> of the procedure that the third meeting of the Bureau of the Committee established on 6 May 2022 to treat the request (</w:t>
      </w:r>
      <w:hyperlink r:id="rId14" w:history="1">
        <w:r w:rsidRPr="00CF3EC6">
          <w:rPr>
            <w:rStyle w:val="Lienhypertexte"/>
            <w:lang w:val="en-GB"/>
          </w:rPr>
          <w:t>Decision 17.COM 3.BUR 3</w:t>
        </w:r>
      </w:hyperlink>
      <w:r>
        <w:rPr>
          <w:lang w:val="en-GB"/>
        </w:rPr>
        <w:t>);</w:t>
      </w:r>
    </w:p>
    <w:p w14:paraId="606CB434" w14:textId="77777777" w:rsidR="00C9118C" w:rsidRDefault="00C9118C" w:rsidP="00C9118C">
      <w:pPr>
        <w:pStyle w:val="Style1"/>
        <w:numPr>
          <w:ilvl w:val="6"/>
          <w:numId w:val="24"/>
        </w:numPr>
        <w:tabs>
          <w:tab w:val="clear" w:pos="1701"/>
          <w:tab w:val="left" w:pos="1985"/>
        </w:tabs>
        <w:ind w:left="1134" w:hanging="567"/>
        <w:rPr>
          <w:u w:val="single"/>
          <w:lang w:val="en-GB"/>
        </w:rPr>
      </w:pPr>
      <w:r>
        <w:rPr>
          <w:u w:val="single"/>
          <w:lang w:val="en-GB"/>
        </w:rPr>
        <w:t>Considers</w:t>
      </w:r>
      <w:r>
        <w:rPr>
          <w:lang w:val="en-GB"/>
        </w:rPr>
        <w:t xml:space="preserve"> that, from the information included in the file, the nomination satisfies the following criteria for inscription on the List of Intangible Cultural Heritage in Need of Urgent Safeguarding:</w:t>
      </w:r>
    </w:p>
    <w:p w14:paraId="454A15EB" w14:textId="77777777" w:rsidR="00C9118C" w:rsidRDefault="00C9118C" w:rsidP="00C9118C">
      <w:pPr>
        <w:tabs>
          <w:tab w:val="left" w:pos="1134"/>
          <w:tab w:val="left" w:pos="1985"/>
          <w:tab w:val="left" w:pos="2268"/>
        </w:tabs>
        <w:spacing w:before="120"/>
        <w:ind w:left="1985" w:hanging="851"/>
        <w:jc w:val="both"/>
        <w:rPr>
          <w:rFonts w:ascii="Arial" w:hAnsi="Arial" w:cs="Arial"/>
          <w:szCs w:val="22"/>
          <w:lang w:val="en-SG"/>
        </w:rPr>
      </w:pPr>
      <w:r>
        <w:rPr>
          <w:rFonts w:ascii="Arial" w:hAnsi="Arial" w:cs="Arial"/>
          <w:szCs w:val="22"/>
        </w:rPr>
        <w:t>U.1:</w:t>
      </w:r>
      <w:r>
        <w:rPr>
          <w:rFonts w:ascii="Arial" w:hAnsi="Arial" w:cs="Arial"/>
          <w:szCs w:val="22"/>
        </w:rPr>
        <w:tab/>
        <w:t>The borscht in Ukraine is a traditional dish with a long history and diverse variations. The culture of borscht cooking and consumption is widespread in all regions of Ukraine. Women and men participate equally in the practice of the element. The knowledge and skills of the element are transmitted within families, from elder members of the family to younger ones by way of cooking together. The element is also transmitted in catering establishments and educational institutions, and during borscht festivals and events held in different regions of Ukraine and abroad. Borscht performs a function of social integration and cohesion amongst all people in Ukraine. Borscht in Ukraine is an indispensable part of social events, holidays and ritual practices. The element fosters mutual respect and trust among groups of people and individuals. The element is in line with human rights instruments, the principle of mutual respect amongst communities and sustainable development.</w:t>
      </w:r>
    </w:p>
    <w:p w14:paraId="4637A8D8" w14:textId="77777777" w:rsidR="00C9118C" w:rsidRDefault="00C9118C" w:rsidP="00C9118C">
      <w:pPr>
        <w:tabs>
          <w:tab w:val="left" w:pos="1134"/>
          <w:tab w:val="left" w:pos="1985"/>
          <w:tab w:val="left" w:pos="2268"/>
        </w:tabs>
        <w:spacing w:before="120"/>
        <w:ind w:left="1985" w:hanging="851"/>
        <w:jc w:val="both"/>
        <w:rPr>
          <w:rFonts w:ascii="Arial" w:hAnsi="Arial" w:cs="Arial"/>
          <w:szCs w:val="22"/>
        </w:rPr>
      </w:pPr>
      <w:r>
        <w:rPr>
          <w:rFonts w:ascii="Arial" w:hAnsi="Arial" w:cs="Arial"/>
          <w:szCs w:val="22"/>
        </w:rPr>
        <w:lastRenderedPageBreak/>
        <w:t xml:space="preserve">U.2(b): </w:t>
      </w:r>
      <w:r>
        <w:rPr>
          <w:rFonts w:ascii="Arial" w:hAnsi="Arial" w:cs="Arial"/>
          <w:szCs w:val="22"/>
        </w:rPr>
        <w:tab/>
        <w:t>The nomination file explains that the armed conflict has threatened the viability of the element. The displacement of people and bearers threatens the element, as people are unable not only to cook or grow local vegetables for borscht, but also to come together to practice the element, which undermines the social and cultural well-being of communities. As such, the transmission of the element is also threatened. The armed conflict destroys the environment (fauna and flora), which in turn, seriously threatens the diverse nature of the element. The armed conflict leads to the loss of the everyday contexts associated with practicing</w:t>
      </w:r>
      <w:r>
        <w:rPr>
          <w:rFonts w:ascii="Arial" w:hAnsi="Arial" w:cs="Arial"/>
          <w:szCs w:val="22"/>
          <w:lang w:val="en-US"/>
        </w:rPr>
        <w:t xml:space="preserve"> </w:t>
      </w:r>
      <w:r>
        <w:rPr>
          <w:rFonts w:ascii="Arial" w:hAnsi="Arial" w:cs="Arial"/>
          <w:szCs w:val="22"/>
        </w:rPr>
        <w:t>the element, and has significantly affected the holding of cultural events, in particular festivals dedicated to traditional food, including borscht. All of these factors justify the need for urgent safeguarding of the element as a case of extreme urgency.</w:t>
      </w:r>
    </w:p>
    <w:p w14:paraId="60554374" w14:textId="77777777" w:rsidR="00C9118C" w:rsidRDefault="00C9118C" w:rsidP="00C9118C">
      <w:pPr>
        <w:tabs>
          <w:tab w:val="left" w:pos="1134"/>
          <w:tab w:val="left" w:pos="1985"/>
          <w:tab w:val="left" w:pos="2268"/>
        </w:tabs>
        <w:spacing w:before="120"/>
        <w:ind w:left="1985" w:hanging="851"/>
        <w:jc w:val="both"/>
        <w:rPr>
          <w:rFonts w:ascii="Arial" w:hAnsi="Arial" w:cs="Arial"/>
          <w:szCs w:val="22"/>
        </w:rPr>
      </w:pPr>
      <w:r>
        <w:rPr>
          <w:rFonts w:ascii="Arial" w:hAnsi="Arial" w:cs="Arial"/>
          <w:szCs w:val="22"/>
        </w:rPr>
        <w:t>U.3:</w:t>
      </w:r>
      <w:r>
        <w:rPr>
          <w:rFonts w:ascii="Arial" w:hAnsi="Arial" w:cs="Arial"/>
          <w:szCs w:val="22"/>
        </w:rPr>
        <w:tab/>
        <w:t xml:space="preserve">The nomination file provides information on past safeguarding measures involving local, regional festivals and cultural events related to the element. The proposed safeguarding plan includes a list of key activities to address the situation of urgent safeguarding. These include efforts to monitor the situation concerning the bearers, raising awareness of the element among the general public, promotion of the element through specialized literature and festivals, etc. The </w:t>
      </w:r>
      <w:r w:rsidRPr="00166BB5">
        <w:rPr>
          <w:rFonts w:ascii="Arial" w:hAnsi="Arial" w:cs="Arial"/>
          <w:szCs w:val="22"/>
        </w:rPr>
        <w:t>safeguarding measures</w:t>
      </w:r>
      <w:r>
        <w:rPr>
          <w:rFonts w:ascii="Arial" w:hAnsi="Arial" w:cs="Arial"/>
          <w:szCs w:val="22"/>
        </w:rPr>
        <w:t xml:space="preserve"> will be implemented in close cooperation with national, public, state and municipal institutions, as well as practitioners from all regions of Ukraine. The timetable of the activities and detailed budget breakdown were provided in the file. Nevertheless, the ability to implement the safeguarding plan is likely to be subject to the evolving nature of the armed conflict.</w:t>
      </w:r>
    </w:p>
    <w:p w14:paraId="4209A2F1" w14:textId="7B6BE877" w:rsidR="00C9118C" w:rsidRDefault="00C9118C" w:rsidP="00C9118C">
      <w:pPr>
        <w:tabs>
          <w:tab w:val="left" w:pos="1134"/>
          <w:tab w:val="left" w:pos="1985"/>
          <w:tab w:val="left" w:pos="2268"/>
        </w:tabs>
        <w:spacing w:before="120"/>
        <w:ind w:left="1985" w:hanging="851"/>
        <w:jc w:val="both"/>
        <w:rPr>
          <w:rFonts w:ascii="Arial" w:hAnsi="Arial" w:cs="Arial"/>
          <w:szCs w:val="22"/>
        </w:rPr>
      </w:pPr>
      <w:r>
        <w:rPr>
          <w:rFonts w:ascii="Arial" w:hAnsi="Arial" w:cs="Arial"/>
          <w:szCs w:val="22"/>
        </w:rPr>
        <w:t>U.4:</w:t>
      </w:r>
      <w:r>
        <w:rPr>
          <w:rFonts w:ascii="Arial" w:hAnsi="Arial" w:cs="Arial"/>
          <w:szCs w:val="22"/>
        </w:rPr>
        <w:tab/>
        <w:t>The nomination file as originally compiled for the Representative List demonstrated a broad involvement of bearers and stakeholders and provided evidence of free, prior and informed consent for the nomination of the element. The element is practiced in the form of public access and there are no secret aspects or restrictions on the basis of age, race or gender. The working group, involving bearers of the element, cooperated in making the film, compiling promotional materials and writing the nomination dossier. The text of the dossier was open for discussion and agreed with the bearers of the element, including the safeguarding measures. Following the outbreak of the armed conflict, communities, experts and the Ministry of Culture and Information Policy of Ukraine worked together to develop a security plan which</w:t>
      </w:r>
      <w:r w:rsidR="00F8047E">
        <w:rPr>
          <w:rFonts w:ascii="Arial" w:hAnsi="Arial" w:cs="Arial"/>
          <w:szCs w:val="22"/>
        </w:rPr>
        <w:t>,</w:t>
      </w:r>
      <w:r>
        <w:rPr>
          <w:rFonts w:ascii="Arial" w:hAnsi="Arial" w:cs="Arial"/>
          <w:szCs w:val="22"/>
        </w:rPr>
        <w:t xml:space="preserve"> the inscription is expected to support.</w:t>
      </w:r>
    </w:p>
    <w:p w14:paraId="06BCBD50" w14:textId="77777777" w:rsidR="00C9118C" w:rsidRDefault="00C9118C" w:rsidP="00C9118C">
      <w:pPr>
        <w:tabs>
          <w:tab w:val="left" w:pos="1134"/>
          <w:tab w:val="left" w:pos="1985"/>
          <w:tab w:val="left" w:pos="2268"/>
        </w:tabs>
        <w:spacing w:before="120"/>
        <w:ind w:left="1985" w:hanging="851"/>
        <w:jc w:val="both"/>
        <w:rPr>
          <w:rFonts w:ascii="Arial" w:hAnsi="Arial" w:cs="Arial"/>
          <w:szCs w:val="22"/>
        </w:rPr>
      </w:pPr>
      <w:r>
        <w:rPr>
          <w:rFonts w:ascii="Arial" w:hAnsi="Arial" w:cs="Arial"/>
          <w:szCs w:val="22"/>
        </w:rPr>
        <w:t>U.5:</w:t>
      </w:r>
      <w:r>
        <w:rPr>
          <w:rFonts w:ascii="Arial" w:hAnsi="Arial" w:cs="Arial"/>
          <w:szCs w:val="22"/>
        </w:rPr>
        <w:tab/>
        <w:t>The element was listed on the National List of Elements of Intangible Cultural Heritage of Ukraine on 13 October 2020. The inventory is maintained by the Ministry of Culture and Information Policy of Ukraine. The element was identified for inclusion on the inventory at the initiative of the NGO “Institute of Culture of Ukraine” and with the support of bearers from across Ukraine. The inventory is updated twice a year. The monitoring of the viability of the elements on the inventory is conducted by specialized cultural agencies, the NGOs concerned and the Ukrainian Centre for Cultural Research (UCCR).</w:t>
      </w:r>
    </w:p>
    <w:p w14:paraId="11B75DAA" w14:textId="77777777" w:rsidR="00C9118C" w:rsidRDefault="00C9118C" w:rsidP="00C9118C">
      <w:pPr>
        <w:tabs>
          <w:tab w:val="left" w:pos="1134"/>
          <w:tab w:val="left" w:pos="1985"/>
          <w:tab w:val="left" w:pos="2268"/>
        </w:tabs>
        <w:spacing w:before="120"/>
        <w:ind w:left="1985" w:hanging="851"/>
        <w:jc w:val="both"/>
        <w:rPr>
          <w:rFonts w:ascii="Arial" w:hAnsi="Arial" w:cs="Arial"/>
          <w:szCs w:val="22"/>
        </w:rPr>
      </w:pPr>
      <w:r>
        <w:rPr>
          <w:rFonts w:ascii="Arial" w:hAnsi="Arial" w:cs="Arial"/>
          <w:szCs w:val="22"/>
        </w:rPr>
        <w:t>U.6:</w:t>
      </w:r>
      <w:r>
        <w:rPr>
          <w:rFonts w:ascii="Arial" w:hAnsi="Arial" w:cs="Arial"/>
          <w:szCs w:val="22"/>
        </w:rPr>
        <w:tab/>
        <w:t xml:space="preserve">The State Party made the request to inscribe the element, as a case of extreme urgency on the Urgent Safeguarding List and in reference to Article 17.3, in a letter to the Secretariat on 21 April 2022. Following the request by the Bureau of the Committee </w:t>
      </w:r>
      <w:r w:rsidRPr="00490A22">
        <w:rPr>
          <w:rFonts w:asciiTheme="minorBidi" w:hAnsiTheme="minorBidi" w:cstheme="minorBidi"/>
          <w:szCs w:val="22"/>
        </w:rPr>
        <w:t>(</w:t>
      </w:r>
      <w:hyperlink r:id="rId15" w:history="1">
        <w:r w:rsidRPr="00490A22">
          <w:rPr>
            <w:rStyle w:val="Lienhypertexte"/>
            <w:rFonts w:asciiTheme="minorBidi" w:hAnsiTheme="minorBidi" w:cstheme="minorBidi"/>
            <w:szCs w:val="22"/>
          </w:rPr>
          <w:t>Decision 17.COM 3.BUR 3</w:t>
        </w:r>
      </w:hyperlink>
      <w:r w:rsidRPr="00490A22">
        <w:rPr>
          <w:rFonts w:asciiTheme="minorBidi" w:hAnsiTheme="minorBidi" w:cstheme="minorBidi"/>
          <w:szCs w:val="22"/>
        </w:rPr>
        <w:t>),</w:t>
      </w:r>
      <w:r>
        <w:rPr>
          <w:rFonts w:ascii="Arial" w:hAnsi="Arial" w:cs="Arial"/>
          <w:szCs w:val="22"/>
        </w:rPr>
        <w:t xml:space="preserve"> additional information was subsequently provided by the State Party on 14 and 15 June 2022, particularly with regards to criteria U.2(b) and U.6 using Form ICH-01.</w:t>
      </w:r>
    </w:p>
    <w:p w14:paraId="4290EDB1" w14:textId="77777777" w:rsidR="00C9118C" w:rsidRDefault="00C9118C" w:rsidP="00C9118C">
      <w:pPr>
        <w:pStyle w:val="Style1"/>
        <w:numPr>
          <w:ilvl w:val="6"/>
          <w:numId w:val="24"/>
        </w:numPr>
        <w:tabs>
          <w:tab w:val="clear" w:pos="1701"/>
          <w:tab w:val="left" w:pos="1985"/>
        </w:tabs>
        <w:ind w:left="1134" w:hanging="567"/>
        <w:rPr>
          <w:u w:val="single"/>
          <w:lang w:val="en-GB"/>
        </w:rPr>
      </w:pPr>
      <w:r>
        <w:rPr>
          <w:u w:val="single"/>
          <w:lang w:val="en-GB"/>
        </w:rPr>
        <w:t>Decides to inscribe</w:t>
      </w:r>
      <w:r>
        <w:rPr>
          <w:lang w:val="en-GB"/>
        </w:rPr>
        <w:t xml:space="preserve"> </w:t>
      </w:r>
      <w:r>
        <w:rPr>
          <w:b/>
          <w:bCs/>
          <w:lang w:val="en-GB"/>
        </w:rPr>
        <w:t>Culture of Ukrainian Borscht Cooking</w:t>
      </w:r>
      <w:r>
        <w:rPr>
          <w:lang w:val="en-GB"/>
        </w:rPr>
        <w:t xml:space="preserve"> on the List of Intangible Cultural Heritage in Need of Urgent Safeguarding, as a case of extreme urgency as stipulated in Article 17.3 of the Convention;</w:t>
      </w:r>
    </w:p>
    <w:p w14:paraId="101C1B31" w14:textId="4CBA94EA" w:rsidR="007F257D" w:rsidRPr="007F257D" w:rsidRDefault="002B334C" w:rsidP="00C9118C">
      <w:pPr>
        <w:pStyle w:val="Style1"/>
        <w:numPr>
          <w:ilvl w:val="6"/>
          <w:numId w:val="24"/>
        </w:numPr>
        <w:tabs>
          <w:tab w:val="clear" w:pos="1701"/>
          <w:tab w:val="left" w:pos="1985"/>
        </w:tabs>
        <w:ind w:left="1134" w:hanging="567"/>
        <w:rPr>
          <w:lang w:val="en-GB"/>
        </w:rPr>
      </w:pPr>
      <w:r>
        <w:rPr>
          <w:u w:val="single"/>
          <w:lang w:val="en-GB"/>
        </w:rPr>
        <w:lastRenderedPageBreak/>
        <w:t>Also t</w:t>
      </w:r>
      <w:r w:rsidR="007F257D" w:rsidRPr="007F257D">
        <w:rPr>
          <w:u w:val="single"/>
          <w:lang w:val="en-GB"/>
        </w:rPr>
        <w:t>akes note</w:t>
      </w:r>
      <w:r w:rsidR="007F257D" w:rsidRPr="007F257D">
        <w:rPr>
          <w:lang w:val="en-GB"/>
        </w:rPr>
        <w:t xml:space="preserve"> that the culture of Borscht cooking is shared with other communities in the region, and </w:t>
      </w:r>
      <w:r w:rsidR="007F257D" w:rsidRPr="007F257D">
        <w:rPr>
          <w:u w:val="single"/>
          <w:lang w:val="en-GB"/>
        </w:rPr>
        <w:t>recalls</w:t>
      </w:r>
      <w:r w:rsidR="007F257D" w:rsidRPr="007F257D">
        <w:rPr>
          <w:lang w:val="en-GB"/>
        </w:rPr>
        <w:t xml:space="preserve"> that the inscription of an element on a</w:t>
      </w:r>
      <w:r w:rsidR="007F257D">
        <w:rPr>
          <w:lang w:val="en-GB"/>
        </w:rPr>
        <w:t xml:space="preserve"> L</w:t>
      </w:r>
      <w:r w:rsidR="007F257D" w:rsidRPr="007F257D">
        <w:rPr>
          <w:lang w:val="en-GB"/>
        </w:rPr>
        <w:t>ist of the Convention does not imply exclusivity or ownership</w:t>
      </w:r>
      <w:r w:rsidR="007F257D">
        <w:rPr>
          <w:lang w:val="en-GB"/>
        </w:rPr>
        <w:t>;</w:t>
      </w:r>
    </w:p>
    <w:p w14:paraId="4CFB7C36" w14:textId="7D3C5F2C" w:rsidR="00C9118C" w:rsidRDefault="00C9118C" w:rsidP="00C9118C">
      <w:pPr>
        <w:pStyle w:val="Style1"/>
        <w:numPr>
          <w:ilvl w:val="6"/>
          <w:numId w:val="24"/>
        </w:numPr>
        <w:tabs>
          <w:tab w:val="clear" w:pos="1701"/>
          <w:tab w:val="left" w:pos="1985"/>
        </w:tabs>
        <w:ind w:left="1134" w:hanging="567"/>
        <w:rPr>
          <w:u w:val="single"/>
          <w:lang w:val="en-GB"/>
        </w:rPr>
      </w:pPr>
      <w:r>
        <w:rPr>
          <w:u w:val="single"/>
          <w:lang w:val="en-GB"/>
        </w:rPr>
        <w:t>Further considers</w:t>
      </w:r>
      <w:r>
        <w:rPr>
          <w:lang w:val="en-GB"/>
        </w:rPr>
        <w:t xml:space="preserve"> that the implementation of the proposed safeguarding plan will need to be reviewed in view of the evolving context of the threats concerning the element and </w:t>
      </w:r>
      <w:r>
        <w:rPr>
          <w:u w:val="single"/>
          <w:lang w:val="en-GB"/>
        </w:rPr>
        <w:t>invites</w:t>
      </w:r>
      <w:r>
        <w:rPr>
          <w:lang w:val="en-GB"/>
        </w:rPr>
        <w:t xml:space="preserve"> the submitting State to revise the safeguarding plan accordingly</w:t>
      </w:r>
      <w:r>
        <w:rPr>
          <w:lang w:val="en-US"/>
        </w:rPr>
        <w:t>;</w:t>
      </w:r>
    </w:p>
    <w:p w14:paraId="66D90672" w14:textId="77777777" w:rsidR="00C9118C" w:rsidRDefault="00C9118C" w:rsidP="00C9118C">
      <w:pPr>
        <w:pStyle w:val="Style1"/>
        <w:numPr>
          <w:ilvl w:val="6"/>
          <w:numId w:val="24"/>
        </w:numPr>
        <w:tabs>
          <w:tab w:val="clear" w:pos="1701"/>
          <w:tab w:val="left" w:pos="1985"/>
        </w:tabs>
        <w:ind w:left="1134" w:hanging="567"/>
        <w:rPr>
          <w:u w:val="single"/>
          <w:lang w:val="en-GB"/>
        </w:rPr>
      </w:pPr>
      <w:r>
        <w:rPr>
          <w:u w:val="single"/>
          <w:lang w:val="en-GB"/>
        </w:rPr>
        <w:t>Further invites</w:t>
      </w:r>
      <w:r>
        <w:rPr>
          <w:lang w:val="en-GB"/>
        </w:rPr>
        <w:t xml:space="preserve"> the submitting State to report on the viability of the element and the safeguarding situation of the element, including any adjustments to the safeguarding plan, for examination by the eighteenth session of the Committee in 2023.</w:t>
      </w:r>
    </w:p>
    <w:p w14:paraId="36A374BC" w14:textId="77777777" w:rsidR="00C9118C" w:rsidRPr="00FB1B27" w:rsidRDefault="00C9118C" w:rsidP="00FB1B27">
      <w:pPr>
        <w:pStyle w:val="COMPara"/>
        <w:spacing w:before="120"/>
        <w:ind w:firstLine="0"/>
        <w:jc w:val="both"/>
        <w:rPr>
          <w:b/>
          <w:bCs/>
        </w:rPr>
      </w:pPr>
    </w:p>
    <w:sectPr w:rsidR="00C9118C" w:rsidRPr="00FB1B27" w:rsidSect="002938F2">
      <w:headerReference w:type="even" r:id="rId16"/>
      <w:headerReference w:type="default" r:id="rId17"/>
      <w:footerReference w:type="even" r:id="rId18"/>
      <w:footerReference w:type="default" r:id="rId19"/>
      <w:headerReference w:type="first" r:id="rId20"/>
      <w:footerReference w:type="first" r:id="rId21"/>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88B43" w14:textId="77777777" w:rsidR="002C6F6E" w:rsidRDefault="002C6F6E" w:rsidP="002938F2">
      <w:r>
        <w:separator/>
      </w:r>
    </w:p>
    <w:p w14:paraId="17036CB3" w14:textId="77777777" w:rsidR="002C6F6E" w:rsidRDefault="002C6F6E"/>
  </w:endnote>
  <w:endnote w:type="continuationSeparator" w:id="0">
    <w:p w14:paraId="01F6EA1C" w14:textId="77777777" w:rsidR="002C6F6E" w:rsidRDefault="002C6F6E" w:rsidP="002938F2">
      <w:r>
        <w:continuationSeparator/>
      </w:r>
    </w:p>
    <w:p w14:paraId="787FE53F" w14:textId="77777777" w:rsidR="002C6F6E" w:rsidRDefault="002C6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52951" w14:textId="77777777" w:rsidR="00115F9D" w:rsidRDefault="00115F9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10E2" w14:textId="77777777" w:rsidR="00115F9D" w:rsidRDefault="00115F9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1949B" w14:textId="77777777" w:rsidR="00115F9D" w:rsidRDefault="00115F9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1E358" w14:textId="77777777" w:rsidR="002C6F6E" w:rsidRDefault="002C6F6E" w:rsidP="002938F2">
      <w:r>
        <w:separator/>
      </w:r>
    </w:p>
    <w:p w14:paraId="694B61EF" w14:textId="77777777" w:rsidR="002C6F6E" w:rsidRDefault="002C6F6E"/>
  </w:footnote>
  <w:footnote w:type="continuationSeparator" w:id="0">
    <w:p w14:paraId="6C541772" w14:textId="77777777" w:rsidR="002C6F6E" w:rsidRDefault="002C6F6E" w:rsidP="002938F2">
      <w:r>
        <w:continuationSeparator/>
      </w:r>
    </w:p>
    <w:p w14:paraId="7114641A" w14:textId="77777777" w:rsidR="002C6F6E" w:rsidRDefault="002C6F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ADAF" w14:textId="7D73B49E" w:rsidR="00B6167A" w:rsidRPr="002B7155" w:rsidRDefault="002B7155" w:rsidP="007E4E37">
    <w:pPr>
      <w:pStyle w:val="En-tte"/>
      <w:rPr>
        <w:rFonts w:ascii="Arial" w:hAnsi="Arial" w:cs="Arial"/>
        <w:lang w:val="fr-FR"/>
      </w:rPr>
    </w:pPr>
    <w:r w:rsidRPr="002B7155">
      <w:rPr>
        <w:rFonts w:ascii="Arial" w:hAnsi="Arial" w:cs="Arial"/>
        <w:sz w:val="20"/>
        <w:szCs w:val="20"/>
        <w:lang w:val="fr-FR"/>
      </w:rPr>
      <w:t>LHE</w:t>
    </w:r>
    <w:r w:rsidR="005414A1" w:rsidRPr="002B7155">
      <w:rPr>
        <w:rFonts w:ascii="Arial" w:hAnsi="Arial" w:cs="Arial"/>
        <w:sz w:val="20"/>
        <w:szCs w:val="20"/>
        <w:lang w:val="fr-FR"/>
      </w:rPr>
      <w:t>/</w:t>
    </w:r>
    <w:r w:rsidRPr="002B7155">
      <w:rPr>
        <w:rFonts w:ascii="Arial" w:hAnsi="Arial" w:cs="Arial"/>
        <w:sz w:val="20"/>
        <w:szCs w:val="20"/>
        <w:lang w:val="fr-FR"/>
      </w:rPr>
      <w:t>2</w:t>
    </w:r>
    <w:r w:rsidR="00A731B0">
      <w:rPr>
        <w:rFonts w:ascii="Arial" w:hAnsi="Arial" w:cs="Arial"/>
        <w:sz w:val="20"/>
        <w:szCs w:val="20"/>
        <w:lang w:val="fr-FR"/>
      </w:rPr>
      <w:t>2</w:t>
    </w:r>
    <w:r w:rsidR="006A0D86" w:rsidRPr="002B7155">
      <w:rPr>
        <w:rFonts w:ascii="Arial" w:hAnsi="Arial" w:cs="Arial"/>
        <w:sz w:val="20"/>
        <w:szCs w:val="20"/>
        <w:lang w:val="fr-FR"/>
      </w:rPr>
      <w:t>/</w:t>
    </w:r>
    <w:r w:rsidR="00B42AF4">
      <w:rPr>
        <w:rFonts w:ascii="Arial" w:hAnsi="Arial" w:cs="Arial"/>
        <w:sz w:val="20"/>
        <w:szCs w:val="20"/>
        <w:lang w:val="fr-FR"/>
      </w:rPr>
      <w:t>5</w:t>
    </w:r>
    <w:r w:rsidR="007E4E37" w:rsidRPr="002B7155">
      <w:rPr>
        <w:rFonts w:ascii="Arial" w:hAnsi="Arial" w:cs="Arial"/>
        <w:sz w:val="20"/>
        <w:szCs w:val="20"/>
        <w:lang w:val="fr-FR"/>
      </w:rPr>
      <w:t>.</w:t>
    </w:r>
    <w:r w:rsidR="00B42AF4">
      <w:rPr>
        <w:rFonts w:ascii="Arial" w:hAnsi="Arial" w:cs="Arial"/>
        <w:sz w:val="20"/>
        <w:szCs w:val="20"/>
        <w:lang w:val="fr-FR"/>
      </w:rPr>
      <w:t>EXT.</w:t>
    </w:r>
    <w:r w:rsidR="007E4E37" w:rsidRPr="00922F09">
      <w:rPr>
        <w:rFonts w:ascii="Arial" w:hAnsi="Arial" w:cs="Arial"/>
        <w:sz w:val="20"/>
        <w:szCs w:val="20"/>
        <w:lang w:val="fr-FR"/>
      </w:rPr>
      <w:t>COM</w:t>
    </w:r>
    <w:r w:rsidR="000A34CE" w:rsidRPr="00922F09">
      <w:rPr>
        <w:rFonts w:ascii="Arial" w:hAnsi="Arial" w:cs="Arial"/>
        <w:sz w:val="20"/>
        <w:szCs w:val="20"/>
        <w:lang w:val="fr-FR"/>
      </w:rPr>
      <w:t>/</w:t>
    </w:r>
    <w:r w:rsidR="00B8293B">
      <w:rPr>
        <w:rFonts w:ascii="Arial" w:eastAsiaTheme="minorEastAsia" w:hAnsi="Arial" w:cs="Arial"/>
        <w:sz w:val="20"/>
        <w:szCs w:val="20"/>
        <w:lang w:val="fr-FR" w:eastAsia="ko-KR"/>
      </w:rPr>
      <w:t>5</w:t>
    </w:r>
    <w:r w:rsidR="00B6167A" w:rsidRPr="00922F09">
      <w:rPr>
        <w:rFonts w:ascii="Arial" w:hAnsi="Arial" w:cs="Arial"/>
        <w:sz w:val="20"/>
        <w:szCs w:val="20"/>
        <w:lang w:val="fr-FR"/>
      </w:rPr>
      <w:t xml:space="preserve"> –</w:t>
    </w:r>
    <w:r w:rsidR="00B6167A" w:rsidRPr="002B7155">
      <w:rPr>
        <w:rFonts w:ascii="Arial" w:hAnsi="Arial" w:cs="Arial"/>
        <w:sz w:val="20"/>
        <w:szCs w:val="20"/>
        <w:lang w:val="fr-FR"/>
      </w:rPr>
      <w:t xml:space="preserve"> page </w:t>
    </w:r>
    <w:r w:rsidR="00B6167A" w:rsidRPr="00D81948">
      <w:rPr>
        <w:rStyle w:val="Numrodepage"/>
        <w:rFonts w:ascii="Arial" w:hAnsi="Arial" w:cs="Arial"/>
        <w:sz w:val="20"/>
        <w:szCs w:val="20"/>
      </w:rPr>
      <w:fldChar w:fldCharType="begin"/>
    </w:r>
    <w:r w:rsidR="00B6167A" w:rsidRPr="002B7155">
      <w:rPr>
        <w:rStyle w:val="Numrodepage"/>
        <w:rFonts w:ascii="Arial" w:hAnsi="Arial" w:cs="Arial"/>
        <w:sz w:val="20"/>
        <w:szCs w:val="20"/>
        <w:lang w:val="fr-FR"/>
      </w:rPr>
      <w:instrText xml:space="preserve"> PAGE </w:instrText>
    </w:r>
    <w:r w:rsidR="00B6167A" w:rsidRPr="00D81948">
      <w:rPr>
        <w:rStyle w:val="Numrodepage"/>
        <w:rFonts w:ascii="Arial" w:hAnsi="Arial" w:cs="Arial"/>
        <w:sz w:val="20"/>
        <w:szCs w:val="20"/>
      </w:rPr>
      <w:fldChar w:fldCharType="separate"/>
    </w:r>
    <w:r w:rsidR="00084713" w:rsidRPr="002B7155">
      <w:rPr>
        <w:rStyle w:val="Numrodepage"/>
        <w:rFonts w:ascii="Arial" w:hAnsi="Arial" w:cs="Arial"/>
        <w:noProof/>
        <w:sz w:val="20"/>
        <w:szCs w:val="20"/>
        <w:lang w:val="fr-FR"/>
      </w:rPr>
      <w:t>2</w:t>
    </w:r>
    <w:r w:rsidR="00B6167A" w:rsidRPr="00D81948">
      <w:rPr>
        <w:rStyle w:val="Numrodepage"/>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BD0B" w14:textId="7B974D67" w:rsidR="00B6167A" w:rsidRPr="007E4E37" w:rsidRDefault="00855C5D" w:rsidP="007250E3">
    <w:pPr>
      <w:pStyle w:val="En-tte"/>
      <w:ind w:left="2544" w:firstLine="3693"/>
      <w:jc w:val="right"/>
      <w:rPr>
        <w:rFonts w:ascii="Arial" w:hAnsi="Arial" w:cs="Arial"/>
      </w:rPr>
    </w:pPr>
    <w:r w:rsidRPr="002B7155">
      <w:rPr>
        <w:rFonts w:ascii="Arial" w:hAnsi="Arial" w:cs="Arial"/>
        <w:sz w:val="20"/>
        <w:szCs w:val="20"/>
        <w:lang w:val="fr-FR"/>
      </w:rPr>
      <w:t>LHE/2</w:t>
    </w:r>
    <w:r>
      <w:rPr>
        <w:rFonts w:ascii="Arial" w:hAnsi="Arial" w:cs="Arial"/>
        <w:sz w:val="20"/>
        <w:szCs w:val="20"/>
        <w:lang w:val="fr-FR"/>
      </w:rPr>
      <w:t>2</w:t>
    </w:r>
    <w:r w:rsidRPr="002B7155">
      <w:rPr>
        <w:rFonts w:ascii="Arial" w:hAnsi="Arial" w:cs="Arial"/>
        <w:sz w:val="20"/>
        <w:szCs w:val="20"/>
        <w:lang w:val="fr-FR"/>
      </w:rPr>
      <w:t>/</w:t>
    </w:r>
    <w:r>
      <w:rPr>
        <w:rFonts w:ascii="Arial" w:hAnsi="Arial" w:cs="Arial"/>
        <w:sz w:val="20"/>
        <w:szCs w:val="20"/>
        <w:lang w:val="fr-FR"/>
      </w:rPr>
      <w:t>5</w:t>
    </w:r>
    <w:r w:rsidRPr="002B7155">
      <w:rPr>
        <w:rFonts w:ascii="Arial" w:hAnsi="Arial" w:cs="Arial"/>
        <w:sz w:val="20"/>
        <w:szCs w:val="20"/>
        <w:lang w:val="fr-FR"/>
      </w:rPr>
      <w:t>.</w:t>
    </w:r>
    <w:r>
      <w:rPr>
        <w:rFonts w:ascii="Arial" w:hAnsi="Arial" w:cs="Arial"/>
        <w:sz w:val="20"/>
        <w:szCs w:val="20"/>
        <w:lang w:val="fr-FR"/>
      </w:rPr>
      <w:t>EXT.</w:t>
    </w:r>
    <w:r w:rsidRPr="00922F09">
      <w:rPr>
        <w:rFonts w:ascii="Arial" w:hAnsi="Arial" w:cs="Arial"/>
        <w:sz w:val="20"/>
        <w:szCs w:val="20"/>
        <w:lang w:val="fr-FR"/>
      </w:rPr>
      <w:t>COM/</w:t>
    </w:r>
    <w:r w:rsidR="00115F9D">
      <w:rPr>
        <w:rFonts w:ascii="Arial" w:eastAsiaTheme="minorEastAsia" w:hAnsi="Arial" w:cs="Arial"/>
        <w:sz w:val="20"/>
        <w:szCs w:val="20"/>
        <w:lang w:val="fr-FR" w:eastAsia="ko-KR"/>
      </w:rPr>
      <w:t>5</w:t>
    </w:r>
    <w:r w:rsidRPr="00922F09">
      <w:rPr>
        <w:rFonts w:ascii="Arial" w:hAnsi="Arial" w:cs="Arial"/>
        <w:sz w:val="20"/>
        <w:szCs w:val="20"/>
        <w:lang w:val="fr-FR"/>
      </w:rPr>
      <w:t xml:space="preserve"> </w:t>
    </w:r>
    <w:r w:rsidR="001E4EEB" w:rsidRPr="00EF563B">
      <w:rPr>
        <w:rFonts w:ascii="Arial" w:hAnsi="Arial" w:cs="Arial"/>
        <w:sz w:val="20"/>
        <w:szCs w:val="20"/>
        <w:lang w:val="en-US"/>
      </w:rPr>
      <w:t xml:space="preserve">– page </w:t>
    </w:r>
    <w:r w:rsidR="001E4EEB" w:rsidRPr="00EF563B">
      <w:rPr>
        <w:rStyle w:val="Numrodepage"/>
        <w:rFonts w:ascii="Arial" w:hAnsi="Arial" w:cs="Arial"/>
        <w:sz w:val="20"/>
        <w:szCs w:val="20"/>
      </w:rPr>
      <w:fldChar w:fldCharType="begin"/>
    </w:r>
    <w:r w:rsidR="001E4EEB" w:rsidRPr="00EF563B">
      <w:rPr>
        <w:rStyle w:val="Numrodepage"/>
        <w:rFonts w:ascii="Arial" w:hAnsi="Arial" w:cs="Arial"/>
        <w:sz w:val="20"/>
        <w:szCs w:val="20"/>
        <w:lang w:val="en-US"/>
      </w:rPr>
      <w:instrText xml:space="preserve"> </w:instrText>
    </w:r>
    <w:r w:rsidR="001E4EEB">
      <w:rPr>
        <w:rStyle w:val="Numrodepage"/>
        <w:rFonts w:ascii="Arial" w:hAnsi="Arial" w:cs="Arial"/>
        <w:sz w:val="20"/>
        <w:szCs w:val="20"/>
        <w:lang w:val="en-US"/>
      </w:rPr>
      <w:instrText>PAGE</w:instrText>
    </w:r>
    <w:r w:rsidR="001E4EEB" w:rsidRPr="00EF563B">
      <w:rPr>
        <w:rStyle w:val="Numrodepage"/>
        <w:rFonts w:ascii="Arial" w:hAnsi="Arial" w:cs="Arial"/>
        <w:sz w:val="20"/>
        <w:szCs w:val="20"/>
        <w:lang w:val="en-US"/>
      </w:rPr>
      <w:instrText xml:space="preserve"> </w:instrText>
    </w:r>
    <w:r w:rsidR="001E4EEB" w:rsidRPr="00EF563B">
      <w:rPr>
        <w:rStyle w:val="Numrodepage"/>
        <w:rFonts w:ascii="Arial" w:hAnsi="Arial" w:cs="Arial"/>
        <w:sz w:val="20"/>
        <w:szCs w:val="20"/>
      </w:rPr>
      <w:fldChar w:fldCharType="separate"/>
    </w:r>
    <w:r w:rsidR="00CA6FEF">
      <w:rPr>
        <w:rStyle w:val="Numrodepage"/>
        <w:rFonts w:ascii="Arial" w:hAnsi="Arial" w:cs="Arial"/>
        <w:noProof/>
        <w:sz w:val="20"/>
        <w:szCs w:val="20"/>
        <w:lang w:val="en-US"/>
      </w:rPr>
      <w:t>3</w:t>
    </w:r>
    <w:r w:rsidR="001E4EEB" w:rsidRPr="00EF563B">
      <w:rPr>
        <w:rStyle w:val="Numrodepage"/>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C8B6" w14:textId="53D2DBD8" w:rsidR="00B6167A" w:rsidRPr="008724E5" w:rsidRDefault="00D01A30">
    <w:pPr>
      <w:pStyle w:val="En-tte"/>
    </w:pPr>
    <w:r>
      <w:rPr>
        <w:noProof/>
      </w:rPr>
      <w:drawing>
        <wp:anchor distT="0" distB="0" distL="114300" distR="114300" simplePos="0" relativeHeight="251659264" behindDoc="0" locked="0" layoutInCell="1" allowOverlap="1" wp14:anchorId="5B48CD13" wp14:editId="7A645946">
          <wp:simplePos x="0" y="0"/>
          <wp:positionH relativeFrom="column">
            <wp:posOffset>15875</wp:posOffset>
          </wp:positionH>
          <wp:positionV relativeFrom="paragraph">
            <wp:posOffset>31750</wp:posOffset>
          </wp:positionV>
          <wp:extent cx="1688124" cy="1322363"/>
          <wp:effectExtent l="0" t="0" r="7620" b="0"/>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124" cy="132236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8AC81C" w14:textId="344688E8" w:rsidR="00B6167A" w:rsidRPr="00B52922" w:rsidRDefault="00B42AF4" w:rsidP="002938F2">
    <w:pPr>
      <w:pStyle w:val="En-tte"/>
      <w:spacing w:after="520"/>
      <w:jc w:val="right"/>
      <w:rPr>
        <w:rFonts w:ascii="Arial" w:eastAsiaTheme="minorEastAsia" w:hAnsi="Arial" w:cs="Arial"/>
        <w:b/>
        <w:sz w:val="44"/>
        <w:szCs w:val="44"/>
        <w:lang w:val="pt-PT" w:eastAsia="ko-KR"/>
      </w:rPr>
    </w:pPr>
    <w:r>
      <w:rPr>
        <w:rFonts w:ascii="Arial" w:hAnsi="Arial" w:cs="Arial"/>
        <w:b/>
        <w:sz w:val="44"/>
        <w:szCs w:val="44"/>
        <w:lang w:val="pt-PT"/>
      </w:rPr>
      <w:t>5 EXT COM</w:t>
    </w:r>
  </w:p>
  <w:p w14:paraId="122B936C" w14:textId="262D1182" w:rsidR="00B6167A" w:rsidRPr="00804FA2" w:rsidRDefault="003F67FB" w:rsidP="002D396D">
    <w:pPr>
      <w:spacing w:after="0"/>
      <w:jc w:val="right"/>
      <w:rPr>
        <w:rFonts w:ascii="Arial" w:hAnsi="Arial" w:cs="Arial"/>
        <w:b/>
        <w:szCs w:val="22"/>
        <w:lang w:val="pt-PT"/>
      </w:rPr>
    </w:pPr>
    <w:r w:rsidRPr="00B52922">
      <w:rPr>
        <w:rFonts w:ascii="Arial" w:hAnsi="Arial" w:cs="Arial"/>
        <w:b/>
        <w:szCs w:val="22"/>
        <w:lang w:val="pt-PT"/>
      </w:rPr>
      <w:t>LHE</w:t>
    </w:r>
    <w:r w:rsidR="006A0D86" w:rsidRPr="00B52922">
      <w:rPr>
        <w:rFonts w:ascii="Arial" w:hAnsi="Arial" w:cs="Arial"/>
        <w:b/>
        <w:szCs w:val="22"/>
        <w:lang w:val="pt-PT"/>
      </w:rPr>
      <w:t>/</w:t>
    </w:r>
    <w:r w:rsidR="00304F3C">
      <w:rPr>
        <w:rFonts w:ascii="Arial" w:hAnsi="Arial" w:cs="Arial"/>
        <w:b/>
        <w:szCs w:val="22"/>
        <w:lang w:val="pt-PT"/>
      </w:rPr>
      <w:t>22</w:t>
    </w:r>
    <w:r w:rsidR="00B6167A" w:rsidRPr="00B52922">
      <w:rPr>
        <w:rFonts w:ascii="Arial" w:hAnsi="Arial" w:cs="Arial"/>
        <w:b/>
        <w:szCs w:val="22"/>
        <w:lang w:val="pt-PT"/>
      </w:rPr>
      <w:t>/</w:t>
    </w:r>
    <w:r w:rsidR="00B42AF4">
      <w:rPr>
        <w:rFonts w:ascii="Arial" w:hAnsi="Arial" w:cs="Arial"/>
        <w:b/>
        <w:szCs w:val="22"/>
        <w:lang w:val="pt-PT"/>
      </w:rPr>
      <w:t>5</w:t>
    </w:r>
    <w:r w:rsidR="00B6167A" w:rsidRPr="00B52922">
      <w:rPr>
        <w:rFonts w:ascii="Arial" w:hAnsi="Arial" w:cs="Arial"/>
        <w:b/>
        <w:szCs w:val="22"/>
        <w:lang w:val="pt-PT"/>
      </w:rPr>
      <w:t>.</w:t>
    </w:r>
    <w:r w:rsidR="00B42AF4">
      <w:rPr>
        <w:rFonts w:ascii="Arial" w:hAnsi="Arial" w:cs="Arial"/>
        <w:b/>
        <w:szCs w:val="22"/>
        <w:lang w:val="pt-PT"/>
      </w:rPr>
      <w:t>EXT.</w:t>
    </w:r>
    <w:r w:rsidR="007E4E37" w:rsidRPr="00B52922">
      <w:rPr>
        <w:rFonts w:ascii="Arial" w:hAnsi="Arial" w:cs="Arial"/>
        <w:b/>
        <w:szCs w:val="22"/>
        <w:lang w:val="pt-PT"/>
      </w:rPr>
      <w:t>COM</w:t>
    </w:r>
    <w:r w:rsidR="008B7346" w:rsidRPr="00804FA2">
      <w:rPr>
        <w:rFonts w:ascii="Arial" w:hAnsi="Arial" w:cs="Arial"/>
        <w:b/>
        <w:szCs w:val="22"/>
        <w:lang w:val="pt-PT"/>
      </w:rPr>
      <w:t>/</w:t>
    </w:r>
    <w:r w:rsidR="00B8293B" w:rsidRPr="00804FA2">
      <w:rPr>
        <w:rFonts w:ascii="Arial" w:hAnsi="Arial" w:cs="Arial"/>
        <w:b/>
        <w:szCs w:val="22"/>
        <w:lang w:val="pt-PT"/>
      </w:rPr>
      <w:t>5</w:t>
    </w:r>
  </w:p>
  <w:p w14:paraId="2CC34105" w14:textId="65A6DE4F" w:rsidR="00B6167A" w:rsidRPr="00804FA2" w:rsidRDefault="00B6167A" w:rsidP="00C81439">
    <w:pPr>
      <w:spacing w:after="0"/>
      <w:jc w:val="right"/>
      <w:rPr>
        <w:rFonts w:ascii="Arial" w:hAnsi="Arial" w:cs="Arial"/>
        <w:b/>
        <w:szCs w:val="22"/>
        <w:lang w:val="pt-PT"/>
      </w:rPr>
    </w:pPr>
    <w:r w:rsidRPr="00804FA2">
      <w:rPr>
        <w:rFonts w:ascii="Arial" w:hAnsi="Arial" w:cs="Arial"/>
        <w:b/>
        <w:szCs w:val="22"/>
        <w:lang w:val="pt-PT"/>
      </w:rPr>
      <w:t>Paris,</w:t>
    </w:r>
    <w:r w:rsidR="00CB500D" w:rsidRPr="00804FA2">
      <w:rPr>
        <w:rFonts w:ascii="Arial" w:hAnsi="Arial" w:cs="Arial"/>
        <w:b/>
        <w:szCs w:val="22"/>
        <w:lang w:val="pt-PT"/>
      </w:rPr>
      <w:t xml:space="preserve"> </w:t>
    </w:r>
    <w:r w:rsidR="001F1253">
      <w:rPr>
        <w:rFonts w:ascii="Arial" w:hAnsi="Arial" w:cs="Arial"/>
        <w:b/>
        <w:szCs w:val="22"/>
        <w:lang w:val="pt-PT"/>
      </w:rPr>
      <w:t>28</w:t>
    </w:r>
    <w:r w:rsidR="001F1253" w:rsidRPr="00804FA2">
      <w:rPr>
        <w:rFonts w:ascii="Arial" w:hAnsi="Arial" w:cs="Arial"/>
        <w:b/>
        <w:szCs w:val="22"/>
        <w:lang w:val="pt-PT"/>
      </w:rPr>
      <w:t xml:space="preserve"> </w:t>
    </w:r>
    <w:r w:rsidR="00BD48B7" w:rsidRPr="00804FA2">
      <w:rPr>
        <w:rFonts w:ascii="Arial" w:hAnsi="Arial" w:cs="Arial"/>
        <w:b/>
        <w:szCs w:val="22"/>
        <w:lang w:val="pt-PT"/>
      </w:rPr>
      <w:t>June</w:t>
    </w:r>
    <w:r w:rsidR="009B4F53" w:rsidRPr="00804FA2">
      <w:rPr>
        <w:rFonts w:ascii="Arial" w:hAnsi="Arial" w:cs="Arial"/>
        <w:b/>
        <w:szCs w:val="22"/>
        <w:lang w:val="pt-PT"/>
      </w:rPr>
      <w:t xml:space="preserve"> </w:t>
    </w:r>
    <w:r w:rsidR="007250E3" w:rsidRPr="00804FA2">
      <w:rPr>
        <w:rFonts w:ascii="Arial" w:hAnsi="Arial" w:cs="Arial"/>
        <w:b/>
        <w:szCs w:val="22"/>
        <w:lang w:val="pt-PT"/>
      </w:rPr>
      <w:t>20</w:t>
    </w:r>
    <w:r w:rsidR="009B4F53" w:rsidRPr="00804FA2">
      <w:rPr>
        <w:rFonts w:ascii="Arial" w:hAnsi="Arial" w:cs="Arial"/>
        <w:b/>
        <w:szCs w:val="22"/>
        <w:lang w:val="pt-PT"/>
      </w:rPr>
      <w:t>2</w:t>
    </w:r>
    <w:r w:rsidR="00304F3C" w:rsidRPr="00804FA2">
      <w:rPr>
        <w:rFonts w:ascii="Arial" w:hAnsi="Arial" w:cs="Arial"/>
        <w:b/>
        <w:szCs w:val="22"/>
        <w:lang w:val="pt-PT"/>
      </w:rPr>
      <w:t>2</w:t>
    </w:r>
  </w:p>
  <w:p w14:paraId="59A22BCA" w14:textId="77777777" w:rsidR="00B6167A" w:rsidRPr="00D81948" w:rsidRDefault="00B6167A" w:rsidP="00C81439">
    <w:pPr>
      <w:spacing w:after="0"/>
      <w:jc w:val="right"/>
      <w:rPr>
        <w:rFonts w:ascii="Arial" w:hAnsi="Arial" w:cs="Arial"/>
        <w:b/>
        <w:szCs w:val="22"/>
      </w:rPr>
    </w:pPr>
    <w:r w:rsidRPr="00D81948">
      <w:rPr>
        <w:rFonts w:ascii="Arial" w:hAnsi="Arial" w:cs="Arial"/>
        <w:b/>
        <w:szCs w:val="22"/>
      </w:rPr>
      <w:t xml:space="preserve">Original: </w:t>
    </w:r>
    <w:r w:rsidR="00C81439">
      <w:rPr>
        <w:rFonts w:ascii="Arial" w:hAnsi="Arial" w:cs="Arial"/>
        <w:b/>
        <w:szCs w:val="22"/>
      </w:rPr>
      <w:t>English</w:t>
    </w:r>
  </w:p>
  <w:p w14:paraId="3D76CF75" w14:textId="77777777" w:rsidR="00B6167A" w:rsidRPr="00D81948" w:rsidRDefault="00B6167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A256A"/>
    <w:multiLevelType w:val="hybridMultilevel"/>
    <w:tmpl w:val="FF422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0F4207D"/>
    <w:multiLevelType w:val="hybridMultilevel"/>
    <w:tmpl w:val="0AA84D7A"/>
    <w:lvl w:ilvl="0" w:tplc="1E1EE1A0">
      <w:start w:val="1"/>
      <w:numFmt w:val="decimal"/>
      <w:lvlText w:val="%1."/>
      <w:lvlJc w:val="left"/>
      <w:pPr>
        <w:ind w:left="785" w:hanging="360"/>
      </w:pPr>
      <w:rPr>
        <w:rFonts w:hint="default"/>
      </w:rPr>
    </w:lvl>
    <w:lvl w:ilvl="1" w:tplc="0409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1E5150"/>
    <w:multiLevelType w:val="hybridMultilevel"/>
    <w:tmpl w:val="250EF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4CA1FDE"/>
    <w:multiLevelType w:val="hybridMultilevel"/>
    <w:tmpl w:val="74600800"/>
    <w:lvl w:ilvl="0" w:tplc="20D26350">
      <w:start w:val="1"/>
      <w:numFmt w:val="decimal"/>
      <w:lvlText w:val="%1."/>
      <w:lvlJc w:val="left"/>
      <w:pPr>
        <w:ind w:left="1137" w:hanging="57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 w15:restartNumberingAfterBreak="0">
    <w:nsid w:val="2A3857A0"/>
    <w:multiLevelType w:val="hybridMultilevel"/>
    <w:tmpl w:val="A68CC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931D0"/>
    <w:multiLevelType w:val="multilevel"/>
    <w:tmpl w:val="D66A2C00"/>
    <w:lvl w:ilvl="0">
      <w:start w:val="2"/>
      <w:numFmt w:val="upperLetter"/>
      <w:lvlText w:val="%1."/>
      <w:lvlJc w:val="left"/>
      <w:pPr>
        <w:ind w:left="0" w:firstLine="0"/>
      </w:pPr>
      <w:rPr>
        <w:rFonts w:hint="default"/>
        <w:color w:val="auto"/>
        <w:sz w:val="22"/>
      </w:rPr>
    </w:lvl>
    <w:lvl w:ilvl="1">
      <w:start w:val="2"/>
      <w:numFmt w:val="decimal"/>
      <w:lvlText w:val="%2."/>
      <w:lvlJc w:val="left"/>
      <w:pPr>
        <w:ind w:left="576" w:hanging="576"/>
      </w:pPr>
      <w:rPr>
        <w:rFonts w:hint="default"/>
        <w:b w:val="0"/>
        <w:bCs w:val="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35F07BFE"/>
    <w:multiLevelType w:val="hybridMultilevel"/>
    <w:tmpl w:val="6CC67502"/>
    <w:lvl w:ilvl="0" w:tplc="3864E48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15:restartNumberingAfterBreak="0">
    <w:nsid w:val="397A4DB1"/>
    <w:multiLevelType w:val="hybridMultilevel"/>
    <w:tmpl w:val="1F36D964"/>
    <w:lvl w:ilvl="0" w:tplc="918ACE6A">
      <w:start w:val="1"/>
      <w:numFmt w:val="decimal"/>
      <w:lvlText w:val="%1."/>
      <w:lvlJc w:val="left"/>
      <w:pPr>
        <w:ind w:left="1287" w:hanging="360"/>
      </w:p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4E7117AC"/>
    <w:multiLevelType w:val="multilevel"/>
    <w:tmpl w:val="0BA4F8B8"/>
    <w:lvl w:ilvl="0">
      <w:start w:val="1"/>
      <w:numFmt w:val="upperLetter"/>
      <w:lvlText w:val="%1."/>
      <w:lvlJc w:val="left"/>
      <w:pPr>
        <w:ind w:left="2552" w:firstLine="0"/>
      </w:pPr>
      <w:rPr>
        <w:rFonts w:hint="default"/>
        <w:color w:val="auto"/>
        <w:sz w:val="22"/>
      </w:rPr>
    </w:lvl>
    <w:lvl w:ilvl="1">
      <w:start w:val="1"/>
      <w:numFmt w:val="decimal"/>
      <w:lvlText w:val="%2."/>
      <w:lvlJc w:val="left"/>
      <w:pPr>
        <w:ind w:left="518" w:hanging="576"/>
      </w:pPr>
      <w:rPr>
        <w:rFonts w:hint="default"/>
        <w:b w:val="0"/>
        <w:bCs w:val="0"/>
      </w:rPr>
    </w:lvl>
    <w:lvl w:ilvl="2">
      <w:start w:val="1"/>
      <w:numFmt w:val="lowerRoman"/>
      <w:lvlText w:val="%3)"/>
      <w:lvlJc w:val="left"/>
      <w:pPr>
        <w:ind w:left="1382" w:hanging="360"/>
      </w:pPr>
      <w:rPr>
        <w:rFonts w:hint="default"/>
      </w:rPr>
    </w:lvl>
    <w:lvl w:ilvl="3">
      <w:start w:val="1"/>
      <w:numFmt w:val="decimal"/>
      <w:lvlText w:val="(%4)"/>
      <w:lvlJc w:val="left"/>
      <w:pPr>
        <w:ind w:left="1742" w:hanging="360"/>
      </w:pPr>
      <w:rPr>
        <w:rFonts w:hint="default"/>
      </w:rPr>
    </w:lvl>
    <w:lvl w:ilvl="4">
      <w:start w:val="1"/>
      <w:numFmt w:val="lowerLetter"/>
      <w:lvlText w:val="(%5)"/>
      <w:lvlJc w:val="left"/>
      <w:pPr>
        <w:ind w:left="2102" w:hanging="360"/>
      </w:pPr>
      <w:rPr>
        <w:rFonts w:hint="default"/>
      </w:rPr>
    </w:lvl>
    <w:lvl w:ilvl="5">
      <w:start w:val="1"/>
      <w:numFmt w:val="lowerRoman"/>
      <w:lvlText w:val="(%6)"/>
      <w:lvlJc w:val="left"/>
      <w:pPr>
        <w:ind w:left="2462" w:hanging="360"/>
      </w:pPr>
      <w:rPr>
        <w:rFonts w:hint="default"/>
      </w:rPr>
    </w:lvl>
    <w:lvl w:ilvl="6">
      <w:start w:val="1"/>
      <w:numFmt w:val="decimal"/>
      <w:lvlText w:val="%7."/>
      <w:lvlJc w:val="left"/>
      <w:pPr>
        <w:ind w:left="2822" w:hanging="360"/>
      </w:pPr>
      <w:rPr>
        <w:rFonts w:hint="default"/>
      </w:rPr>
    </w:lvl>
    <w:lvl w:ilvl="7">
      <w:start w:val="1"/>
      <w:numFmt w:val="lowerLetter"/>
      <w:lvlText w:val="%8."/>
      <w:lvlJc w:val="left"/>
      <w:pPr>
        <w:ind w:left="3182" w:hanging="360"/>
      </w:pPr>
      <w:rPr>
        <w:rFonts w:hint="default"/>
      </w:rPr>
    </w:lvl>
    <w:lvl w:ilvl="8">
      <w:start w:val="1"/>
      <w:numFmt w:val="lowerRoman"/>
      <w:lvlText w:val="%9."/>
      <w:lvlJc w:val="left"/>
      <w:pPr>
        <w:ind w:left="3542" w:hanging="360"/>
      </w:pPr>
      <w:rPr>
        <w:rFonts w:hint="default"/>
      </w:rPr>
    </w:lvl>
  </w:abstractNum>
  <w:abstractNum w:abstractNumId="13" w15:restartNumberingAfterBreak="0">
    <w:nsid w:val="588D670A"/>
    <w:multiLevelType w:val="hybridMultilevel"/>
    <w:tmpl w:val="4CA25A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5ECD35B7"/>
    <w:multiLevelType w:val="hybridMultilevel"/>
    <w:tmpl w:val="E40E8992"/>
    <w:lvl w:ilvl="0" w:tplc="040C000F">
      <w:start w:val="1"/>
      <w:numFmt w:val="decimal"/>
      <w:lvlText w:val="%1."/>
      <w:lvlJc w:val="left"/>
      <w:pPr>
        <w:ind w:left="-558" w:hanging="360"/>
      </w:pPr>
      <w:rPr>
        <w:rFonts w:hint="default"/>
      </w:rPr>
    </w:lvl>
    <w:lvl w:ilvl="1" w:tplc="040C0019" w:tentative="1">
      <w:start w:val="1"/>
      <w:numFmt w:val="lowerLetter"/>
      <w:lvlText w:val="%2."/>
      <w:lvlJc w:val="left"/>
      <w:pPr>
        <w:ind w:left="162" w:hanging="360"/>
      </w:pPr>
    </w:lvl>
    <w:lvl w:ilvl="2" w:tplc="040C001B" w:tentative="1">
      <w:start w:val="1"/>
      <w:numFmt w:val="lowerRoman"/>
      <w:lvlText w:val="%3."/>
      <w:lvlJc w:val="right"/>
      <w:pPr>
        <w:ind w:left="882" w:hanging="180"/>
      </w:pPr>
    </w:lvl>
    <w:lvl w:ilvl="3" w:tplc="040C000F" w:tentative="1">
      <w:start w:val="1"/>
      <w:numFmt w:val="decimal"/>
      <w:lvlText w:val="%4."/>
      <w:lvlJc w:val="left"/>
      <w:pPr>
        <w:ind w:left="1602" w:hanging="360"/>
      </w:pPr>
    </w:lvl>
    <w:lvl w:ilvl="4" w:tplc="040C0019" w:tentative="1">
      <w:start w:val="1"/>
      <w:numFmt w:val="lowerLetter"/>
      <w:lvlText w:val="%5."/>
      <w:lvlJc w:val="left"/>
      <w:pPr>
        <w:ind w:left="2322" w:hanging="360"/>
      </w:pPr>
    </w:lvl>
    <w:lvl w:ilvl="5" w:tplc="040C001B" w:tentative="1">
      <w:start w:val="1"/>
      <w:numFmt w:val="lowerRoman"/>
      <w:lvlText w:val="%6."/>
      <w:lvlJc w:val="right"/>
      <w:pPr>
        <w:ind w:left="3042" w:hanging="180"/>
      </w:pPr>
    </w:lvl>
    <w:lvl w:ilvl="6" w:tplc="040C000F" w:tentative="1">
      <w:start w:val="1"/>
      <w:numFmt w:val="decimal"/>
      <w:lvlText w:val="%7."/>
      <w:lvlJc w:val="left"/>
      <w:pPr>
        <w:ind w:left="3762" w:hanging="360"/>
      </w:pPr>
    </w:lvl>
    <w:lvl w:ilvl="7" w:tplc="040C0019" w:tentative="1">
      <w:start w:val="1"/>
      <w:numFmt w:val="lowerLetter"/>
      <w:lvlText w:val="%8."/>
      <w:lvlJc w:val="left"/>
      <w:pPr>
        <w:ind w:left="4482" w:hanging="360"/>
      </w:pPr>
    </w:lvl>
    <w:lvl w:ilvl="8" w:tplc="040C001B" w:tentative="1">
      <w:start w:val="1"/>
      <w:numFmt w:val="lowerRoman"/>
      <w:lvlText w:val="%9."/>
      <w:lvlJc w:val="right"/>
      <w:pPr>
        <w:ind w:left="5202" w:hanging="180"/>
      </w:pPr>
    </w:lvl>
  </w:abstractNum>
  <w:abstractNum w:abstractNumId="1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4413AFC"/>
    <w:multiLevelType w:val="hybridMultilevel"/>
    <w:tmpl w:val="33DA9210"/>
    <w:lvl w:ilvl="0" w:tplc="09764AB4">
      <w:start w:val="1"/>
      <w:numFmt w:val="upperRoman"/>
      <w:lvlText w:val="%1."/>
      <w:lvlJc w:val="left"/>
      <w:pPr>
        <w:ind w:left="720" w:hanging="72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74610D8D"/>
    <w:multiLevelType w:val="hybridMultilevel"/>
    <w:tmpl w:val="F836C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EAF48B3"/>
    <w:multiLevelType w:val="hybridMultilevel"/>
    <w:tmpl w:val="74600800"/>
    <w:lvl w:ilvl="0" w:tplc="20D26350">
      <w:start w:val="1"/>
      <w:numFmt w:val="decimal"/>
      <w:lvlText w:val="%1."/>
      <w:lvlJc w:val="left"/>
      <w:pPr>
        <w:ind w:left="1137" w:hanging="57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14"/>
  </w:num>
  <w:num w:numId="2">
    <w:abstractNumId w:val="10"/>
  </w:num>
  <w:num w:numId="3">
    <w:abstractNumId w:val="4"/>
  </w:num>
  <w:num w:numId="4">
    <w:abstractNumId w:val="19"/>
  </w:num>
  <w:num w:numId="5">
    <w:abstractNumId w:val="15"/>
  </w:num>
  <w:num w:numId="6">
    <w:abstractNumId w:val="1"/>
  </w:num>
  <w:num w:numId="7">
    <w:abstractNumId w:val="5"/>
  </w:num>
  <w:num w:numId="8">
    <w:abstractNumId w:val="9"/>
  </w:num>
  <w:num w:numId="9">
    <w:abstractNumId w:val="16"/>
  </w:num>
  <w:num w:numId="10">
    <w:abstractNumId w:val="9"/>
    <w:lvlOverride w:ilvl="0">
      <w:startOverride w:val="1"/>
    </w:lvlOverride>
  </w:num>
  <w:num w:numId="11">
    <w:abstractNumId w:val="17"/>
  </w:num>
  <w:num w:numId="12">
    <w:abstractNumId w:val="20"/>
  </w:num>
  <w:num w:numId="13">
    <w:abstractNumId w:val="6"/>
  </w:num>
  <w:num w:numId="14">
    <w:abstractNumId w:val="12"/>
  </w:num>
  <w:num w:numId="15">
    <w:abstractNumId w:val="8"/>
  </w:num>
  <w:num w:numId="16">
    <w:abstractNumId w:val="11"/>
  </w:num>
  <w:num w:numId="17">
    <w:abstractNumId w:val="0"/>
  </w:num>
  <w:num w:numId="18">
    <w:abstractNumId w:val="3"/>
  </w:num>
  <w:num w:numId="19">
    <w:abstractNumId w:val="7"/>
  </w:num>
  <w:num w:numId="20">
    <w:abstractNumId w:val="2"/>
  </w:num>
  <w:num w:numId="21">
    <w:abstractNumId w:val="18"/>
  </w:num>
  <w:num w:numId="22">
    <w:abstractNumId w:val="13"/>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08"/>
  <w:hyphenationZone w:val="425"/>
  <w:evenAndOddHeaders/>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1CB"/>
    <w:rsid w:val="000016A4"/>
    <w:rsid w:val="000019DB"/>
    <w:rsid w:val="000047CC"/>
    <w:rsid w:val="000120FD"/>
    <w:rsid w:val="00021831"/>
    <w:rsid w:val="00047982"/>
    <w:rsid w:val="00047E58"/>
    <w:rsid w:val="00053651"/>
    <w:rsid w:val="0006488C"/>
    <w:rsid w:val="00073D20"/>
    <w:rsid w:val="000755E1"/>
    <w:rsid w:val="00083862"/>
    <w:rsid w:val="00084713"/>
    <w:rsid w:val="00085541"/>
    <w:rsid w:val="00093063"/>
    <w:rsid w:val="000A34CE"/>
    <w:rsid w:val="000A7FEA"/>
    <w:rsid w:val="000B0A4D"/>
    <w:rsid w:val="000C65E4"/>
    <w:rsid w:val="000D42D9"/>
    <w:rsid w:val="000E051E"/>
    <w:rsid w:val="000E507B"/>
    <w:rsid w:val="00106B72"/>
    <w:rsid w:val="00115F9D"/>
    <w:rsid w:val="001160A8"/>
    <w:rsid w:val="0011750D"/>
    <w:rsid w:val="00122FB2"/>
    <w:rsid w:val="00125C8F"/>
    <w:rsid w:val="001317C9"/>
    <w:rsid w:val="001412DE"/>
    <w:rsid w:val="00144A4D"/>
    <w:rsid w:val="00151351"/>
    <w:rsid w:val="00160D9D"/>
    <w:rsid w:val="00174B39"/>
    <w:rsid w:val="00182F49"/>
    <w:rsid w:val="00186B92"/>
    <w:rsid w:val="00190171"/>
    <w:rsid w:val="001A431C"/>
    <w:rsid w:val="001B24C1"/>
    <w:rsid w:val="001B2F76"/>
    <w:rsid w:val="001D00B5"/>
    <w:rsid w:val="001D11C1"/>
    <w:rsid w:val="001D3B29"/>
    <w:rsid w:val="001D59C8"/>
    <w:rsid w:val="001E4EEB"/>
    <w:rsid w:val="001E6026"/>
    <w:rsid w:val="001F1253"/>
    <w:rsid w:val="001F3696"/>
    <w:rsid w:val="001F37CA"/>
    <w:rsid w:val="00204B37"/>
    <w:rsid w:val="002119C5"/>
    <w:rsid w:val="00212E33"/>
    <w:rsid w:val="0021633A"/>
    <w:rsid w:val="00226978"/>
    <w:rsid w:val="00226D6B"/>
    <w:rsid w:val="00237E43"/>
    <w:rsid w:val="0024113F"/>
    <w:rsid w:val="00251C9B"/>
    <w:rsid w:val="0027198B"/>
    <w:rsid w:val="00273DA6"/>
    <w:rsid w:val="00273FCC"/>
    <w:rsid w:val="00286C0C"/>
    <w:rsid w:val="00290D5F"/>
    <w:rsid w:val="00292DE8"/>
    <w:rsid w:val="002938F2"/>
    <w:rsid w:val="00295AC2"/>
    <w:rsid w:val="002B334C"/>
    <w:rsid w:val="002B7155"/>
    <w:rsid w:val="002C5280"/>
    <w:rsid w:val="002C6B40"/>
    <w:rsid w:val="002C6F6E"/>
    <w:rsid w:val="002D396D"/>
    <w:rsid w:val="00304F3C"/>
    <w:rsid w:val="00313926"/>
    <w:rsid w:val="00314EF6"/>
    <w:rsid w:val="003227C6"/>
    <w:rsid w:val="00335C0B"/>
    <w:rsid w:val="003426EC"/>
    <w:rsid w:val="0035565E"/>
    <w:rsid w:val="0035648A"/>
    <w:rsid w:val="00363995"/>
    <w:rsid w:val="00363C5F"/>
    <w:rsid w:val="00365B94"/>
    <w:rsid w:val="00371323"/>
    <w:rsid w:val="0039446E"/>
    <w:rsid w:val="003A12C9"/>
    <w:rsid w:val="003A3321"/>
    <w:rsid w:val="003C7065"/>
    <w:rsid w:val="003F67FB"/>
    <w:rsid w:val="00404BB0"/>
    <w:rsid w:val="004108B6"/>
    <w:rsid w:val="00414C24"/>
    <w:rsid w:val="00434773"/>
    <w:rsid w:val="00447C66"/>
    <w:rsid w:val="00471B34"/>
    <w:rsid w:val="00472F32"/>
    <w:rsid w:val="00477EE6"/>
    <w:rsid w:val="004855EF"/>
    <w:rsid w:val="00485A17"/>
    <w:rsid w:val="00490A22"/>
    <w:rsid w:val="0049253C"/>
    <w:rsid w:val="0049622A"/>
    <w:rsid w:val="004A04D4"/>
    <w:rsid w:val="004B2409"/>
    <w:rsid w:val="004D6CD3"/>
    <w:rsid w:val="004E056C"/>
    <w:rsid w:val="004E2817"/>
    <w:rsid w:val="005016FB"/>
    <w:rsid w:val="00511D17"/>
    <w:rsid w:val="0051699F"/>
    <w:rsid w:val="00517382"/>
    <w:rsid w:val="005173F3"/>
    <w:rsid w:val="0053415F"/>
    <w:rsid w:val="005346E4"/>
    <w:rsid w:val="005414A1"/>
    <w:rsid w:val="005908B4"/>
    <w:rsid w:val="005B22E2"/>
    <w:rsid w:val="005B6F23"/>
    <w:rsid w:val="005C0660"/>
    <w:rsid w:val="005C224C"/>
    <w:rsid w:val="005C44B9"/>
    <w:rsid w:val="005F17DC"/>
    <w:rsid w:val="005F2933"/>
    <w:rsid w:val="005F6913"/>
    <w:rsid w:val="00601DD6"/>
    <w:rsid w:val="00602389"/>
    <w:rsid w:val="00603F71"/>
    <w:rsid w:val="006073F4"/>
    <w:rsid w:val="00620CD9"/>
    <w:rsid w:val="00636760"/>
    <w:rsid w:val="006515C9"/>
    <w:rsid w:val="00652318"/>
    <w:rsid w:val="00652362"/>
    <w:rsid w:val="006523BB"/>
    <w:rsid w:val="00665BD2"/>
    <w:rsid w:val="00666FE1"/>
    <w:rsid w:val="0067005F"/>
    <w:rsid w:val="00693F84"/>
    <w:rsid w:val="006960DA"/>
    <w:rsid w:val="006A0D86"/>
    <w:rsid w:val="006A3804"/>
    <w:rsid w:val="006B45A2"/>
    <w:rsid w:val="006C0911"/>
    <w:rsid w:val="006C6BE2"/>
    <w:rsid w:val="006D46FB"/>
    <w:rsid w:val="006E6154"/>
    <w:rsid w:val="00717ADE"/>
    <w:rsid w:val="007214BB"/>
    <w:rsid w:val="00721A6F"/>
    <w:rsid w:val="00722005"/>
    <w:rsid w:val="007250E3"/>
    <w:rsid w:val="0073349D"/>
    <w:rsid w:val="00746204"/>
    <w:rsid w:val="00747715"/>
    <w:rsid w:val="00750138"/>
    <w:rsid w:val="00753DA3"/>
    <w:rsid w:val="00764F50"/>
    <w:rsid w:val="00770A92"/>
    <w:rsid w:val="00781277"/>
    <w:rsid w:val="00790C65"/>
    <w:rsid w:val="0079717B"/>
    <w:rsid w:val="007A1845"/>
    <w:rsid w:val="007A7D45"/>
    <w:rsid w:val="007B43F7"/>
    <w:rsid w:val="007B4F26"/>
    <w:rsid w:val="007C1B00"/>
    <w:rsid w:val="007D31CE"/>
    <w:rsid w:val="007D3287"/>
    <w:rsid w:val="007D5BB7"/>
    <w:rsid w:val="007E0621"/>
    <w:rsid w:val="007E4E37"/>
    <w:rsid w:val="007F257D"/>
    <w:rsid w:val="007F4B07"/>
    <w:rsid w:val="00804FA2"/>
    <w:rsid w:val="0083488D"/>
    <w:rsid w:val="008428E7"/>
    <w:rsid w:val="00843B71"/>
    <w:rsid w:val="008466C3"/>
    <w:rsid w:val="00851458"/>
    <w:rsid w:val="00855C5D"/>
    <w:rsid w:val="00861A47"/>
    <w:rsid w:val="008707FF"/>
    <w:rsid w:val="008724E5"/>
    <w:rsid w:val="008B7346"/>
    <w:rsid w:val="008C0685"/>
    <w:rsid w:val="008C5ECC"/>
    <w:rsid w:val="008D3BF7"/>
    <w:rsid w:val="008D6991"/>
    <w:rsid w:val="008E00EE"/>
    <w:rsid w:val="008F16C6"/>
    <w:rsid w:val="008F34A1"/>
    <w:rsid w:val="008F7F61"/>
    <w:rsid w:val="009121CE"/>
    <w:rsid w:val="009127D8"/>
    <w:rsid w:val="00921F65"/>
    <w:rsid w:val="00922F09"/>
    <w:rsid w:val="00937FFE"/>
    <w:rsid w:val="009452DF"/>
    <w:rsid w:val="00956D12"/>
    <w:rsid w:val="0097349C"/>
    <w:rsid w:val="00990136"/>
    <w:rsid w:val="0099529D"/>
    <w:rsid w:val="009A7928"/>
    <w:rsid w:val="009B4F53"/>
    <w:rsid w:val="009C1E63"/>
    <w:rsid w:val="009D4547"/>
    <w:rsid w:val="009D5E38"/>
    <w:rsid w:val="009E524C"/>
    <w:rsid w:val="009F004F"/>
    <w:rsid w:val="009F34A4"/>
    <w:rsid w:val="009F3988"/>
    <w:rsid w:val="00A00D55"/>
    <w:rsid w:val="00A150C7"/>
    <w:rsid w:val="00A519A2"/>
    <w:rsid w:val="00A70883"/>
    <w:rsid w:val="00A731B0"/>
    <w:rsid w:val="00A77AEB"/>
    <w:rsid w:val="00A86042"/>
    <w:rsid w:val="00AA2BF0"/>
    <w:rsid w:val="00AA31AD"/>
    <w:rsid w:val="00AA3B4A"/>
    <w:rsid w:val="00AA444A"/>
    <w:rsid w:val="00AB1528"/>
    <w:rsid w:val="00AD4D42"/>
    <w:rsid w:val="00AD56D8"/>
    <w:rsid w:val="00AE1A7D"/>
    <w:rsid w:val="00AE1AA6"/>
    <w:rsid w:val="00AE1B18"/>
    <w:rsid w:val="00AF1C32"/>
    <w:rsid w:val="00B02909"/>
    <w:rsid w:val="00B11AE3"/>
    <w:rsid w:val="00B37C67"/>
    <w:rsid w:val="00B42AF4"/>
    <w:rsid w:val="00B52922"/>
    <w:rsid w:val="00B6167A"/>
    <w:rsid w:val="00B8293B"/>
    <w:rsid w:val="00B85AF1"/>
    <w:rsid w:val="00B91534"/>
    <w:rsid w:val="00B94B01"/>
    <w:rsid w:val="00B973B5"/>
    <w:rsid w:val="00BA06B8"/>
    <w:rsid w:val="00BA4E95"/>
    <w:rsid w:val="00BB21CB"/>
    <w:rsid w:val="00BC23F3"/>
    <w:rsid w:val="00BD48B7"/>
    <w:rsid w:val="00BD59BD"/>
    <w:rsid w:val="00BD5B4D"/>
    <w:rsid w:val="00BF7FF0"/>
    <w:rsid w:val="00C0364B"/>
    <w:rsid w:val="00C17F59"/>
    <w:rsid w:val="00C231CB"/>
    <w:rsid w:val="00C26EE2"/>
    <w:rsid w:val="00C428C7"/>
    <w:rsid w:val="00C4434F"/>
    <w:rsid w:val="00C6478B"/>
    <w:rsid w:val="00C75533"/>
    <w:rsid w:val="00C761E5"/>
    <w:rsid w:val="00C81439"/>
    <w:rsid w:val="00C9118C"/>
    <w:rsid w:val="00C941BB"/>
    <w:rsid w:val="00CA078D"/>
    <w:rsid w:val="00CA6FEF"/>
    <w:rsid w:val="00CB0DCC"/>
    <w:rsid w:val="00CB0F37"/>
    <w:rsid w:val="00CB47DD"/>
    <w:rsid w:val="00CB500D"/>
    <w:rsid w:val="00CB644A"/>
    <w:rsid w:val="00CC1C3D"/>
    <w:rsid w:val="00CC2BC6"/>
    <w:rsid w:val="00CD5F15"/>
    <w:rsid w:val="00CE031D"/>
    <w:rsid w:val="00CE2586"/>
    <w:rsid w:val="00CF3EC6"/>
    <w:rsid w:val="00D01A30"/>
    <w:rsid w:val="00D0209C"/>
    <w:rsid w:val="00D156D1"/>
    <w:rsid w:val="00D2488F"/>
    <w:rsid w:val="00D2578E"/>
    <w:rsid w:val="00D33B28"/>
    <w:rsid w:val="00D404B7"/>
    <w:rsid w:val="00D4410C"/>
    <w:rsid w:val="00D671CA"/>
    <w:rsid w:val="00D748A4"/>
    <w:rsid w:val="00D809E5"/>
    <w:rsid w:val="00D81948"/>
    <w:rsid w:val="00D93C0F"/>
    <w:rsid w:val="00D9501F"/>
    <w:rsid w:val="00DA30CC"/>
    <w:rsid w:val="00DB47DE"/>
    <w:rsid w:val="00DB50D5"/>
    <w:rsid w:val="00DD323D"/>
    <w:rsid w:val="00DD427B"/>
    <w:rsid w:val="00DF3DA3"/>
    <w:rsid w:val="00E02F45"/>
    <w:rsid w:val="00E06A00"/>
    <w:rsid w:val="00E13A5A"/>
    <w:rsid w:val="00E22B99"/>
    <w:rsid w:val="00E24846"/>
    <w:rsid w:val="00E258D9"/>
    <w:rsid w:val="00E34A7A"/>
    <w:rsid w:val="00E37B70"/>
    <w:rsid w:val="00E439CA"/>
    <w:rsid w:val="00E50017"/>
    <w:rsid w:val="00E5219B"/>
    <w:rsid w:val="00E63429"/>
    <w:rsid w:val="00E824FB"/>
    <w:rsid w:val="00EA198F"/>
    <w:rsid w:val="00EA347B"/>
    <w:rsid w:val="00EE35EE"/>
    <w:rsid w:val="00EF0BCB"/>
    <w:rsid w:val="00EF0E74"/>
    <w:rsid w:val="00EF16FC"/>
    <w:rsid w:val="00F00E8A"/>
    <w:rsid w:val="00F05267"/>
    <w:rsid w:val="00F05D28"/>
    <w:rsid w:val="00F17AC5"/>
    <w:rsid w:val="00F33650"/>
    <w:rsid w:val="00F411DC"/>
    <w:rsid w:val="00F473CB"/>
    <w:rsid w:val="00F50245"/>
    <w:rsid w:val="00F51C70"/>
    <w:rsid w:val="00F560B1"/>
    <w:rsid w:val="00F63DDA"/>
    <w:rsid w:val="00F70858"/>
    <w:rsid w:val="00F7397F"/>
    <w:rsid w:val="00F75949"/>
    <w:rsid w:val="00F75CF4"/>
    <w:rsid w:val="00F75F55"/>
    <w:rsid w:val="00F8047E"/>
    <w:rsid w:val="00F91B03"/>
    <w:rsid w:val="00F941F0"/>
    <w:rsid w:val="00FB1B27"/>
    <w:rsid w:val="00FF0B98"/>
    <w:rsid w:val="00FF2B1D"/>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568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B99"/>
    <w:pPr>
      <w:spacing w:after="120"/>
    </w:pPr>
    <w:rPr>
      <w:rFonts w:ascii="Times New Roman" w:eastAsia="Times New Roman" w:hAnsi="Times New Roman"/>
      <w:sz w:val="22"/>
      <w:szCs w:val="24"/>
      <w:lang w:val="en-GB"/>
    </w:rPr>
  </w:style>
  <w:style w:type="paragraph" w:styleId="Titre2">
    <w:name w:val="heading 2"/>
    <w:basedOn w:val="Normal"/>
    <w:next w:val="Normal"/>
    <w:link w:val="Titre2Car"/>
    <w:uiPriority w:val="9"/>
    <w:qFormat/>
    <w:rsid w:val="00564DDB"/>
    <w:pPr>
      <w:keepNext/>
      <w:spacing w:before="240" w:after="60"/>
      <w:outlineLvl w:val="1"/>
    </w:pPr>
    <w:rPr>
      <w:rFonts w:ascii="Cambria" w:hAnsi="Cambria"/>
      <w:b/>
      <w:bCs/>
      <w:i/>
      <w:iCs/>
      <w:sz w:val="28"/>
      <w:szCs w:val="28"/>
    </w:rPr>
  </w:style>
  <w:style w:type="paragraph" w:styleId="Titre4">
    <w:name w:val="heading 4"/>
    <w:aliases w:val="GA Heading"/>
    <w:basedOn w:val="Normal"/>
    <w:next w:val="Normal"/>
    <w:link w:val="Titre4Car"/>
    <w:qFormat/>
    <w:rsid w:val="00F66657"/>
    <w:pPr>
      <w:keepNext/>
      <w:keepLines/>
      <w:tabs>
        <w:tab w:val="left" w:pos="567"/>
      </w:tabs>
      <w:snapToGrid w:val="0"/>
      <w:spacing w:after="240"/>
      <w:outlineLvl w:val="3"/>
    </w:pPr>
    <w:rPr>
      <w:rFonts w:ascii="Arial" w:hAnsi="Arial"/>
      <w:b/>
      <w:bCs/>
      <w:snapToGrid w:val="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spacing w:after="0"/>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spacing w:after="0"/>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pPr>
      <w:spacing w:after="0"/>
    </w:pPr>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GA Heading Car"/>
    <w:link w:val="Titre4"/>
    <w:rsid w:val="00F66657"/>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Titre2Car">
    <w:name w:val="Titre 2 Car"/>
    <w:link w:val="Titre2"/>
    <w:uiPriority w:val="9"/>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character" w:styleId="Marquedecommentaire">
    <w:name w:val="annotation reference"/>
    <w:uiPriority w:val="99"/>
    <w:rsid w:val="00B11AE3"/>
    <w:rPr>
      <w:sz w:val="16"/>
      <w:szCs w:val="16"/>
    </w:rPr>
  </w:style>
  <w:style w:type="paragraph" w:styleId="Commentaire">
    <w:name w:val="annotation text"/>
    <w:basedOn w:val="Normal"/>
    <w:link w:val="CommentaireCar"/>
    <w:uiPriority w:val="99"/>
    <w:rsid w:val="00B11AE3"/>
    <w:rPr>
      <w:sz w:val="20"/>
      <w:szCs w:val="20"/>
    </w:rPr>
  </w:style>
  <w:style w:type="character" w:customStyle="1" w:styleId="CommentaireCar">
    <w:name w:val="Commentaire Car"/>
    <w:link w:val="Commentaire"/>
    <w:uiPriority w:val="99"/>
    <w:rsid w:val="00B11AE3"/>
    <w:rPr>
      <w:rFonts w:ascii="Times New Roman" w:eastAsia="Times New Roman" w:hAnsi="Times New Roman"/>
      <w:lang w:val="en-GB"/>
    </w:rPr>
  </w:style>
  <w:style w:type="paragraph" w:styleId="Objetducommentaire">
    <w:name w:val="annotation subject"/>
    <w:basedOn w:val="Commentaire"/>
    <w:next w:val="Commentaire"/>
    <w:link w:val="ObjetducommentaireCar"/>
    <w:rsid w:val="00B11AE3"/>
    <w:rPr>
      <w:b/>
      <w:bCs/>
    </w:rPr>
  </w:style>
  <w:style w:type="character" w:customStyle="1" w:styleId="ObjetducommentaireCar">
    <w:name w:val="Objet du commentaire Car"/>
    <w:link w:val="Objetducommentaire"/>
    <w:rsid w:val="00B11AE3"/>
    <w:rPr>
      <w:rFonts w:ascii="Times New Roman" w:eastAsia="Times New Roman" w:hAnsi="Times New Roman"/>
      <w:b/>
      <w:bCs/>
      <w:lang w:val="en-GB"/>
    </w:rPr>
  </w:style>
  <w:style w:type="paragraph" w:customStyle="1" w:styleId="1GAPara">
    <w:name w:val="1. GA Para"/>
    <w:qFormat/>
    <w:rsid w:val="00E22B99"/>
    <w:pPr>
      <w:spacing w:after="120"/>
    </w:pPr>
    <w:rPr>
      <w:rFonts w:ascii="Arial" w:eastAsia="Times New Roman" w:hAnsi="Arial" w:cs="Arial"/>
      <w:snapToGrid w:val="0"/>
      <w:sz w:val="22"/>
      <w:szCs w:val="22"/>
      <w:lang w:val="en-GB" w:eastAsia="en-US"/>
    </w:rPr>
  </w:style>
  <w:style w:type="paragraph" w:customStyle="1" w:styleId="Sansinterligne2">
    <w:name w:val="Sans interligne2"/>
    <w:uiPriority w:val="1"/>
    <w:rsid w:val="00CB500D"/>
    <w:rPr>
      <w:rFonts w:ascii="Times New Roman" w:eastAsia="Times New Roman" w:hAnsi="Times New Roman"/>
      <w:sz w:val="24"/>
      <w:szCs w:val="24"/>
    </w:rPr>
  </w:style>
  <w:style w:type="table" w:customStyle="1" w:styleId="TableGrid1">
    <w:name w:val="Table Grid1"/>
    <w:basedOn w:val="TableauNormal"/>
    <w:next w:val="Grilledutableau"/>
    <w:uiPriority w:val="59"/>
    <w:rsid w:val="00A00D55"/>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ara">
    <w:name w:val="COM Para"/>
    <w:qFormat/>
    <w:rsid w:val="005908B4"/>
    <w:pPr>
      <w:spacing w:after="120"/>
      <w:ind w:left="567" w:hanging="567"/>
    </w:pPr>
    <w:rPr>
      <w:rFonts w:ascii="Arial" w:eastAsia="Times New Roman" w:hAnsi="Arial" w:cs="Arial"/>
      <w:snapToGrid w:val="0"/>
      <w:sz w:val="22"/>
      <w:szCs w:val="22"/>
      <w:lang w:val="en-GB" w:eastAsia="en-US"/>
    </w:rPr>
  </w:style>
  <w:style w:type="character" w:styleId="Lienhypertexte">
    <w:name w:val="Hyperlink"/>
    <w:unhideWhenUsed/>
    <w:rsid w:val="005908B4"/>
    <w:rPr>
      <w:color w:val="0000FF"/>
      <w:u w:val="single"/>
    </w:rPr>
  </w:style>
  <w:style w:type="paragraph" w:styleId="Notedebasdepage">
    <w:name w:val="footnote text"/>
    <w:basedOn w:val="Normal"/>
    <w:link w:val="NotedebasdepageCar"/>
    <w:uiPriority w:val="99"/>
    <w:semiHidden/>
    <w:unhideWhenUsed/>
    <w:rsid w:val="005908B4"/>
    <w:pPr>
      <w:spacing w:after="0"/>
    </w:pPr>
    <w:rPr>
      <w:sz w:val="20"/>
      <w:szCs w:val="20"/>
      <w:lang w:val="fr-FR"/>
    </w:rPr>
  </w:style>
  <w:style w:type="character" w:customStyle="1" w:styleId="NotedebasdepageCar">
    <w:name w:val="Note de bas de page Car"/>
    <w:basedOn w:val="Policepardfaut"/>
    <w:link w:val="Notedebasdepage"/>
    <w:uiPriority w:val="99"/>
    <w:semiHidden/>
    <w:rsid w:val="005908B4"/>
    <w:rPr>
      <w:rFonts w:ascii="Times New Roman" w:eastAsia="Times New Roman" w:hAnsi="Times New Roman"/>
    </w:rPr>
  </w:style>
  <w:style w:type="character" w:styleId="Appelnotedebasdep">
    <w:name w:val="footnote reference"/>
    <w:basedOn w:val="Policepardfaut"/>
    <w:uiPriority w:val="99"/>
    <w:semiHidden/>
    <w:unhideWhenUsed/>
    <w:rsid w:val="005908B4"/>
    <w:rPr>
      <w:vertAlign w:val="superscript"/>
    </w:rPr>
  </w:style>
  <w:style w:type="paragraph" w:customStyle="1" w:styleId="GAPara">
    <w:name w:val="GA Para"/>
    <w:qFormat/>
    <w:rsid w:val="005908B4"/>
    <w:pPr>
      <w:spacing w:after="120"/>
      <w:ind w:left="1287" w:hanging="360"/>
    </w:pPr>
    <w:rPr>
      <w:rFonts w:ascii="Arial" w:eastAsia="Times New Roman" w:hAnsi="Arial" w:cs="Arial"/>
      <w:snapToGrid w:val="0"/>
      <w:sz w:val="22"/>
      <w:szCs w:val="22"/>
      <w:lang w:val="en-GB" w:eastAsia="en-US"/>
    </w:rPr>
  </w:style>
  <w:style w:type="paragraph" w:styleId="Paragraphedeliste">
    <w:name w:val="List Paragraph"/>
    <w:basedOn w:val="Normal"/>
    <w:uiPriority w:val="34"/>
    <w:qFormat/>
    <w:rsid w:val="005908B4"/>
    <w:pPr>
      <w:ind w:left="720"/>
      <w:contextualSpacing/>
    </w:pPr>
  </w:style>
  <w:style w:type="paragraph" w:customStyle="1" w:styleId="ABSTRACTS">
    <w:name w:val="ABSTRACTS"/>
    <w:qFormat/>
    <w:rsid w:val="00190171"/>
    <w:pPr>
      <w:spacing w:after="120"/>
      <w:ind w:left="1143"/>
      <w:jc w:val="both"/>
    </w:pPr>
    <w:rPr>
      <w:rFonts w:ascii="Arial" w:eastAsia="Times New Roman" w:hAnsi="Arial" w:cs="Arial"/>
      <w:snapToGrid w:val="0"/>
      <w:sz w:val="22"/>
      <w:szCs w:val="22"/>
      <w:lang w:eastAsia="en-US"/>
    </w:rPr>
  </w:style>
  <w:style w:type="paragraph" w:styleId="Sansinterligne">
    <w:name w:val="No Spacing"/>
    <w:uiPriority w:val="1"/>
    <w:qFormat/>
    <w:rsid w:val="00190171"/>
    <w:rPr>
      <w:rFonts w:ascii="Times New Roman" w:eastAsia="Times New Roman" w:hAnsi="Times New Roman"/>
      <w:sz w:val="24"/>
      <w:szCs w:val="24"/>
    </w:rPr>
  </w:style>
  <w:style w:type="paragraph" w:customStyle="1" w:styleId="Style1">
    <w:name w:val="Style1"/>
    <w:basedOn w:val="Normal"/>
    <w:link w:val="Style1Char"/>
    <w:qFormat/>
    <w:rsid w:val="00363C5F"/>
    <w:pPr>
      <w:tabs>
        <w:tab w:val="left" w:pos="1134"/>
        <w:tab w:val="left" w:pos="1701"/>
        <w:tab w:val="left" w:pos="2268"/>
      </w:tabs>
      <w:spacing w:before="120"/>
      <w:jc w:val="both"/>
    </w:pPr>
    <w:rPr>
      <w:rFonts w:ascii="Arial" w:hAnsi="Arial" w:cs="Arial"/>
      <w:szCs w:val="22"/>
      <w:lang w:val="fr-FR"/>
    </w:rPr>
  </w:style>
  <w:style w:type="character" w:customStyle="1" w:styleId="Style1Char">
    <w:name w:val="Style1 Char"/>
    <w:basedOn w:val="Policepardfaut"/>
    <w:link w:val="Style1"/>
    <w:rsid w:val="00363C5F"/>
    <w:rPr>
      <w:rFonts w:ascii="Arial" w:eastAsia="Times New Roman" w:hAnsi="Arial" w:cs="Arial"/>
      <w:sz w:val="22"/>
      <w:szCs w:val="22"/>
    </w:rPr>
  </w:style>
  <w:style w:type="paragraph" w:customStyle="1" w:styleId="COMParaDecision">
    <w:name w:val="COM Para Decision"/>
    <w:basedOn w:val="Normal"/>
    <w:qFormat/>
    <w:rsid w:val="003A12C9"/>
    <w:pPr>
      <w:autoSpaceDE w:val="0"/>
      <w:autoSpaceDN w:val="0"/>
      <w:adjustRightInd w:val="0"/>
      <w:jc w:val="both"/>
    </w:pPr>
    <w:rPr>
      <w:rFonts w:ascii="Arial" w:eastAsia="SimSun" w:hAnsi="Arial" w:cs="Arial"/>
      <w:szCs w:val="22"/>
      <w:u w:val="single"/>
    </w:rPr>
  </w:style>
  <w:style w:type="character" w:customStyle="1" w:styleId="MargeChar">
    <w:name w:val="Marge Char"/>
    <w:link w:val="Marge"/>
    <w:rsid w:val="003A12C9"/>
    <w:rPr>
      <w:rFonts w:ascii="Arial" w:eastAsia="Times New Roman" w:hAnsi="Arial"/>
      <w:snapToGrid w:val="0"/>
      <w:sz w:val="22"/>
      <w:szCs w:val="24"/>
      <w:lang w:val="en-GB" w:eastAsia="en-US"/>
    </w:rPr>
  </w:style>
  <w:style w:type="character" w:styleId="Lienhypertextesuivivisit">
    <w:name w:val="FollowedHyperlink"/>
    <w:basedOn w:val="Policepardfaut"/>
    <w:semiHidden/>
    <w:unhideWhenUsed/>
    <w:rsid w:val="005B6F23"/>
    <w:rPr>
      <w:color w:val="800080" w:themeColor="followedHyperlink"/>
      <w:u w:val="single"/>
    </w:rPr>
  </w:style>
  <w:style w:type="character" w:styleId="Mentionnonrsolue">
    <w:name w:val="Unresolved Mention"/>
    <w:basedOn w:val="Policepardfaut"/>
    <w:uiPriority w:val="99"/>
    <w:semiHidden/>
    <w:unhideWhenUsed/>
    <w:rsid w:val="00E24846"/>
    <w:rPr>
      <w:color w:val="605E5C"/>
      <w:shd w:val="clear" w:color="auto" w:fill="E1DFDD"/>
    </w:rPr>
  </w:style>
  <w:style w:type="paragraph" w:styleId="Rvision">
    <w:name w:val="Revision"/>
    <w:hidden/>
    <w:semiHidden/>
    <w:rsid w:val="00517382"/>
    <w:rPr>
      <w:rFonts w:ascii="Times New Roman" w:eastAsia="Times New Roman" w:hAnsi="Times New Roman"/>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456838">
      <w:bodyDiv w:val="1"/>
      <w:marLeft w:val="0"/>
      <w:marRight w:val="0"/>
      <w:marTop w:val="0"/>
      <w:marBottom w:val="0"/>
      <w:divBdr>
        <w:top w:val="none" w:sz="0" w:space="0" w:color="auto"/>
        <w:left w:val="none" w:sz="0" w:space="0" w:color="auto"/>
        <w:bottom w:val="none" w:sz="0" w:space="0" w:color="auto"/>
        <w:right w:val="none" w:sz="0" w:space="0" w:color="auto"/>
      </w:divBdr>
    </w:div>
    <w:div w:id="1160468311">
      <w:bodyDiv w:val="1"/>
      <w:marLeft w:val="0"/>
      <w:marRight w:val="0"/>
      <w:marTop w:val="0"/>
      <w:marBottom w:val="0"/>
      <w:divBdr>
        <w:top w:val="none" w:sz="0" w:space="0" w:color="auto"/>
        <w:left w:val="none" w:sz="0" w:space="0" w:color="auto"/>
        <w:bottom w:val="none" w:sz="0" w:space="0" w:color="auto"/>
        <w:right w:val="none" w:sz="0" w:space="0" w:color="auto"/>
      </w:divBdr>
    </w:div>
    <w:div w:id="1441224009">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LHE-22-17.COM_3.BUR-3-EN.docx" TargetMode="External"/><Relationship Id="rId13" Type="http://schemas.openxmlformats.org/officeDocument/2006/relationships/hyperlink" Target="https://ich.unesco.org/en/decisions-bureau/17.COM%204.BUR/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ich.unesco.org/en/operational-principles-and-modalities-in-emergencies-0114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LHE-22-17.COM_4.BUR-5-EN.docx" TargetMode="External"/><Relationship Id="rId5" Type="http://schemas.openxmlformats.org/officeDocument/2006/relationships/webSettings" Target="webSettings.xml"/><Relationship Id="rId15" Type="http://schemas.openxmlformats.org/officeDocument/2006/relationships/hyperlink" Target="https://ich.unesco.org/doc/src/LHE-22-17.COM_3.BUR-Decisions-EN.docx" TargetMode="External"/><Relationship Id="rId23" Type="http://schemas.openxmlformats.org/officeDocument/2006/relationships/theme" Target="theme/theme1.xml"/><Relationship Id="rId10" Type="http://schemas.openxmlformats.org/officeDocument/2006/relationships/hyperlink" Target="https://ich.unesco.org/en/ukraine-request-01263"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ch.unesco.org/doc/src/LHE-22-17.COM_3.BUR-Decisions-EN.docx" TargetMode="External"/><Relationship Id="rId14" Type="http://schemas.openxmlformats.org/officeDocument/2006/relationships/hyperlink" Target="https://ich.unesco.org/doc/src/LHE-22-17.COM_3.BUR-Decisions-EN.docx"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24AB9-B113-4AA1-A5C3-19BF1C624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2011</Words>
  <Characters>11467</Characters>
  <Application>Microsoft Office Word</Application>
  <DocSecurity>0</DocSecurity>
  <Lines>95</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2022-06-28T12:41:00Z</dcterms:created>
  <dcterms:modified xsi:type="dcterms:W3CDTF">2022-06-28T15:43:00Z</dcterms:modified>
</cp:coreProperties>
</file>