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4945904F" w:rsidR="00BC3420" w:rsidRPr="00B43974" w:rsidRDefault="007A000F" w:rsidP="00F4581D">
      <w:pPr>
        <w:spacing w:before="840"/>
        <w:jc w:val="center"/>
        <w:rPr>
          <w:rFonts w:ascii="Arial" w:hAnsi="Arial" w:cs="Arial"/>
          <w:b/>
          <w:sz w:val="22"/>
          <w:szCs w:val="22"/>
        </w:rPr>
      </w:pPr>
      <w:r>
        <w:rPr>
          <w:rFonts w:ascii="Arial" w:hAnsi="Arial" w:cs="Arial"/>
          <w:b/>
          <w:sz w:val="22"/>
          <w:szCs w:val="22"/>
        </w:rPr>
        <w:t>Dix-</w:t>
      </w:r>
      <w:r w:rsidR="008F5A4F">
        <w:rPr>
          <w:rFonts w:ascii="Arial" w:hAnsi="Arial" w:cs="Arial"/>
          <w:b/>
          <w:sz w:val="22"/>
          <w:szCs w:val="22"/>
        </w:rPr>
        <w:t>hui</w:t>
      </w:r>
      <w:r>
        <w:rPr>
          <w:rFonts w:ascii="Arial" w:hAnsi="Arial" w:cs="Arial"/>
          <w:b/>
          <w:sz w:val="22"/>
          <w:szCs w:val="22"/>
        </w:rPr>
        <w:t>tième</w:t>
      </w:r>
      <w:r w:rsidR="00F4581D" w:rsidRPr="00F4581D">
        <w:rPr>
          <w:rFonts w:ascii="Arial" w:hAnsi="Arial" w:cs="Arial"/>
          <w:b/>
          <w:sz w:val="22"/>
          <w:szCs w:val="22"/>
        </w:rPr>
        <w:t xml:space="preserve"> </w:t>
      </w:r>
      <w:r w:rsidR="00BC3420" w:rsidRPr="00B43974">
        <w:rPr>
          <w:rFonts w:ascii="Arial" w:hAnsi="Arial" w:cs="Arial"/>
          <w:b/>
          <w:sz w:val="22"/>
          <w:szCs w:val="22"/>
        </w:rPr>
        <w:t>session</w:t>
      </w:r>
    </w:p>
    <w:p w14:paraId="7309CEF6" w14:textId="1CC0FD6F" w:rsidR="00F4581D" w:rsidRPr="00F4581D" w:rsidRDefault="00F62542" w:rsidP="00F4581D">
      <w:pPr>
        <w:jc w:val="center"/>
        <w:rPr>
          <w:rFonts w:ascii="Arial" w:hAnsi="Arial"/>
          <w:b/>
          <w:sz w:val="22"/>
        </w:rPr>
      </w:pPr>
      <w:r>
        <w:rPr>
          <w:rFonts w:ascii="Arial" w:hAnsi="Arial"/>
          <w:b/>
          <w:sz w:val="22"/>
        </w:rPr>
        <w:t>Kasane</w:t>
      </w:r>
      <w:r w:rsidR="004417A7">
        <w:rPr>
          <w:rFonts w:ascii="Arial" w:hAnsi="Arial"/>
          <w:b/>
          <w:sz w:val="22"/>
        </w:rPr>
        <w:t xml:space="preserve">, </w:t>
      </w:r>
      <w:r w:rsidR="008F5A4F">
        <w:rPr>
          <w:rFonts w:ascii="Arial" w:hAnsi="Arial"/>
          <w:b/>
          <w:sz w:val="22"/>
        </w:rPr>
        <w:t>République du Botswana</w:t>
      </w:r>
    </w:p>
    <w:p w14:paraId="552550E8" w14:textId="667F52B4" w:rsidR="00EF74E3" w:rsidRPr="00F4581D" w:rsidRDefault="008F5A4F" w:rsidP="00F4581D">
      <w:pPr>
        <w:jc w:val="center"/>
        <w:rPr>
          <w:rFonts w:ascii="Arial" w:hAnsi="Arial"/>
          <w:b/>
          <w:sz w:val="22"/>
        </w:rPr>
      </w:pPr>
      <w:r>
        <w:rPr>
          <w:rFonts w:ascii="Arial" w:hAnsi="Arial"/>
          <w:b/>
          <w:sz w:val="22"/>
        </w:rPr>
        <w:t>4</w:t>
      </w:r>
      <w:r w:rsidR="00171986">
        <w:rPr>
          <w:rFonts w:ascii="Arial" w:hAnsi="Arial"/>
          <w:b/>
          <w:sz w:val="22"/>
        </w:rPr>
        <w:t xml:space="preserve"> </w:t>
      </w:r>
      <w:r w:rsidR="007A000F">
        <w:rPr>
          <w:rFonts w:ascii="Arial" w:hAnsi="Arial"/>
          <w:b/>
          <w:sz w:val="22"/>
        </w:rPr>
        <w:t>–</w:t>
      </w:r>
      <w:r w:rsidR="00F4581D" w:rsidRPr="00F4581D">
        <w:rPr>
          <w:rFonts w:ascii="Arial" w:hAnsi="Arial"/>
          <w:b/>
          <w:sz w:val="22"/>
        </w:rPr>
        <w:t xml:space="preserve"> </w:t>
      </w:r>
      <w:r>
        <w:rPr>
          <w:rFonts w:ascii="Arial" w:hAnsi="Arial"/>
          <w:b/>
          <w:sz w:val="22"/>
        </w:rPr>
        <w:t>9</w:t>
      </w:r>
      <w:r w:rsidR="007A000F">
        <w:rPr>
          <w:rFonts w:ascii="Arial" w:hAnsi="Arial"/>
          <w:b/>
          <w:sz w:val="22"/>
        </w:rPr>
        <w:t xml:space="preserve"> </w:t>
      </w:r>
      <w:r w:rsidR="00F4581D" w:rsidRPr="00F4581D">
        <w:rPr>
          <w:rFonts w:ascii="Arial" w:hAnsi="Arial"/>
          <w:b/>
          <w:sz w:val="22"/>
        </w:rPr>
        <w:t>décembre 202</w:t>
      </w:r>
      <w:r>
        <w:rPr>
          <w:rFonts w:ascii="Arial" w:hAnsi="Arial"/>
          <w:b/>
          <w:sz w:val="22"/>
        </w:rPr>
        <w:t>3</w:t>
      </w:r>
    </w:p>
    <w:p w14:paraId="72EF57E2" w14:textId="74C921C7"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EF2713">
        <w:rPr>
          <w:rFonts w:ascii="Arial" w:hAnsi="Arial" w:cs="Arial"/>
          <w:b/>
          <w:sz w:val="22"/>
          <w:szCs w:val="22"/>
          <w:u w:val="single"/>
        </w:rPr>
        <w:t>13</w:t>
      </w:r>
      <w:r w:rsidRPr="00B43974">
        <w:rPr>
          <w:rFonts w:ascii="Arial" w:hAnsi="Arial" w:cs="Arial"/>
          <w:b/>
          <w:sz w:val="22"/>
          <w:szCs w:val="22"/>
          <w:u w:val="single"/>
        </w:rPr>
        <w:t xml:space="preserve"> de l’ordre du jour provisoire</w:t>
      </w:r>
      <w:r w:rsidRPr="008F09EC">
        <w:rPr>
          <w:rFonts w:ascii="Arial" w:hAnsi="Arial" w:cs="Arial"/>
          <w:b/>
          <w:sz w:val="22"/>
          <w:szCs w:val="22"/>
        </w:rPr>
        <w:t> </w:t>
      </w:r>
      <w:r w:rsidRPr="00B43974">
        <w:rPr>
          <w:rFonts w:ascii="Arial" w:hAnsi="Arial" w:cs="Arial"/>
          <w:b/>
          <w:sz w:val="22"/>
          <w:szCs w:val="22"/>
        </w:rPr>
        <w:t>:</w:t>
      </w:r>
    </w:p>
    <w:p w14:paraId="57902B5D" w14:textId="77777777" w:rsidR="00EF2713" w:rsidRPr="00D520E9" w:rsidRDefault="00EF2713" w:rsidP="00105D3F">
      <w:pPr>
        <w:pStyle w:val="Sansinterligne"/>
        <w:spacing w:after="960"/>
        <w:jc w:val="center"/>
        <w:rPr>
          <w:rFonts w:ascii="Arial" w:hAnsi="Arial" w:cs="Arial"/>
          <w:b/>
          <w:sz w:val="22"/>
          <w:szCs w:val="22"/>
        </w:rPr>
      </w:pPr>
      <w:r w:rsidRPr="00D520E9">
        <w:rPr>
          <w:rFonts w:ascii="Arial" w:hAnsi="Arial" w:cs="Arial"/>
          <w:b/>
          <w:sz w:val="22"/>
          <w:szCs w:val="22"/>
        </w:rPr>
        <w:t xml:space="preserve">Fonds du patrimoine culturel immatériel : </w:t>
      </w:r>
      <w:r w:rsidRPr="00D520E9">
        <w:rPr>
          <w:rFonts w:ascii="Arial" w:hAnsi="Arial" w:cs="Arial"/>
          <w:b/>
          <w:sz w:val="22"/>
          <w:szCs w:val="22"/>
        </w:rPr>
        <w:br/>
        <w:t>contributions volontaires supplémentaires et autres questions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EF2713">
        <w:trPr>
          <w:jc w:val="center"/>
        </w:trPr>
        <w:tc>
          <w:tcPr>
            <w:tcW w:w="5670" w:type="dxa"/>
            <w:vAlign w:val="center"/>
          </w:tcPr>
          <w:p w14:paraId="47EC31AB" w14:textId="77777777" w:rsidR="008F09EC" w:rsidRPr="00B43974" w:rsidRDefault="008F09EC" w:rsidP="00FF2F30">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14:paraId="295BF39C" w14:textId="0796CD08" w:rsidR="00EF2713" w:rsidRPr="00D520E9" w:rsidRDefault="00EF2713" w:rsidP="00EF2713">
            <w:pPr>
              <w:pStyle w:val="Sansinterligne1"/>
              <w:jc w:val="both"/>
              <w:rPr>
                <w:rFonts w:ascii="Arial" w:hAnsi="Arial" w:cs="Arial"/>
                <w:b/>
                <w:sz w:val="22"/>
              </w:rPr>
            </w:pPr>
            <w:r w:rsidRPr="00D520E9">
              <w:rPr>
                <w:rFonts w:ascii="Arial" w:hAnsi="Arial"/>
                <w:sz w:val="22"/>
              </w:rPr>
              <w:t>Conformément à l’article 25.5 de la Convention, le Comité peut accepter des contributions au Fonds du patrimoine culturel immatériel à des fins spécifiques se rapportant à des projets déterminés, pourvu que ces projets soient approuvés par le Comité. Le présent document rend compte de ces contributions et d’autres types de contributions volontaires</w:t>
            </w:r>
            <w:r w:rsidR="00901502">
              <w:rPr>
                <w:rFonts w:ascii="Arial" w:hAnsi="Arial"/>
                <w:sz w:val="22"/>
              </w:rPr>
              <w:t xml:space="preserve"> reçues </w:t>
            </w:r>
            <w:r w:rsidR="00BB009B">
              <w:rPr>
                <w:rFonts w:ascii="Arial" w:hAnsi="Arial"/>
                <w:sz w:val="22"/>
              </w:rPr>
              <w:t>pour la période allant du 1er janvier au 30 juin 2023.</w:t>
            </w:r>
          </w:p>
          <w:p w14:paraId="17E62457" w14:textId="3EB04461"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D96003">
              <w:rPr>
                <w:rFonts w:ascii="Arial" w:hAnsi="Arial" w:cs="Arial"/>
                <w:bCs/>
                <w:sz w:val="22"/>
                <w:szCs w:val="22"/>
              </w:rPr>
              <w:t>19</w:t>
            </w:r>
          </w:p>
        </w:tc>
      </w:tr>
    </w:tbl>
    <w:p w14:paraId="5072A522" w14:textId="77777777" w:rsidR="009B5302" w:rsidRDefault="00BC3420" w:rsidP="007E60C6">
      <w:pPr>
        <w:pStyle w:val="COMTitleDecision"/>
        <w:spacing w:before="360" w:after="240"/>
        <w:ind w:left="0"/>
      </w:pPr>
      <w:r w:rsidRPr="00022428">
        <w:br w:type="page"/>
      </w:r>
    </w:p>
    <w:p w14:paraId="28AFE9B8" w14:textId="77777777" w:rsidR="00EF2713" w:rsidRPr="00D520E9" w:rsidRDefault="00EF2713" w:rsidP="00EF2713">
      <w:pPr>
        <w:pStyle w:val="COMParabodytext"/>
        <w:numPr>
          <w:ilvl w:val="0"/>
          <w:numId w:val="9"/>
        </w:numPr>
        <w:ind w:left="567" w:hanging="567"/>
        <w:rPr>
          <w:lang w:val="fr-FR"/>
        </w:rPr>
      </w:pPr>
      <w:r w:rsidRPr="00D520E9">
        <w:rPr>
          <w:lang w:val="fr-FR"/>
        </w:rPr>
        <w:lastRenderedPageBreak/>
        <w:t>Le chapitre VI de la Convention concernant le Fonds pour la sauvegarde du patrimoine culturel immatériel (ci-après dénommé « le Fonds ») stipule que les États parties peuvent souhaiter verser des contributions volontaires supplémentaires (article 27) en sus de leurs contributions obligatoires (article 26). Conformément à l’article 25.5, ces contributions peuvent se rapporter à des projets déterminés « pourvu que ces projets soient approuvés par le Comité ».</w:t>
      </w:r>
    </w:p>
    <w:p w14:paraId="7FA5F49B" w14:textId="25E10CDA" w:rsidR="00EF2713" w:rsidRPr="00D520E9" w:rsidRDefault="00EF2713" w:rsidP="00EF2713">
      <w:pPr>
        <w:pStyle w:val="COMParabodytext"/>
        <w:numPr>
          <w:ilvl w:val="0"/>
          <w:numId w:val="9"/>
        </w:numPr>
        <w:ind w:left="567" w:hanging="567"/>
        <w:rPr>
          <w:lang w:val="fr-FR"/>
        </w:rPr>
      </w:pPr>
      <w:r w:rsidRPr="00D520E9">
        <w:rPr>
          <w:lang w:val="fr-FR"/>
        </w:rPr>
        <w:t>Les contributions volontaires supplémentaires sont principalement destinées à soutenir les priorités de financement approuvées par le Comité. Lors de sa seizième session en 2021, le Comité a approuvé deux de ces priorités de financement pour la période 2022 – 2025, à savoir : (1) « Renforcement des capacités de sauvegarde du patrimoine culturel immatériel par le biais d’approches multimodales et de contribution au développement durable » et (2) « Sauvegarde du patrimoine culturel immatériel dans l’éducation formelle et non formelle » (</w:t>
      </w:r>
      <w:r w:rsidR="00961589">
        <w:rPr>
          <w:lang w:val="fr-FR"/>
        </w:rPr>
        <w:t>D</w:t>
      </w:r>
      <w:r w:rsidRPr="00D520E9">
        <w:rPr>
          <w:lang w:val="fr-FR"/>
        </w:rPr>
        <w:t>écision </w:t>
      </w:r>
      <w:hyperlink r:id="rId8" w:history="1">
        <w:r w:rsidRPr="00D520E9">
          <w:rPr>
            <w:rStyle w:val="Lienhypertexte"/>
            <w:lang w:val="fr-FR"/>
          </w:rPr>
          <w:t>16.COM 12</w:t>
        </w:r>
      </w:hyperlink>
      <w:r w:rsidRPr="00D520E9">
        <w:rPr>
          <w:lang w:val="fr-FR"/>
        </w:rPr>
        <w:t xml:space="preserve">). Les objectifs de mobilisation de ressources fixés pour ces deux priorités de financement sont respectivement de 5 millions de dollars des États-Unis et de 3,5 millions de dollars des États-Unis pour la période 2022 – 2025 (voir annexe II du document </w:t>
      </w:r>
      <w:hyperlink r:id="rId9" w:history="1">
        <w:r w:rsidRPr="00D520E9">
          <w:rPr>
            <w:rStyle w:val="Lienhypertexte"/>
            <w:lang w:val="fr-FR"/>
          </w:rPr>
          <w:t>LHE/21/16.COM/12</w:t>
        </w:r>
      </w:hyperlink>
      <w:r w:rsidRPr="00D520E9">
        <w:rPr>
          <w:lang w:val="fr-FR"/>
        </w:rPr>
        <w:t>).</w:t>
      </w:r>
    </w:p>
    <w:p w14:paraId="47768F04" w14:textId="234063DB" w:rsidR="003F5FEB" w:rsidRPr="003F5FEB" w:rsidRDefault="003F5FEB" w:rsidP="00EF2713">
      <w:pPr>
        <w:pStyle w:val="COMParabodytext"/>
        <w:numPr>
          <w:ilvl w:val="0"/>
          <w:numId w:val="9"/>
        </w:numPr>
        <w:ind w:left="567" w:hanging="567"/>
        <w:rPr>
          <w:bCs/>
          <w:lang w:val="fr-FR"/>
        </w:rPr>
      </w:pPr>
      <w:r w:rsidRPr="003F5FEB">
        <w:rPr>
          <w:bCs/>
          <w:lang w:val="fr-FR"/>
        </w:rPr>
        <w:t>Le présent document fournit, dans sa section A, un aperçu des contributions reçues pour la période allant du 1er janvier 2023 au 30 juin 2023 (</w:t>
      </w:r>
      <w:r w:rsidR="00961589">
        <w:rPr>
          <w:bCs/>
          <w:lang w:val="fr-FR"/>
        </w:rPr>
        <w:t>D</w:t>
      </w:r>
      <w:r w:rsidRPr="003F5FEB">
        <w:rPr>
          <w:bCs/>
          <w:lang w:val="fr-FR"/>
        </w:rPr>
        <w:t>écision</w:t>
      </w:r>
      <w:r>
        <w:rPr>
          <w:bCs/>
          <w:lang w:val="fr-FR"/>
        </w:rPr>
        <w:t xml:space="preserve"> </w:t>
      </w:r>
      <w:hyperlink r:id="rId10" w:history="1">
        <w:r w:rsidRPr="004E7493">
          <w:rPr>
            <w:rStyle w:val="Lienhypertexte"/>
            <w:lang w:val="fr-FR"/>
          </w:rPr>
          <w:t>17.COM 12</w:t>
        </w:r>
      </w:hyperlink>
      <w:r w:rsidRPr="003F5FEB">
        <w:rPr>
          <w:bCs/>
          <w:lang w:val="fr-FR"/>
        </w:rPr>
        <w:t>). Les contributions reçues entre le 1er juillet 2023 et la dix-huitième session du Comité seront présentées oralement, conformément à la pratique pour ce point, à la dix-huitième session ; elles seront également incluses dans l'état financier du Fonds du patrimoine culturel immatériel couvrant la période du 1er janvier 2022 au 31 décembre 2023, qui sera présenté à la dixième session de l'Assemblée générale en 2024. Par ailleurs, le Comité ayant noté qu'en plus des contributions volontaires, les États parties utilisent d'autres formes de soutien, financier ou en nature, que les contributions volontaires au Fonds (</w:t>
      </w:r>
      <w:r w:rsidR="00961589">
        <w:rPr>
          <w:bCs/>
          <w:lang w:val="fr-FR"/>
        </w:rPr>
        <w:t>D</w:t>
      </w:r>
      <w:r w:rsidRPr="003F5FEB">
        <w:rPr>
          <w:bCs/>
          <w:lang w:val="fr-FR"/>
        </w:rPr>
        <w:t xml:space="preserve">écision </w:t>
      </w:r>
      <w:hyperlink r:id="rId11" w:history="1">
        <w:r w:rsidRPr="00D520E9">
          <w:rPr>
            <w:rStyle w:val="Lienhypertexte"/>
            <w:lang w:val="fr-FR"/>
          </w:rPr>
          <w:t>7.COM 20.1</w:t>
        </w:r>
      </w:hyperlink>
      <w:r w:rsidRPr="003F5FEB">
        <w:rPr>
          <w:bCs/>
          <w:lang w:val="fr-FR"/>
        </w:rPr>
        <w:t>), la Section B rend compte de ces différentes formes de soutien financier reçues à l'appui de la Convention de 2003.</w:t>
      </w:r>
    </w:p>
    <w:p w14:paraId="60D19A40" w14:textId="4B349132" w:rsidR="008F5A4F" w:rsidRPr="00961589" w:rsidRDefault="00EF2713" w:rsidP="00850505">
      <w:pPr>
        <w:pStyle w:val="COMParabodytext"/>
        <w:numPr>
          <w:ilvl w:val="0"/>
          <w:numId w:val="19"/>
        </w:numPr>
        <w:tabs>
          <w:tab w:val="clear" w:pos="567"/>
          <w:tab w:val="left" w:pos="993"/>
        </w:tabs>
        <w:spacing w:before="240"/>
        <w:ind w:left="567" w:hanging="567"/>
        <w:jc w:val="left"/>
        <w:rPr>
          <w:lang w:val="fr-FR"/>
        </w:rPr>
      </w:pPr>
      <w:r w:rsidRPr="00961589">
        <w:rPr>
          <w:b/>
          <w:bCs/>
          <w:lang w:val="fr-FR"/>
        </w:rPr>
        <w:t xml:space="preserve">Contributions volontaires supplémentaires au Fonds </w:t>
      </w:r>
    </w:p>
    <w:p w14:paraId="20CB3012" w14:textId="6FB87E60" w:rsidR="003F5FEB" w:rsidRPr="00961589" w:rsidRDefault="003F5FEB" w:rsidP="003F5FEB">
      <w:pPr>
        <w:pStyle w:val="COMParabodytext"/>
        <w:numPr>
          <w:ilvl w:val="0"/>
          <w:numId w:val="9"/>
        </w:numPr>
        <w:ind w:left="567" w:hanging="567"/>
        <w:rPr>
          <w:lang w:val="fr-FR"/>
        </w:rPr>
      </w:pPr>
      <w:r w:rsidRPr="00961589">
        <w:rPr>
          <w:lang w:val="fr-FR"/>
        </w:rPr>
        <w:t>Au cours du premier semestre 2023, seules deux contributions volontaires supplémentaires</w:t>
      </w:r>
      <w:r w:rsidR="005D46EE" w:rsidRPr="00961589">
        <w:rPr>
          <w:rStyle w:val="Appelnotedebasdep"/>
          <w:lang w:val="fr-FR"/>
        </w:rPr>
        <w:footnoteReference w:id="1"/>
      </w:r>
      <w:r w:rsidRPr="00961589">
        <w:rPr>
          <w:lang w:val="fr-FR"/>
        </w:rPr>
        <w:t xml:space="preserve"> ont été reçues pour un montant total de 48 528,78 dollars </w:t>
      </w:r>
      <w:r w:rsidR="005D46EE" w:rsidRPr="00961589">
        <w:rPr>
          <w:lang w:val="fr-FR"/>
        </w:rPr>
        <w:t>des États-Unis</w:t>
      </w:r>
      <w:r w:rsidRPr="00961589">
        <w:rPr>
          <w:lang w:val="fr-FR"/>
        </w:rPr>
        <w:t xml:space="preserve">, comme décrit ci-dessous (voir paragraphes 5 et 8). L'exercice biennal en cours (41C/5) est marqué par une forte baisse des contributions volontaires supplémentaires : celles-ci s'élèvent à 330 248,61 </w:t>
      </w:r>
      <w:r w:rsidR="007F67E2" w:rsidRPr="00961589">
        <w:rPr>
          <w:lang w:val="fr-FR"/>
        </w:rPr>
        <w:t>dollars des États-Unis</w:t>
      </w:r>
      <w:r w:rsidRPr="00961589">
        <w:rPr>
          <w:lang w:val="fr-FR"/>
        </w:rPr>
        <w:t xml:space="preserve"> pour la période de dix-huit mois allant du 1er janvier 2022 au 30 juin 2023, alors qu'elles totalisaient 757 267,76 </w:t>
      </w:r>
      <w:r w:rsidR="007F67E2" w:rsidRPr="00961589">
        <w:rPr>
          <w:lang w:val="fr-FR"/>
        </w:rPr>
        <w:t>dollars des États-Unis</w:t>
      </w:r>
      <w:r w:rsidRPr="00961589">
        <w:rPr>
          <w:lang w:val="fr-FR"/>
        </w:rPr>
        <w:t xml:space="preserve"> pour la même période au cours de l'exercice biennal précédent 2020-2021.</w:t>
      </w:r>
    </w:p>
    <w:p w14:paraId="6D4CB2F9" w14:textId="451C7D61" w:rsidR="00DC6139" w:rsidRPr="00961589" w:rsidRDefault="00DC6139" w:rsidP="003F5FEB">
      <w:pPr>
        <w:pStyle w:val="COMParabodytext"/>
        <w:ind w:left="567"/>
        <w:rPr>
          <w:b/>
          <w:bCs/>
          <w:lang w:val="fr-FR"/>
        </w:rPr>
      </w:pPr>
      <w:r w:rsidRPr="00961589">
        <w:rPr>
          <w:b/>
          <w:bCs/>
          <w:lang w:val="fr-FR"/>
        </w:rPr>
        <w:t>Priorité 1 de financement : Le programme de renforcement des capacités</w:t>
      </w:r>
    </w:p>
    <w:p w14:paraId="37F24F30" w14:textId="033B8538" w:rsidR="006C04DD" w:rsidRPr="00961589" w:rsidRDefault="007F67E2" w:rsidP="00961589">
      <w:pPr>
        <w:pStyle w:val="COMParabodytext"/>
        <w:numPr>
          <w:ilvl w:val="0"/>
          <w:numId w:val="25"/>
        </w:numPr>
        <w:tabs>
          <w:tab w:val="clear" w:pos="567"/>
        </w:tabs>
        <w:ind w:left="567" w:hanging="567"/>
        <w:rPr>
          <w:lang w:val="fr-FR"/>
        </w:rPr>
      </w:pPr>
      <w:r w:rsidRPr="00961589">
        <w:rPr>
          <w:lang w:val="fr-FR"/>
        </w:rPr>
        <w:t>La priorité</w:t>
      </w:r>
      <w:r w:rsidR="006C04DD" w:rsidRPr="00961589">
        <w:rPr>
          <w:lang w:val="fr-FR"/>
        </w:rPr>
        <w:t xml:space="preserve"> 1 </w:t>
      </w:r>
      <w:r w:rsidR="004B121D" w:rsidRPr="00961589">
        <w:rPr>
          <w:lang w:val="fr-FR"/>
        </w:rPr>
        <w:t>« </w:t>
      </w:r>
      <w:r w:rsidR="006C04DD" w:rsidRPr="00961589">
        <w:rPr>
          <w:lang w:val="fr-FR"/>
        </w:rPr>
        <w:t>Renforce</w:t>
      </w:r>
      <w:r w:rsidR="004B121D" w:rsidRPr="00961589">
        <w:rPr>
          <w:lang w:val="fr-FR"/>
        </w:rPr>
        <w:t>ment</w:t>
      </w:r>
      <w:r w:rsidR="006C04DD" w:rsidRPr="00961589">
        <w:rPr>
          <w:lang w:val="fr-FR"/>
        </w:rPr>
        <w:t xml:space="preserve"> </w:t>
      </w:r>
      <w:r w:rsidR="004B121D" w:rsidRPr="00961589">
        <w:rPr>
          <w:lang w:val="fr-FR"/>
        </w:rPr>
        <w:t>d</w:t>
      </w:r>
      <w:r w:rsidR="006C04DD" w:rsidRPr="00961589">
        <w:rPr>
          <w:lang w:val="fr-FR"/>
        </w:rPr>
        <w:t xml:space="preserve">es capacités de sauvegarde du patrimoine culturel immatériel </w:t>
      </w:r>
      <w:r w:rsidR="004B121D" w:rsidRPr="00961589">
        <w:rPr>
          <w:lang w:val="fr-FR"/>
        </w:rPr>
        <w:t>par le biais d’</w:t>
      </w:r>
      <w:r w:rsidR="006C04DD" w:rsidRPr="00961589">
        <w:rPr>
          <w:lang w:val="fr-FR"/>
        </w:rPr>
        <w:t xml:space="preserve">approches multimodales et </w:t>
      </w:r>
      <w:r w:rsidR="004B121D" w:rsidRPr="00961589">
        <w:rPr>
          <w:lang w:val="fr-FR"/>
        </w:rPr>
        <w:t xml:space="preserve">de contribution </w:t>
      </w:r>
      <w:r w:rsidR="006C04DD" w:rsidRPr="00961589">
        <w:rPr>
          <w:lang w:val="fr-FR"/>
        </w:rPr>
        <w:t>au développement durable</w:t>
      </w:r>
      <w:r w:rsidR="004B121D" w:rsidRPr="00961589">
        <w:rPr>
          <w:lang w:val="fr-FR"/>
        </w:rPr>
        <w:t> »</w:t>
      </w:r>
      <w:r w:rsidR="006C04DD" w:rsidRPr="00961589">
        <w:rPr>
          <w:lang w:val="fr-FR"/>
        </w:rPr>
        <w:t xml:space="preserve"> vise à poursuivre les efforts pour étendre la portée et l'efficacité du programme mondial de renforcement des capacités, qui a été mis en place en 2009 et a fourni un soutien aux États et aux communautés dans plus de 140 pays depuis lors. Au cours de la période considérée, une seule contribution a été versée au Fonds, par l'ICHCAP (Centre international d'information et de mise en réseau </w:t>
      </w:r>
      <w:r w:rsidR="009C79E1" w:rsidRPr="00961589">
        <w:rPr>
          <w:lang w:val="fr-FR"/>
        </w:rPr>
        <w:t xml:space="preserve">sur </w:t>
      </w:r>
      <w:r w:rsidR="006C04DD" w:rsidRPr="00961589">
        <w:rPr>
          <w:lang w:val="fr-FR"/>
        </w:rPr>
        <w:t xml:space="preserve">le patrimoine culturel immatériel dans la région Asie-Pacifique), en tant que contribution de suivi d'une contribution initiale versée en 2022 pour soutenir l'élaboration d'un "Manuel pratique sur les rapports périodiques avec un outil d'auto-apprentissage sur le Cadre global de résultats pour la mise en œuvre de la Convention pour la sauvegarde du patrimoine culturel immatériel" (40 000 </w:t>
      </w:r>
      <w:r w:rsidR="00004A3E" w:rsidRPr="00961589">
        <w:rPr>
          <w:lang w:val="fr-FR"/>
        </w:rPr>
        <w:t xml:space="preserve">dollars des </w:t>
      </w:r>
      <w:r w:rsidRPr="00961589">
        <w:rPr>
          <w:lang w:val="fr-FR"/>
        </w:rPr>
        <w:t>É</w:t>
      </w:r>
      <w:r w:rsidR="00004A3E" w:rsidRPr="00961589">
        <w:rPr>
          <w:lang w:val="fr-FR"/>
        </w:rPr>
        <w:t>tats</w:t>
      </w:r>
      <w:r w:rsidRPr="00961589">
        <w:rPr>
          <w:lang w:val="fr-FR"/>
        </w:rPr>
        <w:t>-</w:t>
      </w:r>
      <w:r w:rsidR="00004A3E" w:rsidRPr="00961589">
        <w:rPr>
          <w:lang w:val="fr-FR"/>
        </w:rPr>
        <w:t>Unis</w:t>
      </w:r>
      <w:r w:rsidR="006C04DD" w:rsidRPr="00961589">
        <w:rPr>
          <w:lang w:val="fr-FR"/>
        </w:rPr>
        <w:t xml:space="preserve">, combinés </w:t>
      </w:r>
      <w:r w:rsidR="006C04DD" w:rsidRPr="00961589">
        <w:rPr>
          <w:lang w:val="fr-FR"/>
        </w:rPr>
        <w:lastRenderedPageBreak/>
        <w:t>dans l'annexe du présent document avec une contribution précédente de 81</w:t>
      </w:r>
      <w:r w:rsidR="009C79E1" w:rsidRPr="00961589">
        <w:rPr>
          <w:lang w:val="fr-FR"/>
        </w:rPr>
        <w:t> </w:t>
      </w:r>
      <w:r w:rsidR="006C04DD" w:rsidRPr="00961589">
        <w:rPr>
          <w:lang w:val="fr-FR"/>
        </w:rPr>
        <w:t>271</w:t>
      </w:r>
      <w:r w:rsidR="009C79E1" w:rsidRPr="00961589">
        <w:rPr>
          <w:lang w:val="fr-FR"/>
        </w:rPr>
        <w:t>,23</w:t>
      </w:r>
      <w:r w:rsidR="006C04DD" w:rsidRPr="00961589">
        <w:rPr>
          <w:lang w:val="fr-FR"/>
        </w:rPr>
        <w:t xml:space="preserve"> </w:t>
      </w:r>
      <w:r w:rsidR="00004A3E" w:rsidRPr="00961589">
        <w:rPr>
          <w:lang w:val="fr-FR"/>
        </w:rPr>
        <w:t xml:space="preserve">dollars des </w:t>
      </w:r>
      <w:r w:rsidRPr="00961589">
        <w:rPr>
          <w:lang w:val="fr-FR"/>
        </w:rPr>
        <w:t>É</w:t>
      </w:r>
      <w:r w:rsidR="00004A3E" w:rsidRPr="00961589">
        <w:rPr>
          <w:lang w:val="fr-FR"/>
        </w:rPr>
        <w:t>tats</w:t>
      </w:r>
      <w:r w:rsidRPr="00961589">
        <w:rPr>
          <w:lang w:val="fr-FR"/>
        </w:rPr>
        <w:t>-</w:t>
      </w:r>
      <w:r w:rsidR="00004A3E" w:rsidRPr="00961589">
        <w:rPr>
          <w:lang w:val="fr-FR"/>
        </w:rPr>
        <w:t>Unis</w:t>
      </w:r>
      <w:r w:rsidR="006C04DD" w:rsidRPr="00961589">
        <w:rPr>
          <w:lang w:val="fr-FR"/>
        </w:rPr>
        <w:t xml:space="preserve"> reçue de l'ICHCAP en 2022). En outre, huit projets en cours sont actuellement soutenus par des contributions volontaires reçues avant 2023 (voir paragraphe 11).</w:t>
      </w:r>
    </w:p>
    <w:p w14:paraId="22866A9B" w14:textId="10AE06E0" w:rsidR="006C04DD" w:rsidRDefault="006C04DD" w:rsidP="003C0A42">
      <w:pPr>
        <w:pStyle w:val="COMParabodytext"/>
        <w:numPr>
          <w:ilvl w:val="0"/>
          <w:numId w:val="25"/>
        </w:numPr>
        <w:ind w:left="567" w:hanging="567"/>
        <w:rPr>
          <w:lang w:val="fr-FR"/>
        </w:rPr>
      </w:pPr>
      <w:r w:rsidRPr="006C04DD">
        <w:rPr>
          <w:lang w:val="fr-FR"/>
        </w:rPr>
        <w:t xml:space="preserve">Du 1er janvier 2022 au 30 juin 2023, un total de 196 046,80 </w:t>
      </w:r>
      <w:r w:rsidR="00004A3E">
        <w:rPr>
          <w:lang w:val="fr-FR"/>
        </w:rPr>
        <w:t xml:space="preserve">dollars des </w:t>
      </w:r>
      <w:r w:rsidR="007F67E2" w:rsidRPr="00883C21">
        <w:rPr>
          <w:lang w:val="fr-FR"/>
        </w:rPr>
        <w:t>É</w:t>
      </w:r>
      <w:r w:rsidR="00004A3E">
        <w:rPr>
          <w:lang w:val="fr-FR"/>
        </w:rPr>
        <w:t>tats</w:t>
      </w:r>
      <w:r w:rsidR="007F67E2">
        <w:rPr>
          <w:lang w:val="fr-FR"/>
        </w:rPr>
        <w:t>-</w:t>
      </w:r>
      <w:r w:rsidR="00004A3E">
        <w:rPr>
          <w:lang w:val="fr-FR"/>
        </w:rPr>
        <w:t>Unis</w:t>
      </w:r>
      <w:r w:rsidRPr="006C04DD">
        <w:rPr>
          <w:lang w:val="fr-FR"/>
        </w:rPr>
        <w:t xml:space="preserve"> a été reçu sous forme de contributions volontaires supplémentaires au Fonds à l'appui de la priorité</w:t>
      </w:r>
      <w:r w:rsidR="009C79E1">
        <w:rPr>
          <w:lang w:val="fr-FR"/>
        </w:rPr>
        <w:t xml:space="preserve"> 1</w:t>
      </w:r>
      <w:r w:rsidRPr="006C04DD">
        <w:rPr>
          <w:lang w:val="fr-FR"/>
        </w:rPr>
        <w:t xml:space="preserve"> de financement (voir l'annexe pour la liste complète des contributions). Ces contributions représentent 4 % de l'objectif de mobilisation de 5 millions de dollars </w:t>
      </w:r>
      <w:r w:rsidR="009C79E1" w:rsidRPr="009C79E1">
        <w:rPr>
          <w:lang w:val="fr-FR"/>
        </w:rPr>
        <w:t xml:space="preserve">États-Unis </w:t>
      </w:r>
      <w:r w:rsidRPr="006C04DD">
        <w:rPr>
          <w:lang w:val="fr-FR"/>
        </w:rPr>
        <w:t>fixé pour la période quadriennale 2022 -</w:t>
      </w:r>
      <w:r w:rsidR="009C79E1">
        <w:rPr>
          <w:lang w:val="fr-FR"/>
        </w:rPr>
        <w:t xml:space="preserve"> </w:t>
      </w:r>
      <w:r w:rsidRPr="006C04DD">
        <w:rPr>
          <w:lang w:val="fr-FR"/>
        </w:rPr>
        <w:t>2025.</w:t>
      </w:r>
    </w:p>
    <w:p w14:paraId="5D634437" w14:textId="5E438FBD" w:rsidR="00DC6139" w:rsidRPr="00DC6139" w:rsidRDefault="00DC6139" w:rsidP="006C04DD">
      <w:pPr>
        <w:pStyle w:val="COMParabodytext"/>
        <w:ind w:left="567"/>
        <w:rPr>
          <w:b/>
          <w:bCs/>
          <w:lang w:val="fr-FR"/>
        </w:rPr>
      </w:pPr>
      <w:r w:rsidRPr="00DC6139">
        <w:rPr>
          <w:b/>
          <w:bCs/>
          <w:lang w:val="fr-FR"/>
        </w:rPr>
        <w:t>Priorité 2 de financement : Le patrimoine culturel immatériel dans l’éducation</w:t>
      </w:r>
    </w:p>
    <w:p w14:paraId="411CEA5E" w14:textId="3F44636E" w:rsidR="00E47AD3" w:rsidRDefault="006136A5" w:rsidP="003C0A42">
      <w:pPr>
        <w:pStyle w:val="COMParabodytext"/>
        <w:numPr>
          <w:ilvl w:val="0"/>
          <w:numId w:val="25"/>
        </w:numPr>
        <w:ind w:left="567" w:hanging="567"/>
        <w:rPr>
          <w:lang w:val="fr-FR"/>
        </w:rPr>
      </w:pPr>
      <w:r>
        <w:rPr>
          <w:lang w:val="fr-FR"/>
        </w:rPr>
        <w:t>Depuis la dix-septième session du Comité, aucune nouvelle contribution volontaire supplémentaire n’a été versée au Fonds pour l</w:t>
      </w:r>
      <w:r w:rsidRPr="00D520E9">
        <w:rPr>
          <w:lang w:val="fr-FR"/>
        </w:rPr>
        <w:t xml:space="preserve">a priorité 2 de financement </w:t>
      </w:r>
      <w:r>
        <w:rPr>
          <w:lang w:val="fr-FR"/>
        </w:rPr>
        <w:t xml:space="preserve">qui </w:t>
      </w:r>
      <w:r w:rsidRPr="00D520E9">
        <w:rPr>
          <w:lang w:val="fr-FR"/>
        </w:rPr>
        <w:t>a pour objectif d’intégrer le patrimoine culturel immatériel dans l’éducation formelle et non formelle, en coopération avec le Secteur de l’éducation de l’UNESCO.</w:t>
      </w:r>
    </w:p>
    <w:p w14:paraId="38F35D95" w14:textId="0F76082E" w:rsidR="00502F94" w:rsidRPr="00883C21" w:rsidRDefault="006136A5" w:rsidP="003C0A42">
      <w:pPr>
        <w:pStyle w:val="COMParabodytext"/>
        <w:numPr>
          <w:ilvl w:val="0"/>
          <w:numId w:val="25"/>
        </w:numPr>
        <w:ind w:left="567" w:hanging="567"/>
        <w:rPr>
          <w:lang w:val="fr-FR"/>
        </w:rPr>
      </w:pPr>
      <w:r w:rsidRPr="00883C21">
        <w:rPr>
          <w:lang w:val="fr-FR"/>
        </w:rPr>
        <w:t xml:space="preserve">Malgré l’absence </w:t>
      </w:r>
      <w:r w:rsidR="00502F94" w:rsidRPr="00883C21">
        <w:rPr>
          <w:lang w:val="fr-FR"/>
        </w:rPr>
        <w:t>de nouvelle contribution</w:t>
      </w:r>
      <w:r w:rsidR="009C79E1">
        <w:rPr>
          <w:lang w:val="fr-FR"/>
        </w:rPr>
        <w:t xml:space="preserve"> depuis janvier 2022</w:t>
      </w:r>
      <w:r w:rsidR="00502F94" w:rsidRPr="00883C21">
        <w:rPr>
          <w:lang w:val="fr-FR"/>
        </w:rPr>
        <w:t>, deux projets</w:t>
      </w:r>
      <w:r w:rsidR="00883C21" w:rsidRPr="00883C21">
        <w:rPr>
          <w:lang w:val="fr-FR"/>
        </w:rPr>
        <w:t xml:space="preserve"> sont</w:t>
      </w:r>
      <w:r w:rsidR="00883C21">
        <w:rPr>
          <w:lang w:val="fr-FR"/>
        </w:rPr>
        <w:t xml:space="preserve"> actuellement </w:t>
      </w:r>
      <w:r w:rsidR="00502F94" w:rsidRPr="00883C21">
        <w:rPr>
          <w:lang w:val="fr-FR"/>
        </w:rPr>
        <w:t>financés grâce à des contributions volontaires supplémentaires</w:t>
      </w:r>
      <w:r w:rsidR="00883C21" w:rsidRPr="00883C21">
        <w:rPr>
          <w:lang w:val="fr-FR"/>
        </w:rPr>
        <w:t xml:space="preserve"> </w:t>
      </w:r>
      <w:r w:rsidR="009C79E1">
        <w:rPr>
          <w:lang w:val="fr-FR"/>
        </w:rPr>
        <w:t>reçues en 2021</w:t>
      </w:r>
      <w:r w:rsidR="008745B4">
        <w:rPr>
          <w:lang w:val="fr-FR"/>
        </w:rPr>
        <w:t>, respectivement (i)</w:t>
      </w:r>
      <w:r w:rsidR="00502F94" w:rsidRPr="00883C21">
        <w:rPr>
          <w:lang w:val="fr-FR"/>
        </w:rPr>
        <w:t xml:space="preserve"> </w:t>
      </w:r>
      <w:r w:rsidR="00883C21" w:rsidRPr="00883C21">
        <w:rPr>
          <w:lang w:val="fr-FR"/>
        </w:rPr>
        <w:t xml:space="preserve">dans </w:t>
      </w:r>
      <w:r w:rsidR="00502F94" w:rsidRPr="00883C21">
        <w:rPr>
          <w:lang w:val="fr-FR"/>
        </w:rPr>
        <w:t>la région Amérique latine et Caraïbes et</w:t>
      </w:r>
      <w:r w:rsidR="008745B4">
        <w:rPr>
          <w:lang w:val="fr-FR"/>
        </w:rPr>
        <w:t xml:space="preserve"> (ii) </w:t>
      </w:r>
      <w:r w:rsidR="00883C21" w:rsidRPr="00883C21">
        <w:rPr>
          <w:lang w:val="fr-FR"/>
        </w:rPr>
        <w:t xml:space="preserve">dans </w:t>
      </w:r>
      <w:r w:rsidR="00502F94" w:rsidRPr="00883C21">
        <w:rPr>
          <w:lang w:val="fr-FR"/>
        </w:rPr>
        <w:t>les régions Afrique et Asie</w:t>
      </w:r>
      <w:r w:rsidR="008745B4">
        <w:rPr>
          <w:lang w:val="fr-FR"/>
        </w:rPr>
        <w:t xml:space="preserve"> (voir paragraphe 11)</w:t>
      </w:r>
      <w:r w:rsidR="00595B6D">
        <w:rPr>
          <w:lang w:val="fr-FR"/>
        </w:rPr>
        <w:t xml:space="preserve">. </w:t>
      </w:r>
      <w:r w:rsidR="008745B4">
        <w:rPr>
          <w:lang w:val="fr-FR"/>
        </w:rPr>
        <w:t>De plus</w:t>
      </w:r>
      <w:r w:rsidR="00502F94" w:rsidRPr="00883C21">
        <w:rPr>
          <w:lang w:val="fr-FR"/>
        </w:rPr>
        <w:t xml:space="preserve">, </w:t>
      </w:r>
      <w:r w:rsidR="008745B4">
        <w:rPr>
          <w:lang w:val="fr-FR"/>
        </w:rPr>
        <w:t>la Convention reçoit</w:t>
      </w:r>
      <w:r w:rsidR="00376850" w:rsidRPr="00883C21">
        <w:rPr>
          <w:lang w:val="fr-FR"/>
        </w:rPr>
        <w:t xml:space="preserve"> </w:t>
      </w:r>
      <w:r w:rsidR="007E0F1E">
        <w:rPr>
          <w:lang w:val="fr-FR"/>
        </w:rPr>
        <w:t xml:space="preserve">d’autres </w:t>
      </w:r>
      <w:r w:rsidR="00376850" w:rsidRPr="00883C21">
        <w:rPr>
          <w:lang w:val="fr-FR"/>
        </w:rPr>
        <w:t>appuis financiers au travers de différents mécanismes tel que le</w:t>
      </w:r>
      <w:r w:rsidR="008745B4">
        <w:rPr>
          <w:lang w:val="fr-FR"/>
        </w:rPr>
        <w:t>s accords de</w:t>
      </w:r>
      <w:r w:rsidR="00376850" w:rsidRPr="00883C21">
        <w:rPr>
          <w:lang w:val="fr-FR"/>
        </w:rPr>
        <w:t xml:space="preserve"> fonds-en-dépôts ou encore sous forme de contribution additionnelle au Programme ordinaire de l’UNESCO </w:t>
      </w:r>
      <w:r w:rsidR="00376850" w:rsidRPr="00595B6D">
        <w:rPr>
          <w:lang w:val="fr-FR"/>
        </w:rPr>
        <w:t xml:space="preserve">(voir </w:t>
      </w:r>
      <w:r w:rsidR="00376850" w:rsidRPr="00961589">
        <w:rPr>
          <w:lang w:val="fr-FR"/>
        </w:rPr>
        <w:t xml:space="preserve">paragraphe </w:t>
      </w:r>
      <w:r w:rsidR="008745B4" w:rsidRPr="00961589">
        <w:rPr>
          <w:lang w:val="fr-FR"/>
        </w:rPr>
        <w:t>15</w:t>
      </w:r>
      <w:r w:rsidR="00376850" w:rsidRPr="00961589">
        <w:rPr>
          <w:lang w:val="fr-FR"/>
        </w:rPr>
        <w:t>)</w:t>
      </w:r>
      <w:r w:rsidR="008745B4" w:rsidRPr="00961589">
        <w:rPr>
          <w:lang w:val="fr-FR"/>
        </w:rPr>
        <w:t xml:space="preserve"> pour</w:t>
      </w:r>
      <w:r w:rsidR="008745B4">
        <w:rPr>
          <w:lang w:val="fr-FR"/>
        </w:rPr>
        <w:t xml:space="preserve"> soutenir des projets et activités dans ce domaine</w:t>
      </w:r>
      <w:r w:rsidR="00376850" w:rsidRPr="00595B6D">
        <w:rPr>
          <w:lang w:val="fr-FR"/>
        </w:rPr>
        <w:t>.</w:t>
      </w:r>
    </w:p>
    <w:p w14:paraId="7C218B1D" w14:textId="0C7328DD" w:rsidR="00DC6139" w:rsidRPr="00502F94" w:rsidRDefault="00DC6139" w:rsidP="00502F94">
      <w:pPr>
        <w:pStyle w:val="COMParabodytext"/>
        <w:ind w:left="567"/>
        <w:rPr>
          <w:b/>
          <w:bCs/>
          <w:lang w:val="fr-FR"/>
        </w:rPr>
      </w:pPr>
      <w:r w:rsidRPr="00502F94">
        <w:rPr>
          <w:b/>
          <w:bCs/>
          <w:lang w:val="fr-FR"/>
        </w:rPr>
        <w:t>Renforcement des ressources humaines du Secrétariat</w:t>
      </w:r>
    </w:p>
    <w:p w14:paraId="59F64A85" w14:textId="52DEB004" w:rsidR="00883C21" w:rsidRDefault="00883C21" w:rsidP="003C0A42">
      <w:pPr>
        <w:pStyle w:val="COMParabodytext"/>
        <w:numPr>
          <w:ilvl w:val="0"/>
          <w:numId w:val="25"/>
        </w:numPr>
        <w:ind w:left="567" w:hanging="567"/>
        <w:rPr>
          <w:lang w:val="fr-FR"/>
        </w:rPr>
      </w:pPr>
      <w:r w:rsidRPr="00883C21">
        <w:rPr>
          <w:lang w:val="fr-FR"/>
        </w:rPr>
        <w:t>Le sous-fonds, destiné à renforcer les ressources humaines du Secrétariat, a été créé par l’Assemblée générale en juin 2010 (</w:t>
      </w:r>
      <w:r w:rsidR="00961589">
        <w:rPr>
          <w:lang w:val="fr-FR"/>
        </w:rPr>
        <w:t>R</w:t>
      </w:r>
      <w:r w:rsidRPr="00883C21">
        <w:rPr>
          <w:lang w:val="fr-FR"/>
        </w:rPr>
        <w:t xml:space="preserve">ésolution </w:t>
      </w:r>
      <w:hyperlink r:id="rId12" w:history="1">
        <w:r w:rsidRPr="00883C21">
          <w:rPr>
            <w:rStyle w:val="Lienhypertexte"/>
            <w:lang w:val="fr-FR"/>
          </w:rPr>
          <w:t>3.GA 9</w:t>
        </w:r>
      </w:hyperlink>
      <w:r w:rsidRPr="00883C21">
        <w:rPr>
          <w:lang w:val="fr-FR"/>
        </w:rPr>
        <w:t xml:space="preserve">) afin de soutenir le Secrétariat sur une base durable, et de lui permettre de répondre aux besoins exprimés par les États parties. L’objectif annuel du sous-fonds a été </w:t>
      </w:r>
      <w:r w:rsidR="008745B4">
        <w:rPr>
          <w:lang w:val="fr-FR"/>
        </w:rPr>
        <w:t>fixé</w:t>
      </w:r>
      <w:r w:rsidR="008745B4" w:rsidRPr="00883C21">
        <w:rPr>
          <w:lang w:val="fr-FR"/>
        </w:rPr>
        <w:t xml:space="preserve"> </w:t>
      </w:r>
      <w:r w:rsidRPr="00883C21">
        <w:rPr>
          <w:lang w:val="fr-FR"/>
        </w:rPr>
        <w:t xml:space="preserve">par la huitième session de l’Assemblée générale en 2020 à 950 000 dollars des </w:t>
      </w:r>
      <w:bookmarkStart w:id="0" w:name="_Hlk149839999"/>
      <w:r w:rsidRPr="00883C21">
        <w:rPr>
          <w:lang w:val="fr-FR"/>
        </w:rPr>
        <w:t>É</w:t>
      </w:r>
      <w:bookmarkEnd w:id="0"/>
      <w:r w:rsidRPr="00883C21">
        <w:rPr>
          <w:lang w:val="fr-FR"/>
        </w:rPr>
        <w:t>tats-Unis par an (</w:t>
      </w:r>
      <w:r w:rsidR="00961589">
        <w:rPr>
          <w:lang w:val="fr-FR"/>
        </w:rPr>
        <w:t>R</w:t>
      </w:r>
      <w:r w:rsidRPr="00883C21">
        <w:rPr>
          <w:lang w:val="fr-FR"/>
        </w:rPr>
        <w:t xml:space="preserve">ésolution </w:t>
      </w:r>
      <w:hyperlink r:id="rId13" w:history="1">
        <w:r w:rsidRPr="00883C21">
          <w:rPr>
            <w:rStyle w:val="Lienhypertexte"/>
            <w:lang w:val="fr-FR"/>
          </w:rPr>
          <w:t>8.GA 7</w:t>
        </w:r>
      </w:hyperlink>
      <w:r w:rsidRPr="00883C21">
        <w:rPr>
          <w:lang w:val="fr-FR"/>
        </w:rPr>
        <w:t>).</w:t>
      </w:r>
    </w:p>
    <w:p w14:paraId="66BD41E3" w14:textId="16CEAAA1" w:rsidR="002E0D56" w:rsidRPr="006C04DD" w:rsidRDefault="006C04DD" w:rsidP="003C0A42">
      <w:pPr>
        <w:pStyle w:val="COMParabodytext"/>
        <w:numPr>
          <w:ilvl w:val="0"/>
          <w:numId w:val="25"/>
        </w:numPr>
        <w:ind w:left="567" w:hanging="567"/>
        <w:rPr>
          <w:lang w:val="fr-FR"/>
        </w:rPr>
      </w:pPr>
      <w:r w:rsidRPr="006C04DD">
        <w:rPr>
          <w:lang w:val="fr-FR"/>
        </w:rPr>
        <w:t xml:space="preserve">Au cours du premier semestre 2023, une nouvelle contribution volontaire supplémentaire a été versée au </w:t>
      </w:r>
      <w:r w:rsidR="008745B4">
        <w:rPr>
          <w:lang w:val="fr-FR"/>
        </w:rPr>
        <w:t>sous-fonds</w:t>
      </w:r>
      <w:r w:rsidR="008745B4" w:rsidRPr="006C04DD">
        <w:rPr>
          <w:lang w:val="fr-FR"/>
        </w:rPr>
        <w:t xml:space="preserve"> </w:t>
      </w:r>
      <w:r w:rsidRPr="006C04DD">
        <w:rPr>
          <w:lang w:val="fr-FR"/>
        </w:rPr>
        <w:t xml:space="preserve">par la Slovaquie pour un montant de 8 528,78 </w:t>
      </w:r>
      <w:r w:rsidR="007F67E2">
        <w:rPr>
          <w:lang w:val="fr-FR"/>
        </w:rPr>
        <w:t xml:space="preserve">dollars des </w:t>
      </w:r>
      <w:r w:rsidR="008745B4" w:rsidRPr="008745B4">
        <w:rPr>
          <w:lang w:val="fr-FR"/>
        </w:rPr>
        <w:t>É</w:t>
      </w:r>
      <w:r w:rsidR="007F67E2">
        <w:rPr>
          <w:lang w:val="fr-FR"/>
        </w:rPr>
        <w:t>ta</w:t>
      </w:r>
      <w:r w:rsidR="008745B4">
        <w:rPr>
          <w:lang w:val="fr-FR"/>
        </w:rPr>
        <w:t>t</w:t>
      </w:r>
      <w:r w:rsidR="007F67E2">
        <w:rPr>
          <w:lang w:val="fr-FR"/>
        </w:rPr>
        <w:t>s</w:t>
      </w:r>
      <w:r w:rsidR="008745B4">
        <w:rPr>
          <w:lang w:val="fr-FR"/>
        </w:rPr>
        <w:t>-</w:t>
      </w:r>
      <w:r w:rsidR="007F67E2">
        <w:rPr>
          <w:lang w:val="fr-FR"/>
        </w:rPr>
        <w:t>Unis</w:t>
      </w:r>
      <w:r w:rsidRPr="006C04DD">
        <w:rPr>
          <w:lang w:val="fr-FR"/>
        </w:rPr>
        <w:t xml:space="preserve">. En outre, le gouvernement de la Chine a continué à fournir un soutien en nature (prêt de personnel) depuis mai 2021. En tenant compte des contributions reçues depuis janvier 2022 (voir l'annexe pour la liste complète des contributions), les contributions au sous-fonds s'élèvent à 134 201,81 </w:t>
      </w:r>
      <w:r w:rsidR="007F67E2">
        <w:rPr>
          <w:lang w:val="fr-FR"/>
        </w:rPr>
        <w:t xml:space="preserve">dollars des </w:t>
      </w:r>
      <w:r w:rsidR="007F67E2" w:rsidRPr="00883C21">
        <w:rPr>
          <w:lang w:val="fr-FR"/>
        </w:rPr>
        <w:t>É</w:t>
      </w:r>
      <w:r w:rsidR="007F67E2">
        <w:rPr>
          <w:lang w:val="fr-FR"/>
        </w:rPr>
        <w:t>tats-Unis</w:t>
      </w:r>
      <w:r w:rsidRPr="006C04DD">
        <w:rPr>
          <w:lang w:val="fr-FR"/>
        </w:rPr>
        <w:t>, soit 7 % de l'objectif biennal fixé par l'Assemblée générale</w:t>
      </w:r>
      <w:r w:rsidR="00497224">
        <w:rPr>
          <w:rStyle w:val="Appelnotedebasdep"/>
          <w:lang w:val="fr-FR"/>
        </w:rPr>
        <w:footnoteReference w:id="2"/>
      </w:r>
      <w:r w:rsidRPr="006C04DD">
        <w:rPr>
          <w:lang w:val="fr-FR"/>
        </w:rPr>
        <w:t>.</w:t>
      </w:r>
    </w:p>
    <w:p w14:paraId="1ABB60CB" w14:textId="55F9AF0C" w:rsidR="00DC6139" w:rsidRPr="00595B6D" w:rsidRDefault="00DC6139" w:rsidP="00595B6D">
      <w:pPr>
        <w:pStyle w:val="COMParabodytext"/>
        <w:ind w:left="567"/>
        <w:rPr>
          <w:b/>
          <w:bCs/>
          <w:lang w:val="fr-FR"/>
        </w:rPr>
      </w:pPr>
      <w:r w:rsidRPr="00595B6D">
        <w:rPr>
          <w:b/>
          <w:bCs/>
          <w:lang w:val="fr-FR"/>
        </w:rPr>
        <w:t>Activités actuellement soutenues par des contributions volontaires supplémentaires</w:t>
      </w:r>
    </w:p>
    <w:p w14:paraId="1443B6F9" w14:textId="322DA326" w:rsidR="00B156A7" w:rsidRDefault="006C04DD" w:rsidP="003C0A42">
      <w:pPr>
        <w:pStyle w:val="COMParabodytext"/>
        <w:numPr>
          <w:ilvl w:val="0"/>
          <w:numId w:val="25"/>
        </w:numPr>
        <w:ind w:left="567" w:hanging="567"/>
        <w:rPr>
          <w:lang w:val="fr-FR"/>
        </w:rPr>
      </w:pPr>
      <w:r w:rsidRPr="006C04DD">
        <w:rPr>
          <w:lang w:val="fr-FR"/>
        </w:rPr>
        <w:t xml:space="preserve">Les dix projets en cours ci-dessous liés aux priorités </w:t>
      </w:r>
      <w:r w:rsidR="00497224" w:rsidRPr="006C04DD">
        <w:rPr>
          <w:lang w:val="fr-FR"/>
        </w:rPr>
        <w:t xml:space="preserve">1 et 2 </w:t>
      </w:r>
      <w:r w:rsidRPr="006C04DD">
        <w:rPr>
          <w:lang w:val="fr-FR"/>
        </w:rPr>
        <w:t xml:space="preserve">de financement sont actuellement financés par des contributions volontaires supplémentaires (voir les annexes III et IV du document </w:t>
      </w:r>
      <w:hyperlink r:id="rId14" w:history="1">
        <w:r w:rsidRPr="00E37452">
          <w:rPr>
            <w:rStyle w:val="Lienhypertexte"/>
            <w:lang w:val="fr-FR"/>
          </w:rPr>
          <w:t>LHE/23/18.COM/INF.14</w:t>
        </w:r>
      </w:hyperlink>
      <w:r w:rsidRPr="006C04DD">
        <w:rPr>
          <w:lang w:val="fr-FR"/>
        </w:rPr>
        <w:t xml:space="preserve"> pour de plus amples informations budgétaires sur chaque projet)</w:t>
      </w:r>
      <w:r w:rsidR="00CE33ED">
        <w:t> </w:t>
      </w:r>
      <w:r w:rsidRPr="006C04DD">
        <w:rPr>
          <w:lang w:val="fr-FR"/>
        </w:rPr>
        <w:t>:</w:t>
      </w:r>
    </w:p>
    <w:p w14:paraId="24244B01" w14:textId="77777777" w:rsidR="00B156A7" w:rsidRDefault="00B156A7">
      <w:pPr>
        <w:rPr>
          <w:rFonts w:ascii="Arial" w:hAnsi="Arial" w:cs="Arial"/>
          <w:snapToGrid w:val="0"/>
          <w:sz w:val="22"/>
          <w:szCs w:val="22"/>
          <w:lang w:eastAsia="en-US"/>
        </w:rPr>
      </w:pPr>
      <w:r>
        <w:br w:type="page"/>
      </w:r>
    </w:p>
    <w:tbl>
      <w:tblPr>
        <w:tblStyle w:val="Grilledutableau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3"/>
        <w:gridCol w:w="3567"/>
      </w:tblGrid>
      <w:tr w:rsidR="00DC6139" w:rsidRPr="00D520E9" w14:paraId="26564E35" w14:textId="77777777" w:rsidTr="007D168B">
        <w:trPr>
          <w:cantSplit/>
          <w:trHeight w:val="289"/>
        </w:trPr>
        <w:tc>
          <w:tcPr>
            <w:tcW w:w="5473" w:type="dxa"/>
            <w:tcBorders>
              <w:top w:val="single" w:sz="4" w:space="0" w:color="auto"/>
              <w:bottom w:val="single" w:sz="4" w:space="0" w:color="auto"/>
            </w:tcBorders>
          </w:tcPr>
          <w:p w14:paraId="0B946603" w14:textId="77777777" w:rsidR="00DC6139" w:rsidRPr="009557EB" w:rsidRDefault="00DC6139" w:rsidP="00AE569A">
            <w:pPr>
              <w:widowControl w:val="0"/>
              <w:spacing w:before="120" w:after="120"/>
              <w:jc w:val="center"/>
              <w:rPr>
                <w:rFonts w:asciiTheme="minorBidi" w:hAnsiTheme="minorBidi" w:cstheme="minorBidi"/>
                <w:b/>
                <w:snapToGrid w:val="0"/>
                <w:sz w:val="22"/>
                <w:szCs w:val="22"/>
              </w:rPr>
            </w:pPr>
            <w:r w:rsidRPr="009557EB">
              <w:rPr>
                <w:rFonts w:asciiTheme="minorBidi" w:hAnsiTheme="minorBidi" w:cstheme="minorBidi"/>
                <w:b/>
                <w:snapToGrid w:val="0"/>
                <w:sz w:val="22"/>
                <w:szCs w:val="22"/>
              </w:rPr>
              <w:lastRenderedPageBreak/>
              <w:t>Projet</w:t>
            </w:r>
          </w:p>
        </w:tc>
        <w:tc>
          <w:tcPr>
            <w:tcW w:w="3567" w:type="dxa"/>
            <w:tcBorders>
              <w:top w:val="single" w:sz="4" w:space="0" w:color="auto"/>
              <w:bottom w:val="single" w:sz="4" w:space="0" w:color="auto"/>
            </w:tcBorders>
          </w:tcPr>
          <w:p w14:paraId="571A4858" w14:textId="77777777" w:rsidR="00DC6139" w:rsidRPr="009557EB" w:rsidRDefault="00DC6139" w:rsidP="00AE569A">
            <w:pPr>
              <w:widowControl w:val="0"/>
              <w:spacing w:before="120" w:after="120"/>
              <w:jc w:val="center"/>
              <w:rPr>
                <w:rFonts w:asciiTheme="minorBidi" w:hAnsiTheme="minorBidi" w:cstheme="minorBidi"/>
                <w:b/>
                <w:snapToGrid w:val="0"/>
                <w:sz w:val="22"/>
                <w:szCs w:val="22"/>
                <w:highlight w:val="yellow"/>
              </w:rPr>
            </w:pPr>
            <w:r w:rsidRPr="009557EB">
              <w:rPr>
                <w:rFonts w:asciiTheme="minorBidi" w:hAnsiTheme="minorBidi" w:cstheme="minorBidi"/>
                <w:b/>
                <w:snapToGrid w:val="0"/>
                <w:sz w:val="22"/>
                <w:szCs w:val="22"/>
              </w:rPr>
              <w:t>Dernier rapport publié</w:t>
            </w:r>
          </w:p>
        </w:tc>
      </w:tr>
      <w:tr w:rsidR="00DC6139" w:rsidRPr="00D520E9" w14:paraId="08F73FF7" w14:textId="77777777" w:rsidTr="007D168B">
        <w:trPr>
          <w:cantSplit/>
          <w:trHeight w:val="712"/>
        </w:trPr>
        <w:tc>
          <w:tcPr>
            <w:tcW w:w="9040" w:type="dxa"/>
            <w:gridSpan w:val="2"/>
            <w:tcBorders>
              <w:top w:val="single" w:sz="4" w:space="0" w:color="auto"/>
            </w:tcBorders>
          </w:tcPr>
          <w:p w14:paraId="580312DB" w14:textId="77777777" w:rsidR="00DC6139" w:rsidRPr="00D520E9" w:rsidRDefault="00DC6139" w:rsidP="00AE569A">
            <w:pPr>
              <w:widowControl w:val="0"/>
              <w:spacing w:before="120" w:after="240"/>
              <w:jc w:val="both"/>
              <w:rPr>
                <w:rFonts w:asciiTheme="minorBidi" w:hAnsiTheme="minorBidi" w:cstheme="minorBidi"/>
                <w:b/>
                <w:bCs/>
                <w:snapToGrid w:val="0"/>
                <w:sz w:val="22"/>
                <w:szCs w:val="22"/>
                <w:highlight w:val="yellow"/>
              </w:rPr>
            </w:pPr>
            <w:r w:rsidRPr="00D520E9">
              <w:rPr>
                <w:rFonts w:asciiTheme="minorBidi" w:hAnsiTheme="minorBidi" w:cstheme="minorBidi"/>
                <w:b/>
                <w:bCs/>
                <w:snapToGrid w:val="0"/>
                <w:sz w:val="22"/>
                <w:szCs w:val="22"/>
              </w:rPr>
              <w:t>Priorité 1 : Renforcement des capacités de sauvegarde du patrimoine culturel immatériel par le biais d’approches multimodales et de contribution au développement durable</w:t>
            </w:r>
          </w:p>
        </w:tc>
      </w:tr>
      <w:tr w:rsidR="00DC6139" w:rsidRPr="00D520E9" w14:paraId="260C5EE1" w14:textId="77777777" w:rsidTr="007D168B">
        <w:trPr>
          <w:cantSplit/>
          <w:trHeight w:val="954"/>
        </w:trPr>
        <w:tc>
          <w:tcPr>
            <w:tcW w:w="5473" w:type="dxa"/>
          </w:tcPr>
          <w:p w14:paraId="7EF99012" w14:textId="44E5A5A5" w:rsidR="00DC6139" w:rsidRPr="009557EB" w:rsidRDefault="00DC6139" w:rsidP="00AE569A">
            <w:pPr>
              <w:widowControl w:val="0"/>
              <w:spacing w:after="240"/>
              <w:jc w:val="both"/>
              <w:rPr>
                <w:rFonts w:asciiTheme="minorBidi" w:hAnsiTheme="minorBidi" w:cstheme="minorBidi"/>
                <w:snapToGrid w:val="0"/>
                <w:sz w:val="22"/>
                <w:szCs w:val="22"/>
              </w:rPr>
            </w:pPr>
            <w:r w:rsidRPr="009557EB">
              <w:rPr>
                <w:rFonts w:asciiTheme="minorBidi" w:hAnsiTheme="minorBidi" w:cstheme="minorBidi"/>
                <w:snapToGrid w:val="0"/>
                <w:sz w:val="22"/>
                <w:szCs w:val="22"/>
              </w:rPr>
              <w:t>Renforcement des capacités de sauvegarde du patrimoine culturel immatériel dans les contextes de catastrophe</w:t>
            </w:r>
          </w:p>
        </w:tc>
        <w:tc>
          <w:tcPr>
            <w:tcW w:w="3567" w:type="dxa"/>
          </w:tcPr>
          <w:p w14:paraId="4719061D" w14:textId="48F6B286" w:rsidR="00DC6139" w:rsidRPr="00D520E9" w:rsidRDefault="00CE33ED" w:rsidP="00AE569A">
            <w:pPr>
              <w:widowControl w:val="0"/>
              <w:spacing w:after="240"/>
              <w:jc w:val="center"/>
              <w:rPr>
                <w:rFonts w:asciiTheme="minorBidi" w:hAnsiTheme="minorBidi" w:cstheme="minorBidi"/>
                <w:snapToGrid w:val="0"/>
                <w:sz w:val="22"/>
                <w:szCs w:val="22"/>
              </w:rPr>
            </w:pPr>
            <w:hyperlink r:id="rId15" w:history="1">
              <w:r w:rsidR="004F6E1D" w:rsidRPr="004F6E1D">
                <w:rPr>
                  <w:rStyle w:val="Lienhypertexte"/>
                  <w:rFonts w:asciiTheme="minorBidi" w:hAnsiTheme="minorBidi" w:cstheme="minorBidi"/>
                  <w:snapToGrid w:val="0"/>
                  <w:sz w:val="22"/>
                  <w:szCs w:val="22"/>
                </w:rPr>
                <w:t>Voir la page du projet</w:t>
              </w:r>
            </w:hyperlink>
          </w:p>
        </w:tc>
      </w:tr>
      <w:tr w:rsidR="00DC6139" w:rsidRPr="00D520E9" w14:paraId="6CDFD96B" w14:textId="77777777" w:rsidTr="007D168B">
        <w:trPr>
          <w:cantSplit/>
          <w:trHeight w:val="845"/>
        </w:trPr>
        <w:tc>
          <w:tcPr>
            <w:tcW w:w="5473" w:type="dxa"/>
          </w:tcPr>
          <w:p w14:paraId="43A09722" w14:textId="77777777" w:rsidR="00DC6139" w:rsidRPr="00D06064" w:rsidRDefault="00DC6139" w:rsidP="00AE569A">
            <w:pPr>
              <w:widowControl w:val="0"/>
              <w:spacing w:after="240"/>
              <w:jc w:val="both"/>
              <w:rPr>
                <w:rFonts w:asciiTheme="minorBidi" w:hAnsiTheme="minorBidi" w:cstheme="minorBidi"/>
                <w:snapToGrid w:val="0"/>
                <w:sz w:val="22"/>
                <w:szCs w:val="22"/>
              </w:rPr>
            </w:pPr>
            <w:r w:rsidRPr="00D06064">
              <w:rPr>
                <w:rFonts w:asciiTheme="minorBidi" w:hAnsiTheme="minorBidi" w:cstheme="minorBidi"/>
                <w:snapToGrid w:val="0"/>
                <w:sz w:val="22"/>
                <w:szCs w:val="22"/>
              </w:rPr>
              <w:t>Manuel pratique sur les rapports périodiques avec un outil d’auto-apprentissage sur le cadre global des résultats pour la mise en œuvre de la Convention pour la sauvegarde du patrimoine culturel immatériel</w:t>
            </w:r>
          </w:p>
        </w:tc>
        <w:tc>
          <w:tcPr>
            <w:tcW w:w="3567" w:type="dxa"/>
          </w:tcPr>
          <w:p w14:paraId="02D2D271" w14:textId="6C3A297E" w:rsidR="00DC6139" w:rsidRPr="00D06064" w:rsidRDefault="00CE33ED" w:rsidP="00AE569A">
            <w:pPr>
              <w:widowControl w:val="0"/>
              <w:spacing w:after="240"/>
              <w:jc w:val="center"/>
              <w:rPr>
                <w:rFonts w:asciiTheme="minorBidi" w:hAnsiTheme="minorBidi" w:cstheme="minorBidi"/>
                <w:snapToGrid w:val="0"/>
                <w:sz w:val="22"/>
                <w:szCs w:val="22"/>
                <w:highlight w:val="yellow"/>
              </w:rPr>
            </w:pPr>
            <w:hyperlink r:id="rId16" w:history="1">
              <w:r w:rsidR="004F6E1D" w:rsidRPr="004125BB">
                <w:rPr>
                  <w:rStyle w:val="Lienhypertexte"/>
                  <w:rFonts w:asciiTheme="minorBidi" w:hAnsiTheme="minorBidi" w:cstheme="minorBidi"/>
                  <w:snapToGrid w:val="0"/>
                  <w:sz w:val="22"/>
                  <w:szCs w:val="22"/>
                </w:rPr>
                <w:t>Voir la page du projet</w:t>
              </w:r>
            </w:hyperlink>
          </w:p>
        </w:tc>
      </w:tr>
      <w:tr w:rsidR="00DC6139" w:rsidRPr="00D520E9" w14:paraId="6909E6D4" w14:textId="77777777" w:rsidTr="007D168B">
        <w:trPr>
          <w:cantSplit/>
          <w:trHeight w:val="1160"/>
        </w:trPr>
        <w:tc>
          <w:tcPr>
            <w:tcW w:w="5473" w:type="dxa"/>
          </w:tcPr>
          <w:p w14:paraId="62A4C9B2" w14:textId="77777777" w:rsidR="00DC6139" w:rsidRPr="00D06064" w:rsidRDefault="00DC6139" w:rsidP="00AE569A">
            <w:pPr>
              <w:widowControl w:val="0"/>
              <w:spacing w:after="240"/>
              <w:jc w:val="both"/>
              <w:rPr>
                <w:rFonts w:asciiTheme="minorBidi" w:hAnsiTheme="minorBidi" w:cstheme="minorBidi"/>
                <w:snapToGrid w:val="0"/>
                <w:sz w:val="22"/>
                <w:szCs w:val="22"/>
              </w:rPr>
            </w:pPr>
            <w:r w:rsidRPr="00D06064">
              <w:rPr>
                <w:rFonts w:asciiTheme="minorBidi" w:hAnsiTheme="minorBidi" w:cstheme="minorBidi"/>
                <w:snapToGrid w:val="0"/>
                <w:sz w:val="22"/>
                <w:szCs w:val="22"/>
              </w:rPr>
              <w:t>Soutien à l’élaboration et à la mise en œuvre d’activités de renforcement des capacités pour la sauvegarde du patrimoine culturel immatériel dans les situations de conflit, y compris les situations de déplacement forcé</w:t>
            </w:r>
          </w:p>
        </w:tc>
        <w:tc>
          <w:tcPr>
            <w:tcW w:w="3567" w:type="dxa"/>
          </w:tcPr>
          <w:p w14:paraId="66DA8AC0" w14:textId="112DB32F" w:rsidR="00DC6139" w:rsidRPr="00D06064" w:rsidRDefault="00CE33ED" w:rsidP="00AE569A">
            <w:pPr>
              <w:widowControl w:val="0"/>
              <w:spacing w:after="240"/>
              <w:jc w:val="center"/>
              <w:rPr>
                <w:rFonts w:asciiTheme="minorBidi" w:hAnsiTheme="minorBidi" w:cstheme="minorBidi"/>
                <w:snapToGrid w:val="0"/>
                <w:sz w:val="22"/>
                <w:szCs w:val="22"/>
                <w:highlight w:val="yellow"/>
              </w:rPr>
            </w:pPr>
            <w:hyperlink r:id="rId17" w:history="1">
              <w:r w:rsidR="004F6E1D" w:rsidRPr="00D06064">
                <w:rPr>
                  <w:rStyle w:val="Lienhypertexte"/>
                  <w:rFonts w:asciiTheme="minorBidi" w:hAnsiTheme="minorBidi" w:cstheme="minorBidi"/>
                  <w:snapToGrid w:val="0"/>
                  <w:sz w:val="22"/>
                  <w:szCs w:val="22"/>
                </w:rPr>
                <w:t>Voir la page du projet</w:t>
              </w:r>
            </w:hyperlink>
          </w:p>
        </w:tc>
      </w:tr>
      <w:tr w:rsidR="00DC6139" w:rsidRPr="00D520E9" w14:paraId="0D38B054" w14:textId="77777777" w:rsidTr="007D168B">
        <w:trPr>
          <w:cantSplit/>
          <w:trHeight w:val="628"/>
        </w:trPr>
        <w:tc>
          <w:tcPr>
            <w:tcW w:w="5473" w:type="dxa"/>
          </w:tcPr>
          <w:p w14:paraId="3BE92F41" w14:textId="77777777" w:rsidR="00DC6139" w:rsidRPr="00D520E9" w:rsidRDefault="00DC6139" w:rsidP="00AE569A">
            <w:pPr>
              <w:widowControl w:val="0"/>
              <w:spacing w:after="240"/>
              <w:jc w:val="both"/>
              <w:rPr>
                <w:rFonts w:asciiTheme="minorBidi" w:hAnsiTheme="minorBidi" w:cstheme="minorBidi"/>
                <w:snapToGrid w:val="0"/>
                <w:sz w:val="22"/>
                <w:szCs w:val="22"/>
              </w:rPr>
            </w:pPr>
            <w:r w:rsidRPr="009557EB">
              <w:rPr>
                <w:rFonts w:asciiTheme="minorBidi" w:hAnsiTheme="minorBidi" w:cstheme="minorBidi"/>
                <w:snapToGrid w:val="0"/>
                <w:sz w:val="22"/>
                <w:szCs w:val="22"/>
              </w:rPr>
              <w:t>Renforcement des capacités de sauvegarde du patrimoine culturel immatériel et la contribution au développement durable</w:t>
            </w:r>
          </w:p>
        </w:tc>
        <w:tc>
          <w:tcPr>
            <w:tcW w:w="3567" w:type="dxa"/>
          </w:tcPr>
          <w:p w14:paraId="7BC69B17" w14:textId="789C1020" w:rsidR="00DC6139" w:rsidRPr="00D520E9" w:rsidRDefault="00CE33ED" w:rsidP="00AE569A">
            <w:pPr>
              <w:widowControl w:val="0"/>
              <w:spacing w:after="240"/>
              <w:jc w:val="center"/>
              <w:rPr>
                <w:rFonts w:asciiTheme="minorBidi" w:hAnsiTheme="minorBidi" w:cstheme="minorBidi"/>
                <w:snapToGrid w:val="0"/>
                <w:sz w:val="22"/>
                <w:szCs w:val="22"/>
                <w:highlight w:val="yellow"/>
              </w:rPr>
            </w:pPr>
            <w:hyperlink r:id="rId18" w:history="1">
              <w:r w:rsidR="004F6E1D" w:rsidRPr="00D520E9">
                <w:rPr>
                  <w:rStyle w:val="Lienhypertexte"/>
                  <w:rFonts w:asciiTheme="minorBidi" w:hAnsiTheme="minorBidi" w:cstheme="minorBidi"/>
                  <w:snapToGrid w:val="0"/>
                  <w:sz w:val="22"/>
                  <w:szCs w:val="22"/>
                </w:rPr>
                <w:t>Voir la page du projet</w:t>
              </w:r>
            </w:hyperlink>
          </w:p>
        </w:tc>
      </w:tr>
      <w:tr w:rsidR="004F6E1D" w:rsidRPr="00D520E9" w14:paraId="241416A6" w14:textId="77777777" w:rsidTr="007D168B">
        <w:trPr>
          <w:cantSplit/>
          <w:trHeight w:val="643"/>
        </w:trPr>
        <w:tc>
          <w:tcPr>
            <w:tcW w:w="5473" w:type="dxa"/>
          </w:tcPr>
          <w:p w14:paraId="52D13A71" w14:textId="77777777" w:rsidR="004F6E1D" w:rsidRPr="00D520E9" w:rsidRDefault="004F6E1D" w:rsidP="00AE569A">
            <w:pPr>
              <w:widowControl w:val="0"/>
              <w:spacing w:after="240"/>
              <w:jc w:val="both"/>
              <w:rPr>
                <w:rFonts w:asciiTheme="minorBidi" w:hAnsiTheme="minorBidi" w:cstheme="minorBidi"/>
                <w:snapToGrid w:val="0"/>
                <w:sz w:val="22"/>
                <w:szCs w:val="22"/>
              </w:rPr>
            </w:pPr>
            <w:r w:rsidRPr="009557EB">
              <w:rPr>
                <w:rFonts w:asciiTheme="minorBidi" w:hAnsiTheme="minorBidi" w:cstheme="minorBidi"/>
                <w:snapToGrid w:val="0"/>
                <w:sz w:val="22"/>
                <w:szCs w:val="22"/>
              </w:rPr>
              <w:t>Renforcement des capacités aux niveaux national et local pour la sauvegarde du patrimoine culturel immatériel en Dominique</w:t>
            </w:r>
          </w:p>
        </w:tc>
        <w:tc>
          <w:tcPr>
            <w:tcW w:w="3567" w:type="dxa"/>
          </w:tcPr>
          <w:p w14:paraId="3FBBD62B" w14:textId="3B98ADB2" w:rsidR="004F6E1D" w:rsidRPr="00D520E9" w:rsidRDefault="00CE33ED" w:rsidP="00AE569A">
            <w:pPr>
              <w:widowControl w:val="0"/>
              <w:spacing w:after="240"/>
              <w:jc w:val="center"/>
              <w:rPr>
                <w:rFonts w:asciiTheme="minorBidi" w:hAnsiTheme="minorBidi" w:cstheme="minorBidi"/>
                <w:snapToGrid w:val="0"/>
                <w:sz w:val="22"/>
                <w:szCs w:val="22"/>
                <w:highlight w:val="yellow"/>
              </w:rPr>
            </w:pPr>
            <w:hyperlink r:id="rId19" w:history="1">
              <w:r w:rsidR="004F6E1D" w:rsidRPr="009557EB">
                <w:rPr>
                  <w:rStyle w:val="Lienhypertexte"/>
                  <w:rFonts w:asciiTheme="minorBidi" w:hAnsiTheme="minorBidi" w:cstheme="minorBidi"/>
                  <w:snapToGrid w:val="0"/>
                  <w:sz w:val="22"/>
                  <w:szCs w:val="22"/>
                </w:rPr>
                <w:t>V</w:t>
              </w:r>
              <w:r w:rsidR="004F6E1D" w:rsidRPr="00D520E9">
                <w:rPr>
                  <w:rStyle w:val="Lienhypertexte"/>
                  <w:rFonts w:asciiTheme="minorBidi" w:hAnsiTheme="minorBidi" w:cstheme="minorBidi"/>
                  <w:snapToGrid w:val="0"/>
                  <w:sz w:val="22"/>
                  <w:szCs w:val="22"/>
                </w:rPr>
                <w:t>oir la page du projet</w:t>
              </w:r>
            </w:hyperlink>
          </w:p>
        </w:tc>
      </w:tr>
      <w:tr w:rsidR="004F6E1D" w:rsidRPr="00D520E9" w14:paraId="4AAEBE97" w14:textId="77777777" w:rsidTr="007D168B">
        <w:trPr>
          <w:cantSplit/>
          <w:trHeight w:val="770"/>
        </w:trPr>
        <w:tc>
          <w:tcPr>
            <w:tcW w:w="5473" w:type="dxa"/>
          </w:tcPr>
          <w:p w14:paraId="31B5AEC7" w14:textId="77777777" w:rsidR="004F6E1D" w:rsidRPr="00D520E9" w:rsidRDefault="004F6E1D" w:rsidP="00AE569A">
            <w:pPr>
              <w:widowControl w:val="0"/>
              <w:spacing w:after="240"/>
              <w:jc w:val="both"/>
              <w:rPr>
                <w:rFonts w:asciiTheme="minorBidi" w:hAnsiTheme="minorBidi" w:cstheme="minorBidi"/>
                <w:snapToGrid w:val="0"/>
                <w:sz w:val="22"/>
                <w:szCs w:val="22"/>
              </w:rPr>
            </w:pPr>
            <w:bookmarkStart w:id="1" w:name="_Hlk118108432"/>
            <w:r w:rsidRPr="009557EB">
              <w:rPr>
                <w:rFonts w:asciiTheme="minorBidi" w:hAnsiTheme="minorBidi" w:cstheme="minorBidi"/>
                <w:snapToGrid w:val="0"/>
                <w:sz w:val="22"/>
                <w:szCs w:val="22"/>
              </w:rPr>
              <w:t>Renforcement des capacités nationales pour la sauvegarde du patrimoine culturel immatériel et la contribution au développement durable au Kenya</w:t>
            </w:r>
            <w:bookmarkEnd w:id="1"/>
          </w:p>
        </w:tc>
        <w:tc>
          <w:tcPr>
            <w:tcW w:w="3567" w:type="dxa"/>
          </w:tcPr>
          <w:p w14:paraId="21FEE548" w14:textId="55A9D58A" w:rsidR="004F6E1D" w:rsidRPr="009557EB" w:rsidRDefault="00CE33ED" w:rsidP="00AE569A">
            <w:pPr>
              <w:widowControl w:val="0"/>
              <w:spacing w:after="240"/>
              <w:jc w:val="center"/>
              <w:rPr>
                <w:rFonts w:asciiTheme="minorBidi" w:hAnsiTheme="minorBidi" w:cstheme="minorBidi"/>
                <w:snapToGrid w:val="0"/>
                <w:sz w:val="22"/>
                <w:szCs w:val="22"/>
                <w:highlight w:val="yellow"/>
              </w:rPr>
            </w:pPr>
            <w:hyperlink r:id="rId20" w:history="1">
              <w:r w:rsidR="004F6E1D" w:rsidRPr="009557EB">
                <w:rPr>
                  <w:rStyle w:val="Lienhypertexte"/>
                  <w:rFonts w:asciiTheme="minorBidi" w:hAnsiTheme="minorBidi" w:cstheme="minorBidi"/>
                  <w:sz w:val="22"/>
                  <w:szCs w:val="22"/>
                </w:rPr>
                <w:t>Voir la page du projet</w:t>
              </w:r>
              <w:bookmarkStart w:id="2" w:name="_Ref116254153"/>
            </w:hyperlink>
            <w:bookmarkEnd w:id="2"/>
          </w:p>
        </w:tc>
      </w:tr>
      <w:tr w:rsidR="004F6E1D" w:rsidRPr="00D520E9" w14:paraId="0A09EFF5" w14:textId="77777777" w:rsidTr="007D168B">
        <w:trPr>
          <w:cantSplit/>
          <w:trHeight w:val="742"/>
        </w:trPr>
        <w:tc>
          <w:tcPr>
            <w:tcW w:w="5473" w:type="dxa"/>
          </w:tcPr>
          <w:p w14:paraId="2CD292FA" w14:textId="77777777" w:rsidR="004F6E1D" w:rsidRPr="00D520E9" w:rsidRDefault="004F6E1D" w:rsidP="00AE569A">
            <w:pPr>
              <w:widowControl w:val="0"/>
              <w:spacing w:after="240"/>
              <w:jc w:val="both"/>
              <w:rPr>
                <w:rFonts w:asciiTheme="minorBidi" w:hAnsiTheme="minorBidi" w:cstheme="minorBidi"/>
                <w:snapToGrid w:val="0"/>
                <w:sz w:val="22"/>
                <w:szCs w:val="22"/>
              </w:rPr>
            </w:pPr>
            <w:r w:rsidRPr="009557EB">
              <w:rPr>
                <w:rFonts w:asciiTheme="minorBidi" w:hAnsiTheme="minorBidi" w:cstheme="minorBidi"/>
                <w:snapToGrid w:val="0"/>
                <w:sz w:val="22"/>
                <w:szCs w:val="22"/>
              </w:rPr>
              <w:t xml:space="preserve">Renforcement des capacités aux niveaux national et local pour la sauvegarde du patrimoine culturel immatériel en République-Unie de Tanzanie et la contribution au développement durable </w:t>
            </w:r>
          </w:p>
        </w:tc>
        <w:tc>
          <w:tcPr>
            <w:tcW w:w="3567" w:type="dxa"/>
          </w:tcPr>
          <w:p w14:paraId="255D5EC8" w14:textId="6F71FA5A" w:rsidR="004F6E1D" w:rsidRPr="009557EB" w:rsidRDefault="00CE33ED" w:rsidP="00AE569A">
            <w:pPr>
              <w:widowControl w:val="0"/>
              <w:spacing w:after="240"/>
              <w:jc w:val="center"/>
              <w:rPr>
                <w:rFonts w:asciiTheme="minorBidi" w:hAnsiTheme="minorBidi" w:cstheme="minorBidi"/>
                <w:snapToGrid w:val="0"/>
                <w:sz w:val="22"/>
                <w:szCs w:val="22"/>
                <w:highlight w:val="yellow"/>
              </w:rPr>
            </w:pPr>
            <w:hyperlink r:id="rId21" w:history="1">
              <w:r w:rsidR="004F6E1D" w:rsidRPr="009557EB">
                <w:rPr>
                  <w:rStyle w:val="Lienhypertexte"/>
                  <w:rFonts w:asciiTheme="minorBidi" w:hAnsiTheme="minorBidi" w:cstheme="minorBidi"/>
                  <w:sz w:val="22"/>
                  <w:szCs w:val="22"/>
                </w:rPr>
                <w:t>Voir la page du projet</w:t>
              </w:r>
            </w:hyperlink>
          </w:p>
        </w:tc>
      </w:tr>
      <w:tr w:rsidR="004F6E1D" w:rsidRPr="00D520E9" w14:paraId="4A9E88B5" w14:textId="77777777" w:rsidTr="007D168B">
        <w:trPr>
          <w:cantSplit/>
          <w:trHeight w:val="742"/>
        </w:trPr>
        <w:tc>
          <w:tcPr>
            <w:tcW w:w="5473" w:type="dxa"/>
          </w:tcPr>
          <w:p w14:paraId="6C1812EF" w14:textId="57603B8C" w:rsidR="004F6E1D" w:rsidRPr="009557EB" w:rsidRDefault="004F6E1D" w:rsidP="00AE569A">
            <w:pPr>
              <w:widowControl w:val="0"/>
              <w:spacing w:after="240"/>
              <w:jc w:val="both"/>
              <w:rPr>
                <w:rFonts w:asciiTheme="minorBidi" w:hAnsiTheme="minorBidi" w:cstheme="minorBidi"/>
                <w:snapToGrid w:val="0"/>
                <w:sz w:val="22"/>
                <w:szCs w:val="22"/>
              </w:rPr>
            </w:pPr>
            <w:r>
              <w:rPr>
                <w:rFonts w:asciiTheme="minorBidi" w:hAnsiTheme="minorBidi" w:cstheme="minorBidi"/>
                <w:snapToGrid w:val="0"/>
                <w:sz w:val="22"/>
                <w:szCs w:val="22"/>
              </w:rPr>
              <w:t xml:space="preserve">Renforcement des capacités </w:t>
            </w:r>
            <w:r w:rsidR="000A1206">
              <w:rPr>
                <w:rFonts w:asciiTheme="minorBidi" w:hAnsiTheme="minorBidi" w:cstheme="minorBidi"/>
                <w:snapToGrid w:val="0"/>
                <w:sz w:val="22"/>
                <w:szCs w:val="22"/>
              </w:rPr>
              <w:t>de</w:t>
            </w:r>
            <w:r>
              <w:rPr>
                <w:rFonts w:asciiTheme="minorBidi" w:hAnsiTheme="minorBidi" w:cstheme="minorBidi"/>
                <w:snapToGrid w:val="0"/>
                <w:sz w:val="22"/>
                <w:szCs w:val="22"/>
              </w:rPr>
              <w:t xml:space="preserve"> préparation de</w:t>
            </w:r>
            <w:r w:rsidR="000A1206">
              <w:rPr>
                <w:rFonts w:asciiTheme="minorBidi" w:hAnsiTheme="minorBidi" w:cstheme="minorBidi"/>
                <w:snapToGrid w:val="0"/>
                <w:sz w:val="22"/>
                <w:szCs w:val="22"/>
              </w:rPr>
              <w:t>s</w:t>
            </w:r>
            <w:r>
              <w:rPr>
                <w:rFonts w:asciiTheme="minorBidi" w:hAnsiTheme="minorBidi" w:cstheme="minorBidi"/>
                <w:snapToGrid w:val="0"/>
                <w:sz w:val="22"/>
                <w:szCs w:val="22"/>
              </w:rPr>
              <w:t xml:space="preserve"> dossiers </w:t>
            </w:r>
            <w:r w:rsidR="000A1206">
              <w:rPr>
                <w:rFonts w:asciiTheme="minorBidi" w:hAnsiTheme="minorBidi" w:cstheme="minorBidi"/>
                <w:snapToGrid w:val="0"/>
                <w:sz w:val="22"/>
                <w:szCs w:val="22"/>
              </w:rPr>
              <w:t xml:space="preserve">de candidature pour </w:t>
            </w:r>
            <w:r>
              <w:rPr>
                <w:rFonts w:asciiTheme="minorBidi" w:hAnsiTheme="minorBidi" w:cstheme="minorBidi"/>
                <w:snapToGrid w:val="0"/>
                <w:sz w:val="22"/>
                <w:szCs w:val="22"/>
              </w:rPr>
              <w:t xml:space="preserve">les Listes de la Convention de 2003 dans les </w:t>
            </w:r>
            <w:r w:rsidR="000A1206">
              <w:rPr>
                <w:rFonts w:asciiTheme="minorBidi" w:hAnsiTheme="minorBidi" w:cstheme="minorBidi"/>
                <w:snapToGrid w:val="0"/>
                <w:sz w:val="22"/>
                <w:szCs w:val="22"/>
              </w:rPr>
              <w:t>p</w:t>
            </w:r>
            <w:r>
              <w:rPr>
                <w:rFonts w:asciiTheme="minorBidi" w:hAnsiTheme="minorBidi" w:cstheme="minorBidi"/>
                <w:snapToGrid w:val="0"/>
                <w:sz w:val="22"/>
                <w:szCs w:val="22"/>
              </w:rPr>
              <w:t xml:space="preserve">etits États </w:t>
            </w:r>
            <w:r w:rsidR="000A1206">
              <w:rPr>
                <w:rFonts w:asciiTheme="minorBidi" w:hAnsiTheme="minorBidi" w:cstheme="minorBidi"/>
                <w:snapToGrid w:val="0"/>
                <w:sz w:val="22"/>
                <w:szCs w:val="22"/>
              </w:rPr>
              <w:t>i</w:t>
            </w:r>
            <w:r>
              <w:rPr>
                <w:rFonts w:asciiTheme="minorBidi" w:hAnsiTheme="minorBidi" w:cstheme="minorBidi"/>
                <w:snapToGrid w:val="0"/>
                <w:sz w:val="22"/>
                <w:szCs w:val="22"/>
              </w:rPr>
              <w:t xml:space="preserve">nsulaires </w:t>
            </w:r>
            <w:r w:rsidR="000A1206">
              <w:rPr>
                <w:rFonts w:asciiTheme="minorBidi" w:hAnsiTheme="minorBidi" w:cstheme="minorBidi"/>
                <w:snapToGrid w:val="0"/>
                <w:sz w:val="22"/>
                <w:szCs w:val="22"/>
              </w:rPr>
              <w:t xml:space="preserve">et </w:t>
            </w:r>
            <w:r>
              <w:rPr>
                <w:rFonts w:asciiTheme="minorBidi" w:hAnsiTheme="minorBidi" w:cstheme="minorBidi"/>
                <w:snapToGrid w:val="0"/>
                <w:sz w:val="22"/>
                <w:szCs w:val="22"/>
              </w:rPr>
              <w:t xml:space="preserve">en </w:t>
            </w:r>
            <w:r w:rsidR="000A1206">
              <w:rPr>
                <w:rFonts w:asciiTheme="minorBidi" w:hAnsiTheme="minorBidi" w:cstheme="minorBidi"/>
                <w:snapToGrid w:val="0"/>
                <w:sz w:val="22"/>
                <w:szCs w:val="22"/>
              </w:rPr>
              <w:t>d</w:t>
            </w:r>
            <w:r>
              <w:rPr>
                <w:rFonts w:asciiTheme="minorBidi" w:hAnsiTheme="minorBidi" w:cstheme="minorBidi"/>
                <w:snapToGrid w:val="0"/>
                <w:sz w:val="22"/>
                <w:szCs w:val="22"/>
              </w:rPr>
              <w:t>éveloppement (PEID) en Amérique Latine et aux Caraïbes</w:t>
            </w:r>
          </w:p>
        </w:tc>
        <w:tc>
          <w:tcPr>
            <w:tcW w:w="3567" w:type="dxa"/>
          </w:tcPr>
          <w:p w14:paraId="729B4B24" w14:textId="4A443CE0" w:rsidR="004F6E1D" w:rsidRPr="009557EB" w:rsidRDefault="00CE33ED" w:rsidP="00AE569A">
            <w:pPr>
              <w:widowControl w:val="0"/>
              <w:spacing w:after="240"/>
              <w:jc w:val="center"/>
              <w:rPr>
                <w:rFonts w:asciiTheme="minorBidi" w:hAnsiTheme="minorBidi" w:cstheme="minorBidi"/>
                <w:snapToGrid w:val="0"/>
                <w:sz w:val="22"/>
                <w:szCs w:val="22"/>
                <w:highlight w:val="yellow"/>
              </w:rPr>
            </w:pPr>
            <w:hyperlink r:id="rId22" w:history="1">
              <w:r w:rsidR="004F6E1D" w:rsidRPr="00961589">
                <w:rPr>
                  <w:rStyle w:val="Lienhypertexte"/>
                  <w:rFonts w:asciiTheme="minorBidi" w:hAnsiTheme="minorBidi" w:cstheme="minorBidi"/>
                  <w:snapToGrid w:val="0"/>
                  <w:sz w:val="22"/>
                  <w:szCs w:val="22"/>
                </w:rPr>
                <w:t>Voir la page du projet</w:t>
              </w:r>
            </w:hyperlink>
            <w:r w:rsidR="004F6E1D" w:rsidRPr="004F6E1D">
              <w:rPr>
                <w:rFonts w:asciiTheme="minorBidi" w:hAnsiTheme="minorBidi" w:cstheme="minorBidi"/>
                <w:snapToGrid w:val="0"/>
                <w:sz w:val="22"/>
                <w:szCs w:val="22"/>
              </w:rPr>
              <w:t xml:space="preserve"> </w:t>
            </w:r>
          </w:p>
        </w:tc>
      </w:tr>
      <w:tr w:rsidR="004F6E1D" w:rsidRPr="00D520E9" w14:paraId="5A84440D" w14:textId="77777777" w:rsidTr="007D168B">
        <w:trPr>
          <w:cantSplit/>
          <w:trHeight w:val="712"/>
        </w:trPr>
        <w:tc>
          <w:tcPr>
            <w:tcW w:w="9040" w:type="dxa"/>
            <w:gridSpan w:val="2"/>
          </w:tcPr>
          <w:p w14:paraId="3A47408D" w14:textId="77777777" w:rsidR="004F6E1D" w:rsidRPr="00D520E9" w:rsidRDefault="004F6E1D" w:rsidP="00AE569A">
            <w:pPr>
              <w:widowControl w:val="0"/>
              <w:spacing w:after="240"/>
              <w:rPr>
                <w:rFonts w:asciiTheme="minorBidi" w:hAnsiTheme="minorBidi" w:cstheme="minorBidi"/>
                <w:b/>
                <w:bCs/>
                <w:snapToGrid w:val="0"/>
                <w:sz w:val="22"/>
                <w:szCs w:val="22"/>
                <w:highlight w:val="yellow"/>
              </w:rPr>
            </w:pPr>
            <w:r w:rsidRPr="00D520E9">
              <w:rPr>
                <w:rFonts w:asciiTheme="minorBidi" w:hAnsiTheme="minorBidi" w:cstheme="minorBidi"/>
                <w:b/>
                <w:bCs/>
                <w:snapToGrid w:val="0"/>
                <w:sz w:val="22"/>
                <w:szCs w:val="22"/>
              </w:rPr>
              <w:t>Priorité 2 : Sauvegarde du patrimoine culturel immatériel dans l’éducation formelle et non formelle</w:t>
            </w:r>
          </w:p>
        </w:tc>
      </w:tr>
      <w:tr w:rsidR="004F6E1D" w:rsidRPr="00D520E9" w14:paraId="62DC7B3E" w14:textId="77777777" w:rsidTr="007D168B">
        <w:trPr>
          <w:cantSplit/>
          <w:trHeight w:val="601"/>
        </w:trPr>
        <w:tc>
          <w:tcPr>
            <w:tcW w:w="5473" w:type="dxa"/>
          </w:tcPr>
          <w:p w14:paraId="1F3396F8" w14:textId="77777777" w:rsidR="004F6E1D" w:rsidRPr="00D520E9" w:rsidRDefault="004F6E1D" w:rsidP="00AE569A">
            <w:pPr>
              <w:widowControl w:val="0"/>
              <w:spacing w:after="240"/>
              <w:jc w:val="both"/>
              <w:rPr>
                <w:rFonts w:asciiTheme="minorBidi" w:hAnsiTheme="minorBidi" w:cstheme="minorBidi"/>
                <w:snapToGrid w:val="0"/>
                <w:sz w:val="22"/>
                <w:szCs w:val="22"/>
              </w:rPr>
            </w:pPr>
            <w:r w:rsidRPr="009557EB">
              <w:rPr>
                <w:rFonts w:asciiTheme="minorBidi" w:hAnsiTheme="minorBidi" w:cstheme="minorBidi"/>
                <w:snapToGrid w:val="0"/>
                <w:sz w:val="22"/>
                <w:szCs w:val="22"/>
              </w:rPr>
              <w:t>Sauvegarde du patrimoine culturel immatériel dans le cadre de l’éducation formelle et non formelle en Amérique latine et dans les Caraïbes</w:t>
            </w:r>
          </w:p>
        </w:tc>
        <w:tc>
          <w:tcPr>
            <w:tcW w:w="3567" w:type="dxa"/>
          </w:tcPr>
          <w:p w14:paraId="19335F52" w14:textId="0F5D7DB7" w:rsidR="004F6E1D" w:rsidRPr="00D520E9" w:rsidRDefault="00CE33ED" w:rsidP="00AE569A">
            <w:pPr>
              <w:widowControl w:val="0"/>
              <w:spacing w:after="240"/>
              <w:jc w:val="center"/>
              <w:rPr>
                <w:rFonts w:asciiTheme="minorBidi" w:hAnsiTheme="minorBidi" w:cstheme="minorBidi"/>
                <w:snapToGrid w:val="0"/>
                <w:sz w:val="22"/>
                <w:szCs w:val="22"/>
                <w:highlight w:val="yellow"/>
              </w:rPr>
            </w:pPr>
            <w:hyperlink r:id="rId23" w:history="1">
              <w:r w:rsidR="004F6E1D" w:rsidRPr="00D520E9">
                <w:rPr>
                  <w:rStyle w:val="Lienhypertexte"/>
                  <w:rFonts w:asciiTheme="minorBidi" w:hAnsiTheme="minorBidi" w:cstheme="minorBidi"/>
                  <w:snapToGrid w:val="0"/>
                  <w:sz w:val="22"/>
                  <w:szCs w:val="22"/>
                </w:rPr>
                <w:t>Voir la page du projet</w:t>
              </w:r>
            </w:hyperlink>
          </w:p>
        </w:tc>
      </w:tr>
      <w:tr w:rsidR="004F6E1D" w:rsidRPr="00D520E9" w14:paraId="13C3DF59" w14:textId="77777777" w:rsidTr="007D168B">
        <w:trPr>
          <w:cantSplit/>
          <w:trHeight w:val="1274"/>
        </w:trPr>
        <w:tc>
          <w:tcPr>
            <w:tcW w:w="5473" w:type="dxa"/>
          </w:tcPr>
          <w:p w14:paraId="3F70EB0A" w14:textId="77777777" w:rsidR="004F6E1D" w:rsidRPr="00D520E9" w:rsidRDefault="004F6E1D" w:rsidP="00AE569A">
            <w:pPr>
              <w:widowControl w:val="0"/>
              <w:spacing w:after="240"/>
              <w:jc w:val="both"/>
              <w:rPr>
                <w:rFonts w:asciiTheme="minorBidi" w:hAnsiTheme="minorBidi" w:cstheme="minorBidi"/>
                <w:snapToGrid w:val="0"/>
                <w:sz w:val="22"/>
                <w:szCs w:val="22"/>
              </w:rPr>
            </w:pPr>
            <w:r w:rsidRPr="009557EB">
              <w:rPr>
                <w:rFonts w:asciiTheme="minorBidi" w:hAnsiTheme="minorBidi" w:cstheme="minorBidi"/>
                <w:snapToGrid w:val="0"/>
                <w:sz w:val="22"/>
                <w:szCs w:val="22"/>
              </w:rPr>
              <w:t>Le patrimoine vivant et les objectifs de développement durable : sauvegarde du patrimoine culturel immatériel dans le cadre de l’éducation formelle et non formelle dans la région Asie-Pacifique et en Afrique</w:t>
            </w:r>
          </w:p>
        </w:tc>
        <w:tc>
          <w:tcPr>
            <w:tcW w:w="3567" w:type="dxa"/>
          </w:tcPr>
          <w:p w14:paraId="69F5BF96" w14:textId="10AC9DB7" w:rsidR="004F6E1D" w:rsidRPr="00D520E9" w:rsidRDefault="00CE33ED" w:rsidP="00AE569A">
            <w:pPr>
              <w:widowControl w:val="0"/>
              <w:spacing w:after="240"/>
              <w:jc w:val="center"/>
              <w:rPr>
                <w:rFonts w:asciiTheme="minorBidi" w:hAnsiTheme="minorBidi" w:cstheme="minorBidi"/>
                <w:snapToGrid w:val="0"/>
                <w:sz w:val="22"/>
                <w:szCs w:val="22"/>
                <w:highlight w:val="yellow"/>
              </w:rPr>
            </w:pPr>
            <w:hyperlink r:id="rId24" w:history="1">
              <w:r w:rsidR="004F6E1D" w:rsidRPr="00D520E9">
                <w:rPr>
                  <w:rStyle w:val="Lienhypertexte"/>
                  <w:rFonts w:asciiTheme="minorBidi" w:hAnsiTheme="minorBidi" w:cstheme="minorBidi"/>
                  <w:snapToGrid w:val="0"/>
                  <w:sz w:val="22"/>
                  <w:szCs w:val="22"/>
                </w:rPr>
                <w:t>Voir la page du projet</w:t>
              </w:r>
            </w:hyperlink>
          </w:p>
        </w:tc>
      </w:tr>
    </w:tbl>
    <w:p w14:paraId="0A62B9E5" w14:textId="503F9AC6" w:rsidR="00E47AD3" w:rsidRPr="006D5C0F" w:rsidRDefault="006D5C0F" w:rsidP="00AE569A">
      <w:pPr>
        <w:pStyle w:val="COMParabodytext"/>
        <w:widowControl w:val="0"/>
        <w:numPr>
          <w:ilvl w:val="0"/>
          <w:numId w:val="19"/>
        </w:numPr>
        <w:tabs>
          <w:tab w:val="clear" w:pos="567"/>
          <w:tab w:val="left" w:pos="993"/>
        </w:tabs>
        <w:spacing w:before="240"/>
        <w:ind w:left="567" w:hanging="567"/>
        <w:jc w:val="left"/>
        <w:rPr>
          <w:b/>
          <w:bCs/>
          <w:lang w:val="fr-FR"/>
        </w:rPr>
      </w:pPr>
      <w:r w:rsidRPr="006D5C0F">
        <w:rPr>
          <w:b/>
          <w:bCs/>
          <w:lang w:val="fr-FR"/>
        </w:rPr>
        <w:lastRenderedPageBreak/>
        <w:t>Projets et activités soutenus p</w:t>
      </w:r>
      <w:r>
        <w:rPr>
          <w:b/>
          <w:bCs/>
          <w:lang w:val="fr-FR"/>
        </w:rPr>
        <w:t>ar d’autres types de contributions volontaires</w:t>
      </w:r>
      <w:r w:rsidR="00B52C79">
        <w:rPr>
          <w:rStyle w:val="Appelnotedebasdep"/>
          <w:b/>
          <w:bCs/>
          <w:lang w:val="fr-FR"/>
        </w:rPr>
        <w:footnoteReference w:id="3"/>
      </w:r>
    </w:p>
    <w:p w14:paraId="71C9ADFF" w14:textId="1BD8C9B1" w:rsidR="0039554E" w:rsidRDefault="00FF380D" w:rsidP="00AE569A">
      <w:pPr>
        <w:pStyle w:val="COMParabodytext"/>
        <w:widowControl w:val="0"/>
        <w:numPr>
          <w:ilvl w:val="0"/>
          <w:numId w:val="25"/>
        </w:numPr>
        <w:ind w:left="567" w:hanging="567"/>
        <w:rPr>
          <w:lang w:val="fr-FR"/>
        </w:rPr>
      </w:pPr>
      <w:r>
        <w:rPr>
          <w:lang w:val="fr-FR"/>
        </w:rPr>
        <w:t xml:space="preserve">En </w:t>
      </w:r>
      <w:r w:rsidR="003152F5">
        <w:rPr>
          <w:lang w:val="fr-FR"/>
        </w:rPr>
        <w:t xml:space="preserve">plus des contributions volontaires supplémentaires au Fonds, mentionnées dans la première </w:t>
      </w:r>
      <w:r w:rsidR="00B80B0C">
        <w:rPr>
          <w:lang w:val="fr-FR"/>
        </w:rPr>
        <w:t xml:space="preserve">section </w:t>
      </w:r>
      <w:r w:rsidR="003152F5">
        <w:rPr>
          <w:lang w:val="fr-FR"/>
        </w:rPr>
        <w:t>de ce document, l’UNESCO a reçu d’autres formes de soutien affecté</w:t>
      </w:r>
      <w:r w:rsidR="008E0E01">
        <w:rPr>
          <w:lang w:val="fr-FR"/>
        </w:rPr>
        <w:t>e</w:t>
      </w:r>
      <w:r w:rsidR="003152F5">
        <w:rPr>
          <w:lang w:val="fr-FR"/>
        </w:rPr>
        <w:t xml:space="preserve">s à des projets et </w:t>
      </w:r>
      <w:r w:rsidR="00DC5836">
        <w:rPr>
          <w:lang w:val="fr-FR"/>
        </w:rPr>
        <w:t>activités</w:t>
      </w:r>
      <w:r w:rsidR="003152F5">
        <w:rPr>
          <w:lang w:val="fr-FR"/>
        </w:rPr>
        <w:t xml:space="preserve"> visant à sauvegarder et à promouvoir le patrimoine vivant. </w:t>
      </w:r>
      <w:r w:rsidR="003152F5" w:rsidRPr="003152F5">
        <w:rPr>
          <w:lang w:val="fr-FR"/>
        </w:rPr>
        <w:t xml:space="preserve">Afin de donner un aperçu complet du soutien reçu par la Convention à travers différentes modalités et refléter la diversité des projets soutenus par les donateurs, cette section présente les différents projets considérés comme </w:t>
      </w:r>
      <w:r w:rsidR="00DC5836">
        <w:rPr>
          <w:lang w:val="fr-FR"/>
        </w:rPr>
        <w:t>« </w:t>
      </w:r>
      <w:r w:rsidR="003152F5" w:rsidRPr="003152F5">
        <w:rPr>
          <w:lang w:val="fr-FR"/>
        </w:rPr>
        <w:t>actifs</w:t>
      </w:r>
      <w:r w:rsidR="00DC5836">
        <w:rPr>
          <w:rStyle w:val="Appelnotedebasdep"/>
          <w:lang w:val="fr-FR"/>
        </w:rPr>
        <w:footnoteReference w:id="4"/>
      </w:r>
      <w:r w:rsidR="00DC5836">
        <w:rPr>
          <w:lang w:val="fr-FR"/>
        </w:rPr>
        <w:t> »</w:t>
      </w:r>
      <w:r w:rsidR="003152F5" w:rsidRPr="003152F5">
        <w:rPr>
          <w:lang w:val="fr-FR"/>
        </w:rPr>
        <w:t xml:space="preserve"> durant la période allant du 1er janvier au 30 juin 2023.</w:t>
      </w:r>
    </w:p>
    <w:p w14:paraId="66BBD030" w14:textId="66BE3974" w:rsidR="00DC5836" w:rsidRDefault="003152F5" w:rsidP="0039554E">
      <w:pPr>
        <w:pStyle w:val="COMParabodytext"/>
        <w:numPr>
          <w:ilvl w:val="0"/>
          <w:numId w:val="25"/>
        </w:numPr>
        <w:ind w:left="567" w:hanging="567"/>
        <w:rPr>
          <w:lang w:val="fr-FR"/>
        </w:rPr>
      </w:pPr>
      <w:r w:rsidRPr="0039554E">
        <w:rPr>
          <w:lang w:val="fr-FR"/>
        </w:rPr>
        <w:t xml:space="preserve">Au cours de cette </w:t>
      </w:r>
      <w:r w:rsidRPr="00961589">
        <w:rPr>
          <w:lang w:val="fr-FR"/>
        </w:rPr>
        <w:t xml:space="preserve">période, </w:t>
      </w:r>
      <w:r w:rsidR="0032512A" w:rsidRPr="00961589">
        <w:rPr>
          <w:lang w:val="fr-FR"/>
        </w:rPr>
        <w:t>dix-neuf</w:t>
      </w:r>
      <w:r w:rsidRPr="00961589">
        <w:rPr>
          <w:lang w:val="fr-FR"/>
        </w:rPr>
        <w:t xml:space="preserve"> nouveaux projets et activités ont été</w:t>
      </w:r>
      <w:r w:rsidRPr="0039554E">
        <w:rPr>
          <w:lang w:val="fr-FR"/>
        </w:rPr>
        <w:t xml:space="preserve"> lancés</w:t>
      </w:r>
      <w:r w:rsidR="0039554E">
        <w:rPr>
          <w:lang w:val="fr-FR"/>
        </w:rPr>
        <w:t xml:space="preserve"> </w:t>
      </w:r>
      <w:r w:rsidRPr="0039554E">
        <w:rPr>
          <w:lang w:val="fr-FR"/>
        </w:rPr>
        <w:t>; ils sont indiqués par un astérisque (*) ci-dessous.</w:t>
      </w:r>
      <w:r w:rsidR="00105D3F">
        <w:rPr>
          <w:lang w:val="fr-FR"/>
        </w:rPr>
        <w:t xml:space="preserve"> </w:t>
      </w:r>
      <w:r w:rsidR="00B74DEF">
        <w:rPr>
          <w:lang w:val="fr-FR"/>
        </w:rPr>
        <w:t>L</w:t>
      </w:r>
      <w:r w:rsidR="00DC5836" w:rsidRPr="0039554E">
        <w:rPr>
          <w:lang w:val="fr-FR"/>
        </w:rPr>
        <w:t>e nombre et la portée géographique de ces initiatives témoignent de l’ampleur des actions en cours visant à améliorer la mise en œuvre de la Convention par les États parties et les communautés et du soutien généreux apporté par un large éventail de donateurs à l’action de l’UNESCO aux niveaux mondial, régional et national.</w:t>
      </w:r>
    </w:p>
    <w:p w14:paraId="26C17534" w14:textId="197E63E3" w:rsidR="00B74DEF" w:rsidRPr="0039554E" w:rsidRDefault="00B74DEF" w:rsidP="0039554E">
      <w:pPr>
        <w:pStyle w:val="COMParabodytext"/>
        <w:numPr>
          <w:ilvl w:val="0"/>
          <w:numId w:val="25"/>
        </w:numPr>
        <w:ind w:left="567" w:hanging="567"/>
        <w:rPr>
          <w:lang w:val="fr-FR"/>
        </w:rPr>
      </w:pPr>
      <w:r w:rsidRPr="00B74DEF">
        <w:rPr>
          <w:lang w:val="fr-FR"/>
        </w:rPr>
        <w:t xml:space="preserve">Alors que les contributions volontaires supplémentaires au Fonds sont restées relativement faibles au cours du présent exercice biennal, le programme de renforcement des capacités (priorité 1) continue de bénéficier d'un soutien important grâce à d'autres modalités de financement. Ces </w:t>
      </w:r>
      <w:r>
        <w:rPr>
          <w:lang w:val="fr-FR"/>
        </w:rPr>
        <w:t>vingt-neuf</w:t>
      </w:r>
      <w:r w:rsidRPr="00B74DEF">
        <w:rPr>
          <w:lang w:val="fr-FR"/>
        </w:rPr>
        <w:t xml:space="preserve"> projets et activités, souvent mis en œuvre directement par les bureaux </w:t>
      </w:r>
      <w:r>
        <w:rPr>
          <w:lang w:val="fr-FR"/>
        </w:rPr>
        <w:t>hors-siège</w:t>
      </w:r>
      <w:r w:rsidRPr="00B74DEF">
        <w:rPr>
          <w:lang w:val="fr-FR"/>
        </w:rPr>
        <w:t xml:space="preserve"> de l'UNESCO en coopération avec les autorités nationales, complètent les activités en amont au niveau mondial</w:t>
      </w:r>
      <w:r w:rsidR="00CE33ED">
        <w:rPr>
          <w:lang w:val="fr-FR"/>
        </w:rPr>
        <w:t> </w:t>
      </w:r>
      <w:r w:rsidRPr="00B74DEF">
        <w:rPr>
          <w:lang w:val="fr-FR"/>
        </w:rPr>
        <w:t>:</w:t>
      </w:r>
    </w:p>
    <w:p w14:paraId="2925B8E4" w14:textId="1AABE4F7" w:rsidR="00175FBA" w:rsidRPr="00175FBA" w:rsidRDefault="00175FBA" w:rsidP="00175FBA">
      <w:pPr>
        <w:numPr>
          <w:ilvl w:val="1"/>
          <w:numId w:val="23"/>
        </w:numPr>
        <w:spacing w:after="120"/>
        <w:ind w:left="1134" w:hanging="567"/>
        <w:jc w:val="both"/>
        <w:rPr>
          <w:rFonts w:asciiTheme="minorBidi" w:hAnsiTheme="minorBidi" w:cstheme="minorBidi"/>
          <w:sz w:val="22"/>
          <w:szCs w:val="22"/>
        </w:rPr>
      </w:pPr>
      <w:r w:rsidRPr="00D520E9">
        <w:rPr>
          <w:rFonts w:asciiTheme="minorBidi" w:hAnsiTheme="minorBidi"/>
          <w:snapToGrid w:val="0"/>
          <w:color w:val="000000"/>
          <w:sz w:val="22"/>
        </w:rPr>
        <w:t xml:space="preserve">Des accords de fonds-en-dépôt autofinancés </w:t>
      </w:r>
      <w:r w:rsidR="00B74DEF">
        <w:rPr>
          <w:rFonts w:asciiTheme="minorBidi" w:hAnsiTheme="minorBidi"/>
          <w:snapToGrid w:val="0"/>
          <w:color w:val="000000"/>
          <w:sz w:val="22"/>
        </w:rPr>
        <w:t>ont permis</w:t>
      </w:r>
      <w:r w:rsidR="00B74DEF" w:rsidRPr="00D520E9">
        <w:rPr>
          <w:rFonts w:asciiTheme="minorBidi" w:hAnsiTheme="minorBidi"/>
          <w:snapToGrid w:val="0"/>
          <w:color w:val="000000"/>
          <w:sz w:val="22"/>
        </w:rPr>
        <w:t xml:space="preserve"> </w:t>
      </w:r>
      <w:r w:rsidRPr="00D520E9">
        <w:rPr>
          <w:rFonts w:asciiTheme="minorBidi" w:hAnsiTheme="minorBidi"/>
          <w:snapToGrid w:val="0"/>
          <w:color w:val="000000"/>
          <w:sz w:val="22"/>
        </w:rPr>
        <w:t>la mise en œuvre de quatre</w:t>
      </w:r>
      <w:r w:rsidRPr="00D520E9">
        <w:rPr>
          <w:rFonts w:asciiTheme="minorBidi" w:hAnsiTheme="minorBidi"/>
          <w:snapToGrid w:val="0"/>
          <w:color w:val="000000"/>
          <w:sz w:val="22"/>
          <w:u w:val="single"/>
        </w:rPr>
        <w:t xml:space="preserve"> </w:t>
      </w:r>
      <w:r w:rsidRPr="00D520E9">
        <w:rPr>
          <w:rFonts w:asciiTheme="minorBidi" w:hAnsiTheme="minorBidi"/>
          <w:snapToGrid w:val="0"/>
          <w:color w:val="000000"/>
          <w:sz w:val="22"/>
        </w:rPr>
        <w:t>projets grâce aux contributions du Bénin (bureau d’Abuja), du Brésil (bureau de Brasilia) et du Maroc (bureau de Rabat, deux projets)</w:t>
      </w:r>
      <w:r w:rsidR="00CE33ED">
        <w:rPr>
          <w:rFonts w:asciiTheme="minorBidi" w:hAnsiTheme="minorBidi"/>
          <w:snapToGrid w:val="0"/>
          <w:color w:val="000000"/>
          <w:sz w:val="22"/>
        </w:rPr>
        <w:t> </w:t>
      </w:r>
      <w:r w:rsidRPr="00D520E9">
        <w:rPr>
          <w:rFonts w:asciiTheme="minorBidi" w:hAnsiTheme="minorBidi"/>
          <w:snapToGrid w:val="0"/>
          <w:color w:val="000000"/>
          <w:sz w:val="22"/>
        </w:rPr>
        <w:t>;</w:t>
      </w:r>
    </w:p>
    <w:p w14:paraId="2D9527A0" w14:textId="1D15249D" w:rsidR="00175FBA" w:rsidRPr="00766F40" w:rsidRDefault="00175FBA" w:rsidP="00175FBA">
      <w:pPr>
        <w:numPr>
          <w:ilvl w:val="1"/>
          <w:numId w:val="23"/>
        </w:numPr>
        <w:spacing w:after="120"/>
        <w:ind w:left="1134" w:hanging="567"/>
        <w:jc w:val="both"/>
        <w:rPr>
          <w:rFonts w:asciiTheme="minorBidi" w:hAnsiTheme="minorBidi" w:cstheme="minorBidi"/>
          <w:sz w:val="22"/>
          <w:szCs w:val="22"/>
        </w:rPr>
      </w:pPr>
      <w:r w:rsidRPr="00175FBA">
        <w:rPr>
          <w:rFonts w:asciiTheme="minorBidi" w:hAnsiTheme="minorBidi" w:cstheme="minorBidi"/>
          <w:sz w:val="22"/>
          <w:szCs w:val="22"/>
        </w:rPr>
        <w:t>D’autres accords de fonds-en-</w:t>
      </w:r>
      <w:r w:rsidRPr="001757FA">
        <w:rPr>
          <w:rFonts w:asciiTheme="minorBidi" w:hAnsiTheme="minorBidi" w:cstheme="minorBidi"/>
          <w:sz w:val="22"/>
          <w:szCs w:val="22"/>
        </w:rPr>
        <w:t>dépôt établis</w:t>
      </w:r>
      <w:r w:rsidRPr="00175FBA">
        <w:rPr>
          <w:rFonts w:asciiTheme="minorBidi" w:hAnsiTheme="minorBidi" w:cstheme="minorBidi"/>
          <w:sz w:val="22"/>
          <w:szCs w:val="22"/>
        </w:rPr>
        <w:t xml:space="preserve"> avec </w:t>
      </w:r>
      <w:r w:rsidR="00B74DEF">
        <w:rPr>
          <w:rFonts w:asciiTheme="minorBidi" w:hAnsiTheme="minorBidi" w:cstheme="minorBidi"/>
          <w:sz w:val="22"/>
          <w:szCs w:val="22"/>
        </w:rPr>
        <w:t>le Japon</w:t>
      </w:r>
      <w:r>
        <w:rPr>
          <w:rFonts w:asciiTheme="minorBidi" w:hAnsiTheme="minorBidi" w:cstheme="minorBidi"/>
          <w:sz w:val="22"/>
          <w:szCs w:val="22"/>
        </w:rPr>
        <w:t xml:space="preserve"> (Siège,</w:t>
      </w:r>
      <w:r w:rsidR="00B74DEF">
        <w:rPr>
          <w:rFonts w:asciiTheme="minorBidi" w:hAnsiTheme="minorBidi" w:cstheme="minorBidi"/>
          <w:sz w:val="22"/>
          <w:szCs w:val="22"/>
        </w:rPr>
        <w:t xml:space="preserve"> bureau de Beyrouth</w:t>
      </w:r>
      <w:r>
        <w:rPr>
          <w:rFonts w:asciiTheme="minorBidi" w:hAnsiTheme="minorBidi" w:cstheme="minorBidi"/>
          <w:sz w:val="22"/>
          <w:szCs w:val="22"/>
        </w:rPr>
        <w:t xml:space="preserve">), </w:t>
      </w:r>
      <w:r w:rsidR="00B74DEF">
        <w:rPr>
          <w:rFonts w:asciiTheme="minorBidi" w:hAnsiTheme="minorBidi" w:cstheme="minorBidi"/>
          <w:sz w:val="22"/>
          <w:szCs w:val="22"/>
        </w:rPr>
        <w:t xml:space="preserve">l’Arabie Saoudite </w:t>
      </w:r>
      <w:r w:rsidRPr="00175FBA">
        <w:rPr>
          <w:rFonts w:asciiTheme="minorBidi" w:hAnsiTheme="minorBidi" w:cstheme="minorBidi"/>
          <w:sz w:val="22"/>
          <w:szCs w:val="22"/>
        </w:rPr>
        <w:t>(Siège</w:t>
      </w:r>
      <w:r w:rsidR="00B74DEF">
        <w:rPr>
          <w:rFonts w:asciiTheme="minorBidi" w:hAnsiTheme="minorBidi" w:cstheme="minorBidi"/>
          <w:sz w:val="22"/>
          <w:szCs w:val="22"/>
        </w:rPr>
        <w:t>*</w:t>
      </w:r>
      <w:r w:rsidRPr="00175FBA">
        <w:rPr>
          <w:rFonts w:asciiTheme="minorBidi" w:hAnsiTheme="minorBidi" w:cstheme="minorBidi"/>
          <w:sz w:val="22"/>
          <w:szCs w:val="22"/>
        </w:rPr>
        <w:t xml:space="preserve">, </w:t>
      </w:r>
      <w:r w:rsidR="00B74DEF">
        <w:rPr>
          <w:rFonts w:asciiTheme="minorBidi" w:hAnsiTheme="minorBidi" w:cstheme="minorBidi"/>
          <w:sz w:val="22"/>
          <w:szCs w:val="22"/>
        </w:rPr>
        <w:t>deux projets</w:t>
      </w:r>
      <w:r w:rsidRPr="00175FBA">
        <w:rPr>
          <w:rFonts w:asciiTheme="minorBidi" w:hAnsiTheme="minorBidi" w:cstheme="minorBidi"/>
          <w:sz w:val="22"/>
          <w:szCs w:val="22"/>
        </w:rPr>
        <w:t xml:space="preserve">), l’Université des Nations unies (bureau de Bangkok) et le secteur privé de la République populaire de Chine (Siège, deux projets). Ces contributions soutiennent la mise en œuvre </w:t>
      </w:r>
      <w:r w:rsidRPr="00C94C37">
        <w:rPr>
          <w:rFonts w:asciiTheme="minorBidi" w:hAnsiTheme="minorBidi" w:cstheme="minorBidi"/>
          <w:sz w:val="22"/>
          <w:szCs w:val="22"/>
        </w:rPr>
        <w:t>de sept projets</w:t>
      </w:r>
      <w:r w:rsidR="005A266D" w:rsidRPr="00C94C37">
        <w:rPr>
          <w:rFonts w:asciiTheme="minorBidi" w:hAnsiTheme="minorBidi" w:cstheme="minorBidi"/>
          <w:sz w:val="22"/>
          <w:szCs w:val="22"/>
        </w:rPr>
        <w:t> ;</w:t>
      </w:r>
      <w:r w:rsidR="005A266D">
        <w:rPr>
          <w:rFonts w:asciiTheme="minorBidi" w:hAnsiTheme="minorBidi" w:cstheme="minorBidi"/>
          <w:sz w:val="22"/>
          <w:szCs w:val="22"/>
          <w:u w:val="single"/>
        </w:rPr>
        <w:t xml:space="preserve"> </w:t>
      </w:r>
    </w:p>
    <w:p w14:paraId="78229A88" w14:textId="735080AA" w:rsidR="00766F40" w:rsidRPr="002F0A85" w:rsidRDefault="00766F40" w:rsidP="009C60B7">
      <w:pPr>
        <w:numPr>
          <w:ilvl w:val="1"/>
          <w:numId w:val="23"/>
        </w:numPr>
        <w:spacing w:after="120"/>
        <w:ind w:left="1134" w:hanging="567"/>
        <w:jc w:val="both"/>
        <w:rPr>
          <w:rFonts w:asciiTheme="minorBidi" w:hAnsiTheme="minorBidi" w:cstheme="minorBidi"/>
          <w:sz w:val="22"/>
          <w:szCs w:val="22"/>
        </w:rPr>
      </w:pPr>
      <w:r w:rsidRPr="002F0A85">
        <w:rPr>
          <w:rFonts w:asciiTheme="minorBidi" w:hAnsiTheme="minorBidi"/>
          <w:snapToGrid w:val="0"/>
          <w:color w:val="000000"/>
          <w:sz w:val="22"/>
        </w:rPr>
        <w:t xml:space="preserve">Des contributions additionnelles au Programme </w:t>
      </w:r>
      <w:r w:rsidR="00C4706B">
        <w:rPr>
          <w:rFonts w:asciiTheme="minorBidi" w:hAnsiTheme="minorBidi"/>
          <w:snapToGrid w:val="0"/>
          <w:color w:val="000000"/>
          <w:sz w:val="22"/>
        </w:rPr>
        <w:t xml:space="preserve">et budget </w:t>
      </w:r>
      <w:r w:rsidR="00C4706B" w:rsidRPr="002F0A85">
        <w:rPr>
          <w:rFonts w:asciiTheme="minorBidi" w:hAnsiTheme="minorBidi"/>
          <w:snapToGrid w:val="0"/>
          <w:color w:val="000000"/>
          <w:sz w:val="22"/>
        </w:rPr>
        <w:t>de l’UNESCO</w:t>
      </w:r>
      <w:r w:rsidR="00C4706B">
        <w:rPr>
          <w:rFonts w:asciiTheme="minorBidi" w:hAnsiTheme="minorBidi"/>
          <w:snapToGrid w:val="0"/>
          <w:color w:val="000000"/>
          <w:sz w:val="22"/>
        </w:rPr>
        <w:t xml:space="preserve"> (C/5)</w:t>
      </w:r>
      <w:r w:rsidR="00C4706B" w:rsidRPr="002F0A85">
        <w:rPr>
          <w:rFonts w:asciiTheme="minorBidi" w:hAnsiTheme="minorBidi"/>
          <w:snapToGrid w:val="0"/>
          <w:color w:val="000000"/>
          <w:sz w:val="22"/>
        </w:rPr>
        <w:t xml:space="preserve"> </w:t>
      </w:r>
      <w:r w:rsidRPr="002F0A85">
        <w:rPr>
          <w:rFonts w:asciiTheme="minorBidi" w:hAnsiTheme="minorBidi"/>
          <w:snapToGrid w:val="0"/>
          <w:color w:val="000000"/>
          <w:sz w:val="22"/>
        </w:rPr>
        <w:t xml:space="preserve">reçues </w:t>
      </w:r>
      <w:r w:rsidR="00C4706B" w:rsidRPr="002F0A85">
        <w:rPr>
          <w:rFonts w:asciiTheme="minorBidi" w:hAnsiTheme="minorBidi"/>
          <w:snapToGrid w:val="0"/>
          <w:color w:val="000000"/>
          <w:sz w:val="22"/>
        </w:rPr>
        <w:t>du Brésil* (Siège),</w:t>
      </w:r>
      <w:r w:rsidR="00C4706B">
        <w:rPr>
          <w:rFonts w:asciiTheme="minorBidi" w:hAnsiTheme="minorBidi"/>
          <w:snapToGrid w:val="0"/>
          <w:color w:val="000000"/>
          <w:sz w:val="22"/>
        </w:rPr>
        <w:t xml:space="preserve"> </w:t>
      </w:r>
      <w:r w:rsidR="00C4706B" w:rsidRPr="002F0A85">
        <w:rPr>
          <w:rFonts w:asciiTheme="minorBidi" w:hAnsiTheme="minorBidi"/>
          <w:snapToGrid w:val="0"/>
          <w:color w:val="000000"/>
          <w:sz w:val="22"/>
        </w:rPr>
        <w:t xml:space="preserve">de l’Italie (bureau de Venise), </w:t>
      </w:r>
      <w:r w:rsidR="00C4706B" w:rsidRPr="002F0A85">
        <w:rPr>
          <w:rFonts w:asciiTheme="minorBidi" w:hAnsiTheme="minorBidi"/>
          <w:snapToGrid w:val="0"/>
          <w:sz w:val="22"/>
        </w:rPr>
        <w:t>du Kazakhstan* (bureau d’Almaty</w:t>
      </w:r>
      <w:r w:rsidR="00C4706B">
        <w:rPr>
          <w:rFonts w:asciiTheme="minorBidi" w:hAnsiTheme="minorBidi"/>
          <w:snapToGrid w:val="0"/>
          <w:sz w:val="22"/>
        </w:rPr>
        <w:t>, deux activités</w:t>
      </w:r>
      <w:r w:rsidR="00C4706B" w:rsidRPr="002F0A85">
        <w:rPr>
          <w:rFonts w:asciiTheme="minorBidi" w:hAnsiTheme="minorBidi"/>
          <w:snapToGrid w:val="0"/>
          <w:sz w:val="22"/>
        </w:rPr>
        <w:t>)</w:t>
      </w:r>
      <w:r w:rsidR="00C4706B">
        <w:rPr>
          <w:rFonts w:asciiTheme="minorBidi" w:hAnsiTheme="minorBidi"/>
          <w:snapToGrid w:val="0"/>
          <w:sz w:val="22"/>
        </w:rPr>
        <w:t xml:space="preserve">, </w:t>
      </w:r>
      <w:r w:rsidR="00C4706B" w:rsidRPr="002F0A85">
        <w:rPr>
          <w:rFonts w:asciiTheme="minorBidi" w:hAnsiTheme="minorBidi"/>
          <w:snapToGrid w:val="0"/>
          <w:sz w:val="22"/>
        </w:rPr>
        <w:t>du Qatar (bureau de Doha)</w:t>
      </w:r>
      <w:r w:rsidR="00C4706B">
        <w:rPr>
          <w:rFonts w:asciiTheme="minorBidi" w:hAnsiTheme="minorBidi"/>
          <w:snapToGrid w:val="0"/>
          <w:sz w:val="22"/>
        </w:rPr>
        <w:t>,</w:t>
      </w:r>
      <w:r w:rsidR="00C4706B" w:rsidRPr="002F0A85">
        <w:rPr>
          <w:rFonts w:asciiTheme="minorBidi" w:hAnsiTheme="minorBidi"/>
          <w:snapToGrid w:val="0"/>
          <w:sz w:val="22"/>
        </w:rPr>
        <w:t xml:space="preserve"> </w:t>
      </w:r>
      <w:r w:rsidRPr="002F0A85">
        <w:rPr>
          <w:rFonts w:asciiTheme="minorBidi" w:hAnsiTheme="minorBidi"/>
          <w:snapToGrid w:val="0"/>
          <w:color w:val="000000"/>
          <w:sz w:val="22"/>
        </w:rPr>
        <w:t xml:space="preserve">de l’Arabie Saoudite* (bureau de Doha), </w:t>
      </w:r>
      <w:r w:rsidR="00C4706B">
        <w:rPr>
          <w:rFonts w:asciiTheme="minorBidi" w:hAnsiTheme="minorBidi"/>
          <w:snapToGrid w:val="0"/>
          <w:color w:val="000000"/>
          <w:sz w:val="22"/>
        </w:rPr>
        <w:t xml:space="preserve">des </w:t>
      </w:r>
      <w:r w:rsidR="00C4706B" w:rsidRPr="002F0A85">
        <w:rPr>
          <w:rFonts w:asciiTheme="minorBidi" w:hAnsiTheme="minorBidi"/>
          <w:snapToGrid w:val="0"/>
          <w:color w:val="000000"/>
          <w:sz w:val="22"/>
        </w:rPr>
        <w:t>Émirats arabes unis (bureaux de Beyrouth* et de Doha)</w:t>
      </w:r>
      <w:r w:rsidR="00C4706B">
        <w:rPr>
          <w:rFonts w:asciiTheme="minorBidi" w:hAnsiTheme="minorBidi"/>
          <w:snapToGrid w:val="0"/>
          <w:color w:val="000000"/>
          <w:sz w:val="22"/>
        </w:rPr>
        <w:t xml:space="preserve">, du </w:t>
      </w:r>
      <w:r w:rsidRPr="002F0A85">
        <w:rPr>
          <w:rFonts w:asciiTheme="minorBidi" w:hAnsiTheme="minorBidi"/>
          <w:snapToGrid w:val="0"/>
          <w:color w:val="000000"/>
          <w:sz w:val="22"/>
        </w:rPr>
        <w:t>Centre international de formation sur le patrimoine culturel immatériel dans la région Asie-Pacifique – CRIHAP (Siège</w:t>
      </w:r>
      <w:r w:rsidR="00C4706B">
        <w:rPr>
          <w:rFonts w:asciiTheme="minorBidi" w:hAnsiTheme="minorBidi"/>
          <w:snapToGrid w:val="0"/>
          <w:color w:val="000000"/>
          <w:sz w:val="22"/>
        </w:rPr>
        <w:t>,</w:t>
      </w:r>
      <w:r w:rsidRPr="002F0A85">
        <w:rPr>
          <w:rFonts w:asciiTheme="minorBidi" w:hAnsiTheme="minorBidi"/>
          <w:snapToGrid w:val="0"/>
          <w:color w:val="000000"/>
          <w:sz w:val="22"/>
        </w:rPr>
        <w:t xml:space="preserve"> bureau d’Almaty</w:t>
      </w:r>
      <w:r w:rsidRPr="00961589">
        <w:rPr>
          <w:rFonts w:asciiTheme="minorBidi" w:hAnsiTheme="minorBidi"/>
          <w:snapToGrid w:val="0"/>
          <w:color w:val="000000"/>
          <w:sz w:val="22"/>
        </w:rPr>
        <w:t>*</w:t>
      </w:r>
      <w:r w:rsidR="00C4706B" w:rsidRPr="00961589">
        <w:rPr>
          <w:rFonts w:asciiTheme="minorBidi" w:hAnsiTheme="minorBidi"/>
          <w:snapToGrid w:val="0"/>
          <w:color w:val="000000"/>
          <w:sz w:val="22"/>
        </w:rPr>
        <w:t xml:space="preserve"> - deux activités - et bureau de Bangkok</w:t>
      </w:r>
      <w:r w:rsidRPr="00C4706B">
        <w:rPr>
          <w:rFonts w:asciiTheme="minorBidi" w:hAnsiTheme="minorBidi"/>
          <w:snapToGrid w:val="0"/>
          <w:color w:val="000000"/>
          <w:sz w:val="22"/>
        </w:rPr>
        <w:t>)</w:t>
      </w:r>
      <w:r w:rsidRPr="002F0A85">
        <w:rPr>
          <w:rFonts w:asciiTheme="minorBidi" w:hAnsiTheme="minorBidi"/>
          <w:snapToGrid w:val="0"/>
          <w:color w:val="000000"/>
          <w:sz w:val="22"/>
        </w:rPr>
        <w:t>, ,</w:t>
      </w:r>
      <w:r w:rsidR="002F0A85" w:rsidRPr="002F0A85">
        <w:rPr>
          <w:rFonts w:asciiTheme="minorBidi" w:hAnsiTheme="minorBidi"/>
          <w:snapToGrid w:val="0"/>
          <w:color w:val="000000"/>
          <w:sz w:val="22"/>
        </w:rPr>
        <w:t xml:space="preserve"> de l’ICHCAP (</w:t>
      </w:r>
      <w:r w:rsidR="00C4706B">
        <w:rPr>
          <w:rFonts w:asciiTheme="minorBidi" w:hAnsiTheme="minorBidi"/>
          <w:snapToGrid w:val="0"/>
          <w:color w:val="000000"/>
          <w:sz w:val="22"/>
        </w:rPr>
        <w:t xml:space="preserve">Siège, bureaux de Bangkok et </w:t>
      </w:r>
      <w:r w:rsidR="002F0A85" w:rsidRPr="002F0A85">
        <w:rPr>
          <w:rFonts w:asciiTheme="minorBidi" w:hAnsiTheme="minorBidi"/>
          <w:snapToGrid w:val="0"/>
          <w:color w:val="000000"/>
          <w:sz w:val="22"/>
        </w:rPr>
        <w:t>de New-Dehli</w:t>
      </w:r>
      <w:r w:rsidR="00C4706B">
        <w:rPr>
          <w:rFonts w:asciiTheme="minorBidi" w:hAnsiTheme="minorBidi"/>
          <w:snapToGrid w:val="0"/>
          <w:color w:val="000000"/>
          <w:sz w:val="22"/>
        </w:rPr>
        <w:t xml:space="preserve"> – deux activités chacun</w:t>
      </w:r>
      <w:r w:rsidR="002F0A85" w:rsidRPr="002F0A85">
        <w:rPr>
          <w:rFonts w:asciiTheme="minorBidi" w:hAnsiTheme="minorBidi"/>
          <w:snapToGrid w:val="0"/>
          <w:color w:val="000000"/>
          <w:sz w:val="22"/>
        </w:rPr>
        <w:t xml:space="preserve">) </w:t>
      </w:r>
      <w:r w:rsidR="005D0BE6" w:rsidRPr="002F0A85">
        <w:rPr>
          <w:rFonts w:asciiTheme="minorBidi" w:hAnsiTheme="minorBidi"/>
          <w:snapToGrid w:val="0"/>
          <w:sz w:val="22"/>
        </w:rPr>
        <w:t>, et de</w:t>
      </w:r>
      <w:r w:rsidR="00C4706B">
        <w:rPr>
          <w:rFonts w:asciiTheme="minorBidi" w:hAnsiTheme="minorBidi"/>
          <w:snapToGrid w:val="0"/>
          <w:sz w:val="22"/>
        </w:rPr>
        <w:t xml:space="preserve"> l’Institut du patrimoine de Sharjah (Siège).</w:t>
      </w:r>
      <w:r w:rsidR="005D0BE6" w:rsidRPr="002F0A85">
        <w:rPr>
          <w:rFonts w:asciiTheme="minorBidi" w:hAnsiTheme="minorBidi"/>
          <w:snapToGrid w:val="0"/>
          <w:sz w:val="22"/>
        </w:rPr>
        <w:t xml:space="preserve"> </w:t>
      </w:r>
      <w:r w:rsidRPr="002F0A85">
        <w:rPr>
          <w:rFonts w:asciiTheme="minorBidi" w:hAnsiTheme="minorBidi"/>
          <w:snapToGrid w:val="0"/>
          <w:sz w:val="22"/>
        </w:rPr>
        <w:t xml:space="preserve">Ces contributions </w:t>
      </w:r>
      <w:r w:rsidRPr="002F0A85">
        <w:rPr>
          <w:rFonts w:asciiTheme="minorBidi" w:hAnsiTheme="minorBidi"/>
          <w:snapToGrid w:val="0"/>
          <w:color w:val="000000"/>
          <w:sz w:val="22"/>
        </w:rPr>
        <w:t xml:space="preserve">soutiennent la mise en œuvre de </w:t>
      </w:r>
      <w:r w:rsidR="00C4706B">
        <w:rPr>
          <w:rFonts w:asciiTheme="minorBidi" w:hAnsiTheme="minorBidi"/>
          <w:snapToGrid w:val="0"/>
          <w:color w:val="000000"/>
          <w:sz w:val="22"/>
        </w:rPr>
        <w:t>dix-huit</w:t>
      </w:r>
      <w:r w:rsidR="00C4706B" w:rsidRPr="00C94C37">
        <w:rPr>
          <w:rFonts w:asciiTheme="minorBidi" w:hAnsiTheme="minorBidi"/>
          <w:snapToGrid w:val="0"/>
          <w:color w:val="000000"/>
          <w:sz w:val="22"/>
        </w:rPr>
        <w:t xml:space="preserve"> </w:t>
      </w:r>
      <w:r w:rsidRPr="00C94C37">
        <w:rPr>
          <w:rFonts w:asciiTheme="minorBidi" w:hAnsiTheme="minorBidi"/>
          <w:snapToGrid w:val="0"/>
          <w:color w:val="000000"/>
          <w:sz w:val="22"/>
        </w:rPr>
        <w:t>activités du programme mondial de renforcement</w:t>
      </w:r>
      <w:r w:rsidRPr="002F0A85">
        <w:rPr>
          <w:rFonts w:asciiTheme="minorBidi" w:hAnsiTheme="minorBidi"/>
          <w:snapToGrid w:val="0"/>
          <w:color w:val="000000"/>
          <w:sz w:val="22"/>
        </w:rPr>
        <w:t xml:space="preserve"> des capacités.</w:t>
      </w:r>
    </w:p>
    <w:p w14:paraId="09FB30E6" w14:textId="560A8EB6" w:rsidR="00DC5836" w:rsidRPr="003509ED" w:rsidRDefault="003509ED" w:rsidP="00DC5B74">
      <w:pPr>
        <w:pStyle w:val="COMParabodytext"/>
        <w:numPr>
          <w:ilvl w:val="0"/>
          <w:numId w:val="25"/>
        </w:numPr>
        <w:ind w:left="567" w:hanging="567"/>
        <w:rPr>
          <w:lang w:val="fr-FR"/>
        </w:rPr>
      </w:pPr>
      <w:r w:rsidRPr="003509ED">
        <w:rPr>
          <w:lang w:val="fr-FR"/>
        </w:rPr>
        <w:t xml:space="preserve">Alors que les initiatives visant à promouvoir l'intégration du patrimoine culturel immatériel dans l'éducation formelle et non formelle (priorité 2) n'ont reçu aucun soutien de la part des contributions volontaires supplémentaires au Fonds, de nouvelles activités ont vu le jour grâce au soutien des centres de catégorie 2 aux bureaux </w:t>
      </w:r>
      <w:r>
        <w:rPr>
          <w:lang w:val="fr-FR"/>
        </w:rPr>
        <w:t>hors-siège</w:t>
      </w:r>
      <w:r w:rsidRPr="003509ED">
        <w:rPr>
          <w:lang w:val="fr-FR"/>
        </w:rPr>
        <w:t xml:space="preserve"> en Asie, en plus de deux projets déjà en cours en Afrique et en Asie</w:t>
      </w:r>
      <w:r w:rsidR="00CE33ED">
        <w:rPr>
          <w:lang w:val="fr-FR"/>
        </w:rPr>
        <w:t> </w:t>
      </w:r>
      <w:r w:rsidRPr="003509ED">
        <w:rPr>
          <w:lang w:val="fr-FR"/>
        </w:rPr>
        <w:t>:</w:t>
      </w:r>
    </w:p>
    <w:p w14:paraId="1D19130C" w14:textId="6E11C730" w:rsidR="0031668B" w:rsidRDefault="0031668B" w:rsidP="003C0A42">
      <w:pPr>
        <w:pStyle w:val="COMParabodytext"/>
        <w:numPr>
          <w:ilvl w:val="1"/>
          <w:numId w:val="25"/>
        </w:numPr>
        <w:ind w:left="1134" w:hanging="567"/>
        <w:rPr>
          <w:lang w:val="fr-FR"/>
        </w:rPr>
      </w:pPr>
      <w:r>
        <w:rPr>
          <w:lang w:val="fr-FR"/>
        </w:rPr>
        <w:t xml:space="preserve">Un accord de fonds-en-dépôt de la Flandre, Belgique </w:t>
      </w:r>
      <w:r w:rsidR="003509ED">
        <w:rPr>
          <w:lang w:val="fr-FR"/>
        </w:rPr>
        <w:t>(</w:t>
      </w:r>
      <w:r>
        <w:rPr>
          <w:lang w:val="fr-FR"/>
        </w:rPr>
        <w:t>bureau d’Harare</w:t>
      </w:r>
      <w:r w:rsidR="003509ED">
        <w:rPr>
          <w:lang w:val="fr-FR"/>
        </w:rPr>
        <w:t>)</w:t>
      </w:r>
      <w:r w:rsidR="005A266D">
        <w:rPr>
          <w:lang w:val="fr-FR"/>
        </w:rPr>
        <w:t> ;</w:t>
      </w:r>
    </w:p>
    <w:p w14:paraId="58FED751" w14:textId="3B136BEE" w:rsidR="003977CC" w:rsidRDefault="003509ED" w:rsidP="003C0A42">
      <w:pPr>
        <w:pStyle w:val="COMParabodytext"/>
        <w:numPr>
          <w:ilvl w:val="1"/>
          <w:numId w:val="25"/>
        </w:numPr>
        <w:ind w:left="1134" w:hanging="567"/>
        <w:rPr>
          <w:lang w:val="fr-FR"/>
        </w:rPr>
      </w:pPr>
      <w:r>
        <w:rPr>
          <w:lang w:val="fr-FR"/>
        </w:rPr>
        <w:lastRenderedPageBreak/>
        <w:t xml:space="preserve">Trois nouvelles </w:t>
      </w:r>
      <w:r w:rsidR="0031668B">
        <w:rPr>
          <w:lang w:val="fr-FR"/>
        </w:rPr>
        <w:t xml:space="preserve">contributions </w:t>
      </w:r>
      <w:r w:rsidR="0031668B" w:rsidRPr="003977CC">
        <w:rPr>
          <w:rFonts w:asciiTheme="minorBidi" w:hAnsiTheme="minorBidi"/>
          <w:color w:val="000000"/>
          <w:lang w:val="fr-FR"/>
        </w:rPr>
        <w:t xml:space="preserve">additionnelles au Programme </w:t>
      </w:r>
      <w:r>
        <w:rPr>
          <w:rFonts w:asciiTheme="minorBidi" w:hAnsiTheme="minorBidi"/>
          <w:color w:val="000000"/>
          <w:lang w:val="fr-FR"/>
        </w:rPr>
        <w:t>et budget</w:t>
      </w:r>
      <w:r w:rsidRPr="003977CC">
        <w:rPr>
          <w:rFonts w:asciiTheme="minorBidi" w:hAnsiTheme="minorBidi"/>
          <w:color w:val="000000"/>
          <w:lang w:val="fr-FR"/>
        </w:rPr>
        <w:t xml:space="preserve"> </w:t>
      </w:r>
      <w:r w:rsidR="0031668B" w:rsidRPr="003977CC">
        <w:rPr>
          <w:rFonts w:asciiTheme="minorBidi" w:hAnsiTheme="minorBidi"/>
          <w:color w:val="000000"/>
          <w:lang w:val="fr-FR"/>
        </w:rPr>
        <w:t>de l’UNESCO</w:t>
      </w:r>
      <w:r>
        <w:rPr>
          <w:rFonts w:asciiTheme="minorBidi" w:hAnsiTheme="minorBidi"/>
          <w:color w:val="000000"/>
          <w:lang w:val="fr-FR"/>
        </w:rPr>
        <w:t xml:space="preserve"> (C/5) ont été</w:t>
      </w:r>
      <w:r w:rsidR="0031668B">
        <w:rPr>
          <w:lang w:val="fr-FR"/>
        </w:rPr>
        <w:t xml:space="preserve"> reçues par le bureau de Bangkok</w:t>
      </w:r>
      <w:r>
        <w:rPr>
          <w:lang w:val="fr-FR"/>
        </w:rPr>
        <w:t>,</w:t>
      </w:r>
      <w:r w:rsidR="0031668B">
        <w:rPr>
          <w:lang w:val="fr-FR"/>
        </w:rPr>
        <w:t xml:space="preserve"> financé</w:t>
      </w:r>
      <w:r>
        <w:rPr>
          <w:lang w:val="fr-FR"/>
        </w:rPr>
        <w:t>e</w:t>
      </w:r>
      <w:r w:rsidR="0031668B">
        <w:rPr>
          <w:lang w:val="fr-FR"/>
        </w:rPr>
        <w:t xml:space="preserve">s </w:t>
      </w:r>
      <w:r w:rsidR="003977CC">
        <w:rPr>
          <w:lang w:val="fr-FR"/>
        </w:rPr>
        <w:t xml:space="preserve">par le </w:t>
      </w:r>
      <w:r w:rsidR="007F4526" w:rsidRPr="007F4526">
        <w:rPr>
          <w:lang w:val="fr-FR"/>
        </w:rPr>
        <w:t>Centre Asie-Pacifique d</w:t>
      </w:r>
      <w:r w:rsidR="007F4526">
        <w:rPr>
          <w:lang w:val="fr-FR"/>
        </w:rPr>
        <w:t>e l’</w:t>
      </w:r>
      <w:r w:rsidR="007F4526" w:rsidRPr="007F4526">
        <w:rPr>
          <w:lang w:val="fr-FR"/>
        </w:rPr>
        <w:t>éducation pour la compréhension internationale</w:t>
      </w:r>
      <w:r w:rsidR="0031668B">
        <w:rPr>
          <w:lang w:val="fr-FR"/>
        </w:rPr>
        <w:t>*</w:t>
      </w:r>
      <w:r w:rsidR="007F4526" w:rsidRPr="007F4526">
        <w:rPr>
          <w:lang w:val="fr-FR"/>
        </w:rPr>
        <w:t xml:space="preserve"> (APCEIU)</w:t>
      </w:r>
      <w:r w:rsidR="007F4526">
        <w:rPr>
          <w:lang w:val="fr-FR"/>
        </w:rPr>
        <w:t>,</w:t>
      </w:r>
      <w:r w:rsidR="0031668B">
        <w:rPr>
          <w:lang w:val="fr-FR"/>
        </w:rPr>
        <w:t xml:space="preserve"> </w:t>
      </w:r>
      <w:r w:rsidR="005A266D">
        <w:rPr>
          <w:lang w:val="fr-FR"/>
        </w:rPr>
        <w:t>le</w:t>
      </w:r>
      <w:r w:rsidR="0031668B">
        <w:rPr>
          <w:lang w:val="fr-FR"/>
        </w:rPr>
        <w:t xml:space="preserve"> </w:t>
      </w:r>
      <w:r w:rsidR="003977CC">
        <w:rPr>
          <w:lang w:val="fr-FR"/>
        </w:rPr>
        <w:t>CRIHAP</w:t>
      </w:r>
      <w:r w:rsidR="0031668B">
        <w:rPr>
          <w:lang w:val="fr-FR"/>
        </w:rPr>
        <w:t xml:space="preserve">* et </w:t>
      </w:r>
      <w:r w:rsidR="003977CC">
        <w:rPr>
          <w:lang w:val="fr-FR"/>
        </w:rPr>
        <w:t>l’ICHCAP</w:t>
      </w:r>
      <w:r w:rsidR="005A266D">
        <w:rPr>
          <w:lang w:val="fr-FR"/>
        </w:rPr>
        <w:t>*</w:t>
      </w:r>
      <w:r>
        <w:rPr>
          <w:lang w:val="fr-FR"/>
        </w:rPr>
        <w:t xml:space="preserve"> respectivement</w:t>
      </w:r>
      <w:r w:rsidR="003977CC">
        <w:rPr>
          <w:lang w:val="fr-FR"/>
        </w:rPr>
        <w:t xml:space="preserve">. </w:t>
      </w:r>
      <w:r w:rsidR="005A266D">
        <w:rPr>
          <w:lang w:val="fr-FR"/>
        </w:rPr>
        <w:t>Enfin, un</w:t>
      </w:r>
      <w:r>
        <w:rPr>
          <w:lang w:val="fr-FR"/>
        </w:rPr>
        <w:t>e activité</w:t>
      </w:r>
      <w:r w:rsidR="005A266D">
        <w:rPr>
          <w:lang w:val="fr-FR"/>
        </w:rPr>
        <w:t xml:space="preserve"> est soutenu</w:t>
      </w:r>
      <w:r>
        <w:rPr>
          <w:lang w:val="fr-FR"/>
        </w:rPr>
        <w:t>e</w:t>
      </w:r>
      <w:r w:rsidR="005A266D">
        <w:rPr>
          <w:lang w:val="fr-FR"/>
        </w:rPr>
        <w:t xml:space="preserve"> par l’lCHCAP et est mis</w:t>
      </w:r>
      <w:r>
        <w:rPr>
          <w:lang w:val="fr-FR"/>
        </w:rPr>
        <w:t>e</w:t>
      </w:r>
      <w:r w:rsidR="005A266D">
        <w:rPr>
          <w:lang w:val="fr-FR"/>
        </w:rPr>
        <w:t xml:space="preserve"> en œuvre par le bureau de Katmand</w:t>
      </w:r>
      <w:r>
        <w:rPr>
          <w:lang w:val="fr-FR"/>
        </w:rPr>
        <w:t>o</w:t>
      </w:r>
      <w:r w:rsidR="005A266D">
        <w:rPr>
          <w:lang w:val="fr-FR"/>
        </w:rPr>
        <w:t>u ;</w:t>
      </w:r>
    </w:p>
    <w:p w14:paraId="50310108" w14:textId="3E2C4006" w:rsidR="005A266D" w:rsidRPr="005A266D" w:rsidRDefault="005A266D" w:rsidP="003C0A42">
      <w:pPr>
        <w:pStyle w:val="COMParabodytext"/>
        <w:numPr>
          <w:ilvl w:val="0"/>
          <w:numId w:val="25"/>
        </w:numPr>
        <w:ind w:left="567" w:hanging="567"/>
        <w:rPr>
          <w:lang w:val="fr-FR"/>
        </w:rPr>
      </w:pPr>
      <w:r w:rsidRPr="005A266D">
        <w:rPr>
          <w:lang w:val="fr-FR"/>
        </w:rPr>
        <w:t>Outre les projets qui contribuent aux deux priorités de financement, les donateurs apportent également leur soutien à un large éventail de projets qui établissent un lien direct entre la sauvegarde du patrimoine vivant ou d’autres types de patrimoine (patrimoine mobilier) et/ou des domaines spécifiques du développement durable tels que l’amélioration de la protection sociale,</w:t>
      </w:r>
      <w:r w:rsidR="003509ED">
        <w:rPr>
          <w:lang w:val="fr-FR"/>
        </w:rPr>
        <w:t xml:space="preserve"> le soutien à la sauvegarde</w:t>
      </w:r>
      <w:r w:rsidR="00F70AA5">
        <w:rPr>
          <w:lang w:val="fr-FR"/>
        </w:rPr>
        <w:t xml:space="preserve"> des connaissances autochtones,</w:t>
      </w:r>
      <w:r w:rsidRPr="005A266D">
        <w:rPr>
          <w:lang w:val="fr-FR"/>
        </w:rPr>
        <w:t xml:space="preserve"> le développement d’industries créatives</w:t>
      </w:r>
      <w:r w:rsidR="00F70AA5">
        <w:rPr>
          <w:lang w:val="fr-FR"/>
        </w:rPr>
        <w:t xml:space="preserve"> et de l’entreprenariat</w:t>
      </w:r>
      <w:r w:rsidRPr="005A266D">
        <w:rPr>
          <w:lang w:val="fr-FR"/>
        </w:rPr>
        <w:t xml:space="preserve">, </w:t>
      </w:r>
      <w:r w:rsidR="00F70AA5">
        <w:rPr>
          <w:lang w:val="fr-FR"/>
        </w:rPr>
        <w:t xml:space="preserve">la promotion </w:t>
      </w:r>
      <w:r w:rsidRPr="005A266D">
        <w:rPr>
          <w:lang w:val="fr-FR"/>
        </w:rPr>
        <w:t>du tourisme</w:t>
      </w:r>
      <w:r w:rsidR="00F70AA5">
        <w:rPr>
          <w:lang w:val="fr-FR"/>
        </w:rPr>
        <w:t xml:space="preserve"> sensible à la sauvegarde du patrimoine</w:t>
      </w:r>
      <w:r w:rsidRPr="005A266D">
        <w:rPr>
          <w:lang w:val="fr-FR"/>
        </w:rPr>
        <w:t xml:space="preserve">, la consolidation de la paix, le renforcement de la sécurité humaine en général ou encore pour mener des </w:t>
      </w:r>
      <w:r w:rsidR="00C11090">
        <w:rPr>
          <w:lang w:val="fr-FR"/>
        </w:rPr>
        <w:t>réflexions</w:t>
      </w:r>
      <w:r w:rsidR="00C11090" w:rsidRPr="005A266D">
        <w:rPr>
          <w:lang w:val="fr-FR"/>
        </w:rPr>
        <w:t xml:space="preserve"> </w:t>
      </w:r>
      <w:r w:rsidR="00C11090">
        <w:rPr>
          <w:lang w:val="fr-FR"/>
        </w:rPr>
        <w:t xml:space="preserve">en amont </w:t>
      </w:r>
      <w:r w:rsidR="00F70AA5">
        <w:rPr>
          <w:lang w:val="fr-FR"/>
        </w:rPr>
        <w:t>sur la mise en œuvre de la Convention</w:t>
      </w:r>
      <w:r w:rsidR="00CE33ED">
        <w:rPr>
          <w:lang w:val="fr-FR"/>
        </w:rPr>
        <w:t> </w:t>
      </w:r>
      <w:r w:rsidRPr="005A266D">
        <w:rPr>
          <w:lang w:val="fr-FR"/>
        </w:rPr>
        <w:t>:</w:t>
      </w:r>
    </w:p>
    <w:p w14:paraId="1459A8BF" w14:textId="6F22AAE8" w:rsidR="005A266D" w:rsidRPr="00C94C37" w:rsidRDefault="005A266D" w:rsidP="003C0A42">
      <w:pPr>
        <w:pStyle w:val="COMParabodytext"/>
        <w:numPr>
          <w:ilvl w:val="1"/>
          <w:numId w:val="25"/>
        </w:numPr>
        <w:ind w:left="1134" w:hanging="567"/>
        <w:rPr>
          <w:lang w:val="fr-FR"/>
        </w:rPr>
      </w:pPr>
      <w:r w:rsidRPr="005A266D">
        <w:rPr>
          <w:lang w:val="fr-FR"/>
        </w:rPr>
        <w:t xml:space="preserve">Des accords de fonds-en-dépôt autofinancés </w:t>
      </w:r>
      <w:r w:rsidR="00C11090">
        <w:rPr>
          <w:lang w:val="fr-FR"/>
        </w:rPr>
        <w:t>ont soutenu</w:t>
      </w:r>
      <w:r w:rsidR="00C11090" w:rsidRPr="00C94C37">
        <w:rPr>
          <w:lang w:val="fr-FR"/>
        </w:rPr>
        <w:t xml:space="preserve"> </w:t>
      </w:r>
      <w:r w:rsidRPr="00C94C37">
        <w:rPr>
          <w:lang w:val="fr-FR"/>
        </w:rPr>
        <w:t>cinq projets grâce aux contributions du Brésil (bureau de Brasilia), de l’Inde (bureau de Delhi, deux projets) et du Maroc (bureau de Rabat, deux projets)</w:t>
      </w:r>
      <w:r w:rsidR="00C11090">
        <w:rPr>
          <w:lang w:val="fr-FR"/>
        </w:rPr>
        <w:t> </w:t>
      </w:r>
      <w:r w:rsidRPr="00C94C37">
        <w:rPr>
          <w:lang w:val="fr-FR"/>
        </w:rPr>
        <w:t>;</w:t>
      </w:r>
    </w:p>
    <w:p w14:paraId="68C9AFFA" w14:textId="1BAB2060" w:rsidR="005A266D" w:rsidRPr="00C11090" w:rsidRDefault="005A266D" w:rsidP="00C11090">
      <w:pPr>
        <w:pStyle w:val="COMParabodytext"/>
        <w:numPr>
          <w:ilvl w:val="1"/>
          <w:numId w:val="25"/>
        </w:numPr>
        <w:ind w:left="1134" w:hanging="567"/>
        <w:rPr>
          <w:lang w:val="fr-FR"/>
        </w:rPr>
      </w:pPr>
      <w:r w:rsidRPr="00C11090">
        <w:rPr>
          <w:lang w:val="fr-FR"/>
        </w:rPr>
        <w:t>D’autres accords de fonds-en-dépôt ont été établis avec</w:t>
      </w:r>
      <w:r w:rsidR="00C11090">
        <w:rPr>
          <w:lang w:val="fr-FR"/>
        </w:rPr>
        <w:t xml:space="preserve"> </w:t>
      </w:r>
      <w:r w:rsidR="00C11090" w:rsidRPr="00C11090">
        <w:rPr>
          <w:lang w:val="fr-FR"/>
        </w:rPr>
        <w:t>la France (bureau de Quito), l'Arabie saoudite* (Siège), la Suisse* (bureau de Juba), ainsi que deux contributions du secteur privé provenant du Mexique (bureau de Mexico</w:t>
      </w:r>
      <w:r w:rsidR="00221BBB">
        <w:rPr>
          <w:lang w:val="fr-FR"/>
        </w:rPr>
        <w:t xml:space="preserve"> City</w:t>
      </w:r>
      <w:r w:rsidR="00C11090" w:rsidRPr="00C11090">
        <w:rPr>
          <w:lang w:val="fr-FR"/>
        </w:rPr>
        <w:t xml:space="preserve">) et de la République populaire de Chine (bureau de Bamako). En outre, les Nations Unies contribuent à plusieurs projets de l'UNESCO par l'intermédiaire </w:t>
      </w:r>
      <w:r w:rsidR="00221BBB">
        <w:rPr>
          <w:lang w:val="fr-FR"/>
        </w:rPr>
        <w:t xml:space="preserve">des </w:t>
      </w:r>
      <w:r w:rsidR="00221BBB" w:rsidRPr="00C11090">
        <w:rPr>
          <w:lang w:val="fr-FR"/>
        </w:rPr>
        <w:t xml:space="preserve">Nations Unies </w:t>
      </w:r>
      <w:r w:rsidR="00221BBB">
        <w:rPr>
          <w:lang w:val="fr-FR"/>
        </w:rPr>
        <w:t xml:space="preserve">- </w:t>
      </w:r>
      <w:r w:rsidR="00221BBB" w:rsidRPr="00C11090">
        <w:rPr>
          <w:lang w:val="fr-FR"/>
        </w:rPr>
        <w:t xml:space="preserve">PNUD </w:t>
      </w:r>
      <w:r w:rsidR="00221BBB">
        <w:rPr>
          <w:lang w:val="fr-FR"/>
        </w:rPr>
        <w:t xml:space="preserve">- </w:t>
      </w:r>
      <w:r w:rsidR="00C11090" w:rsidRPr="00C11090">
        <w:rPr>
          <w:lang w:val="fr-FR"/>
        </w:rPr>
        <w:t xml:space="preserve">Fonds d'affectation spéciale </w:t>
      </w:r>
      <w:r w:rsidR="00961589">
        <w:rPr>
          <w:lang w:val="fr-FR"/>
        </w:rPr>
        <w:t>plur</w:t>
      </w:r>
      <w:r w:rsidR="00961589" w:rsidRPr="00C11090">
        <w:rPr>
          <w:lang w:val="fr-FR"/>
        </w:rPr>
        <w:t>i partenaires</w:t>
      </w:r>
      <w:r w:rsidR="00C11090" w:rsidRPr="00C11090">
        <w:rPr>
          <w:lang w:val="fr-FR"/>
        </w:rPr>
        <w:t xml:space="preserve"> (</w:t>
      </w:r>
      <w:r w:rsidR="00221BBB">
        <w:rPr>
          <w:lang w:val="fr-FR"/>
        </w:rPr>
        <w:t>b</w:t>
      </w:r>
      <w:r w:rsidR="00C11090" w:rsidRPr="00C11090">
        <w:rPr>
          <w:lang w:val="fr-FR"/>
        </w:rPr>
        <w:t>ureau de Kaboul, trois projets), du Fonds d'affectation spéciale des Nations Unies pour la sécurité humaine* (</w:t>
      </w:r>
      <w:r w:rsidR="00221BBB">
        <w:rPr>
          <w:lang w:val="fr-FR"/>
        </w:rPr>
        <w:t>b</w:t>
      </w:r>
      <w:r w:rsidR="00C11090" w:rsidRPr="00C11090">
        <w:rPr>
          <w:lang w:val="fr-FR"/>
        </w:rPr>
        <w:t xml:space="preserve">ureau de Quito), du Fonds conjoint </w:t>
      </w:r>
      <w:r w:rsidR="00221BBB" w:rsidRPr="00C11090">
        <w:rPr>
          <w:lang w:val="fr-FR"/>
        </w:rPr>
        <w:t>pour les O</w:t>
      </w:r>
      <w:r w:rsidR="00221BBB">
        <w:rPr>
          <w:lang w:val="fr-FR"/>
        </w:rPr>
        <w:t>D</w:t>
      </w:r>
      <w:r w:rsidR="00221BBB" w:rsidRPr="00C11090">
        <w:rPr>
          <w:lang w:val="fr-FR"/>
        </w:rPr>
        <w:t xml:space="preserve">D </w:t>
      </w:r>
      <w:r w:rsidR="00C11090" w:rsidRPr="00C11090">
        <w:rPr>
          <w:lang w:val="fr-FR"/>
        </w:rPr>
        <w:t>des Nations Unies (</w:t>
      </w:r>
      <w:r w:rsidR="00221BBB">
        <w:rPr>
          <w:lang w:val="fr-FR"/>
        </w:rPr>
        <w:t>b</w:t>
      </w:r>
      <w:r w:rsidR="00C11090" w:rsidRPr="00C11090">
        <w:rPr>
          <w:lang w:val="fr-FR"/>
        </w:rPr>
        <w:t xml:space="preserve">ureau de Libreville) et du Fonds pour la consolidation de la paix </w:t>
      </w:r>
      <w:r w:rsidR="00221BBB" w:rsidRPr="00C11090">
        <w:rPr>
          <w:lang w:val="fr-FR"/>
        </w:rPr>
        <w:t xml:space="preserve">des Nations Unies </w:t>
      </w:r>
      <w:r w:rsidR="00C11090" w:rsidRPr="00C11090">
        <w:rPr>
          <w:lang w:val="fr-FR"/>
        </w:rPr>
        <w:t>(</w:t>
      </w:r>
      <w:r w:rsidR="00221BBB">
        <w:rPr>
          <w:lang w:val="fr-FR"/>
        </w:rPr>
        <w:t>b</w:t>
      </w:r>
      <w:r w:rsidR="00C11090" w:rsidRPr="00C11090">
        <w:rPr>
          <w:lang w:val="fr-FR"/>
        </w:rPr>
        <w:t xml:space="preserve">ureau de Rabat). Ces contributions soutiennent les bureaux </w:t>
      </w:r>
      <w:r w:rsidR="00221BBB">
        <w:rPr>
          <w:lang w:val="fr-FR"/>
        </w:rPr>
        <w:t xml:space="preserve">hors-siège </w:t>
      </w:r>
      <w:r w:rsidR="00C11090" w:rsidRPr="00C11090">
        <w:rPr>
          <w:lang w:val="fr-FR"/>
        </w:rPr>
        <w:t>de l'UNESCO dans la mise en œuvre de onze projets</w:t>
      </w:r>
      <w:r w:rsidR="00DC5B74">
        <w:rPr>
          <w:lang w:val="fr-FR"/>
        </w:rPr>
        <w:t> </w:t>
      </w:r>
      <w:r w:rsidRPr="00C11090">
        <w:rPr>
          <w:lang w:val="fr-FR"/>
        </w:rPr>
        <w:t>;</w:t>
      </w:r>
    </w:p>
    <w:p w14:paraId="255EB325" w14:textId="42A0EDBD" w:rsidR="0032512A" w:rsidRPr="0032512A" w:rsidRDefault="008468C2" w:rsidP="003C0A42">
      <w:pPr>
        <w:pStyle w:val="COMParabodytext"/>
        <w:numPr>
          <w:ilvl w:val="1"/>
          <w:numId w:val="25"/>
        </w:numPr>
        <w:ind w:left="1134" w:hanging="567"/>
        <w:rPr>
          <w:b/>
          <w:bCs/>
          <w:lang w:val="fr-FR"/>
        </w:rPr>
      </w:pPr>
      <w:r>
        <w:rPr>
          <w:lang w:val="fr-FR"/>
        </w:rPr>
        <w:t xml:space="preserve">En outre, </w:t>
      </w:r>
      <w:r w:rsidR="0032512A">
        <w:rPr>
          <w:lang w:val="fr-FR"/>
        </w:rPr>
        <w:t>des</w:t>
      </w:r>
      <w:r>
        <w:rPr>
          <w:lang w:val="fr-FR"/>
        </w:rPr>
        <w:t xml:space="preserve"> </w:t>
      </w:r>
      <w:r w:rsidR="005A266D" w:rsidRPr="005A266D">
        <w:rPr>
          <w:lang w:val="fr-FR"/>
        </w:rPr>
        <w:t xml:space="preserve">contributions additionnelles au Programme </w:t>
      </w:r>
      <w:r w:rsidR="00221BBB">
        <w:rPr>
          <w:lang w:val="fr-FR"/>
        </w:rPr>
        <w:t>et budget</w:t>
      </w:r>
      <w:r w:rsidR="00221BBB" w:rsidRPr="005A266D">
        <w:rPr>
          <w:lang w:val="fr-FR"/>
        </w:rPr>
        <w:t xml:space="preserve"> </w:t>
      </w:r>
      <w:r w:rsidR="005A266D" w:rsidRPr="005A266D">
        <w:rPr>
          <w:lang w:val="fr-FR"/>
        </w:rPr>
        <w:t xml:space="preserve">de l’UNESCO </w:t>
      </w:r>
      <w:r w:rsidR="00221BBB">
        <w:rPr>
          <w:lang w:val="fr-FR"/>
        </w:rPr>
        <w:t xml:space="preserve">(C/5) </w:t>
      </w:r>
      <w:r w:rsidR="005A266D" w:rsidRPr="005A266D">
        <w:rPr>
          <w:lang w:val="fr-FR"/>
        </w:rPr>
        <w:t>ont été reçues de l</w:t>
      </w:r>
      <w:r>
        <w:rPr>
          <w:lang w:val="fr-FR"/>
        </w:rPr>
        <w:t xml:space="preserve">’Algérie, du Botswana*, du Brésil*, </w:t>
      </w:r>
      <w:r w:rsidR="00221BBB">
        <w:rPr>
          <w:lang w:val="fr-FR"/>
        </w:rPr>
        <w:t xml:space="preserve">de la Bulgarie, </w:t>
      </w:r>
      <w:r>
        <w:rPr>
          <w:lang w:val="fr-FR"/>
        </w:rPr>
        <w:t>de la Chine, de la France*, du Japon</w:t>
      </w:r>
      <w:r w:rsidR="00221BBB">
        <w:rPr>
          <w:lang w:val="fr-FR"/>
        </w:rPr>
        <w:t>,</w:t>
      </w:r>
      <w:r w:rsidR="005A266D" w:rsidRPr="005A266D">
        <w:rPr>
          <w:lang w:val="fr-FR"/>
        </w:rPr>
        <w:t xml:space="preserve"> de la Suède</w:t>
      </w:r>
      <w:r w:rsidR="00221BBB">
        <w:rPr>
          <w:lang w:val="fr-FR"/>
        </w:rPr>
        <w:t>, ainsi que</w:t>
      </w:r>
      <w:r w:rsidR="005A266D" w:rsidRPr="005A266D">
        <w:rPr>
          <w:lang w:val="fr-FR"/>
        </w:rPr>
        <w:t xml:space="preserve"> </w:t>
      </w:r>
      <w:r w:rsidR="00221BBB">
        <w:rPr>
          <w:lang w:val="fr-FR"/>
        </w:rPr>
        <w:t xml:space="preserve">du CRIHAP, </w:t>
      </w:r>
      <w:r w:rsidR="005A266D" w:rsidRPr="005A266D">
        <w:rPr>
          <w:lang w:val="fr-FR"/>
        </w:rPr>
        <w:t xml:space="preserve">pour soutenir le travail du Secrétariat à l’échelle globale (Siège). </w:t>
      </w:r>
      <w:r>
        <w:rPr>
          <w:lang w:val="fr-FR"/>
        </w:rPr>
        <w:t xml:space="preserve">Enfin, </w:t>
      </w:r>
      <w:r w:rsidR="00221BBB">
        <w:rPr>
          <w:lang w:val="fr-FR"/>
        </w:rPr>
        <w:t xml:space="preserve">cinq </w:t>
      </w:r>
      <w:r>
        <w:rPr>
          <w:lang w:val="fr-FR"/>
        </w:rPr>
        <w:t xml:space="preserve">contributions du secteur privé </w:t>
      </w:r>
      <w:r w:rsidR="00221BBB">
        <w:rPr>
          <w:lang w:val="fr-FR"/>
        </w:rPr>
        <w:t xml:space="preserve">de la Chine (bureau de Bangkok), de l’Inde (bureau de New-Dehli), du Pérou* (bureau de Lima, deux activités) et de la Thaïlande* (bureau de Bangkok) </w:t>
      </w:r>
      <w:r>
        <w:rPr>
          <w:lang w:val="fr-FR"/>
        </w:rPr>
        <w:t xml:space="preserve">ont été versées pour le soutien </w:t>
      </w:r>
      <w:r w:rsidR="00221BBB">
        <w:rPr>
          <w:lang w:val="fr-FR"/>
        </w:rPr>
        <w:t>aux activités menées par les bureaux de l’UNESCO hors-siège</w:t>
      </w:r>
      <w:r>
        <w:rPr>
          <w:lang w:val="fr-FR"/>
        </w:rPr>
        <w:t xml:space="preserve">. </w:t>
      </w:r>
      <w:r w:rsidR="0032512A">
        <w:rPr>
          <w:lang w:val="fr-FR"/>
        </w:rPr>
        <w:t xml:space="preserve">Au total, </w:t>
      </w:r>
      <w:r w:rsidR="00221BBB">
        <w:rPr>
          <w:lang w:val="fr-FR"/>
        </w:rPr>
        <w:t xml:space="preserve">quatorze </w:t>
      </w:r>
      <w:r w:rsidR="0032512A">
        <w:rPr>
          <w:lang w:val="fr-FR"/>
        </w:rPr>
        <w:t>activités ont été financées grâce à ces contributions.</w:t>
      </w:r>
    </w:p>
    <w:p w14:paraId="394E3E80" w14:textId="32CD310B" w:rsidR="00401771" w:rsidRPr="007D77D0" w:rsidRDefault="00401771" w:rsidP="0032512A">
      <w:pPr>
        <w:pStyle w:val="COMParabodytext"/>
        <w:ind w:left="567"/>
        <w:rPr>
          <w:b/>
          <w:bCs/>
          <w:lang w:val="fr-FR"/>
        </w:rPr>
      </w:pPr>
      <w:r w:rsidRPr="007D77D0">
        <w:rPr>
          <w:b/>
          <w:bCs/>
          <w:lang w:val="fr-FR"/>
        </w:rPr>
        <w:t>Remarques finales</w:t>
      </w:r>
    </w:p>
    <w:p w14:paraId="2BEA419F" w14:textId="04DF547B" w:rsidR="006C04DD" w:rsidRPr="006C04DD" w:rsidRDefault="006C04DD" w:rsidP="003C0A42">
      <w:pPr>
        <w:pStyle w:val="COMParabodytext"/>
        <w:numPr>
          <w:ilvl w:val="0"/>
          <w:numId w:val="25"/>
        </w:numPr>
        <w:ind w:left="567" w:hanging="567"/>
        <w:rPr>
          <w:lang w:val="fr-FR"/>
        </w:rPr>
      </w:pPr>
      <w:r w:rsidRPr="006C04DD">
        <w:rPr>
          <w:lang w:val="fr-FR"/>
        </w:rPr>
        <w:t xml:space="preserve">Par rapport à la même période de l'exercice biennal précédent, le niveau de soutien provenant des contributions volontaires supplémentaires pour la période allant de janvier 2022 à juin 2023 a été réduit de moitié (330 249 </w:t>
      </w:r>
      <w:r w:rsidR="007F67E2">
        <w:rPr>
          <w:lang w:val="fr-FR"/>
        </w:rPr>
        <w:t xml:space="preserve">dollars des </w:t>
      </w:r>
      <w:r w:rsidR="007F67E2" w:rsidRPr="00883C21">
        <w:rPr>
          <w:lang w:val="fr-FR"/>
        </w:rPr>
        <w:t>É</w:t>
      </w:r>
      <w:r w:rsidR="007F67E2">
        <w:rPr>
          <w:lang w:val="fr-FR"/>
        </w:rPr>
        <w:t>tats-Unis</w:t>
      </w:r>
      <w:r w:rsidRPr="006C04DD">
        <w:rPr>
          <w:lang w:val="fr-FR"/>
        </w:rPr>
        <w:t xml:space="preserve"> contre 757 278 </w:t>
      </w:r>
      <w:r w:rsidR="007F67E2">
        <w:rPr>
          <w:lang w:val="fr-FR"/>
        </w:rPr>
        <w:t xml:space="preserve">dollars des </w:t>
      </w:r>
      <w:r w:rsidR="007F67E2" w:rsidRPr="00883C21">
        <w:rPr>
          <w:lang w:val="fr-FR"/>
        </w:rPr>
        <w:t>É</w:t>
      </w:r>
      <w:r w:rsidR="007F67E2">
        <w:rPr>
          <w:lang w:val="fr-FR"/>
        </w:rPr>
        <w:t>tats-Unis</w:t>
      </w:r>
      <w:r w:rsidRPr="006C04DD">
        <w:rPr>
          <w:lang w:val="fr-FR"/>
        </w:rPr>
        <w:t xml:space="preserve"> entre janvier 2020 et juin 2021). Cela correspond à la tendance observée depuis 2012 d'une diminution constante du niveau des contributions volontaires supplémentaires à la Convention, qui représente désormais moins d'un cinquième de son niveau atteint il y a dix ans au cours du biennium 2012 - 2013 (1,9 million de dollars </w:t>
      </w:r>
      <w:r w:rsidR="00F11C23">
        <w:rPr>
          <w:lang w:val="fr-FR"/>
        </w:rPr>
        <w:t xml:space="preserve">des </w:t>
      </w:r>
      <w:bookmarkStart w:id="3" w:name="_Hlk150079603"/>
      <w:r w:rsidR="00F11C23" w:rsidRPr="00883C21">
        <w:rPr>
          <w:lang w:val="fr-FR"/>
        </w:rPr>
        <w:t>É</w:t>
      </w:r>
      <w:bookmarkEnd w:id="3"/>
      <w:r w:rsidR="00F11C23">
        <w:rPr>
          <w:lang w:val="fr-FR"/>
        </w:rPr>
        <w:t>tats-Unis</w:t>
      </w:r>
      <w:r w:rsidRPr="006C04DD">
        <w:rPr>
          <w:lang w:val="fr-FR"/>
        </w:rPr>
        <w:t xml:space="preserve">). Cependant, le soutien à la Convention reste fort à travers d'autres formes de contributions volontaires, notamment avec quatre nouveaux accords de fonds-en-dépôt établis et quinze nouvelles contributions </w:t>
      </w:r>
      <w:r w:rsidR="00F11C23">
        <w:rPr>
          <w:lang w:val="fr-FR"/>
        </w:rPr>
        <w:t>additionnelles</w:t>
      </w:r>
      <w:r w:rsidR="00F11C23" w:rsidRPr="006C04DD">
        <w:rPr>
          <w:lang w:val="fr-FR"/>
        </w:rPr>
        <w:t xml:space="preserve"> </w:t>
      </w:r>
      <w:r w:rsidRPr="006C04DD">
        <w:rPr>
          <w:lang w:val="fr-FR"/>
        </w:rPr>
        <w:t xml:space="preserve">au Programme </w:t>
      </w:r>
      <w:r w:rsidR="00F11C23">
        <w:rPr>
          <w:lang w:val="fr-FR"/>
        </w:rPr>
        <w:t>et budget</w:t>
      </w:r>
      <w:r w:rsidR="00F11C23" w:rsidRPr="006C04DD">
        <w:rPr>
          <w:lang w:val="fr-FR"/>
        </w:rPr>
        <w:t xml:space="preserve"> </w:t>
      </w:r>
      <w:r w:rsidRPr="006C04DD">
        <w:rPr>
          <w:lang w:val="fr-FR"/>
        </w:rPr>
        <w:t>de l'UNESCO</w:t>
      </w:r>
      <w:r w:rsidR="00F11C23">
        <w:rPr>
          <w:lang w:val="fr-FR"/>
        </w:rPr>
        <w:t xml:space="preserve"> (C/5)</w:t>
      </w:r>
      <w:r w:rsidRPr="006C04DD">
        <w:rPr>
          <w:lang w:val="fr-FR"/>
        </w:rPr>
        <w:t xml:space="preserve"> reçues au cours de la période considérée, comme indiqué dans la section B ci-dessus.</w:t>
      </w:r>
    </w:p>
    <w:p w14:paraId="6B7D0542" w14:textId="1C73B3F2" w:rsidR="00E51396" w:rsidRPr="00D520E9" w:rsidRDefault="006C04DD" w:rsidP="003C0A42">
      <w:pPr>
        <w:pStyle w:val="COMParabodytext"/>
        <w:numPr>
          <w:ilvl w:val="0"/>
          <w:numId w:val="25"/>
        </w:numPr>
        <w:ind w:left="567" w:hanging="567"/>
        <w:rPr>
          <w:lang w:val="fr-FR"/>
        </w:rPr>
      </w:pPr>
      <w:r w:rsidRPr="006C04DD">
        <w:rPr>
          <w:lang w:val="fr-FR"/>
        </w:rPr>
        <w:t xml:space="preserve">Pour répondre à tous les besoins exprimés par les communautés et les </w:t>
      </w:r>
      <w:r w:rsidR="00F11C23" w:rsidRPr="00F11C23">
        <w:rPr>
          <w:lang w:val="fr-FR"/>
        </w:rPr>
        <w:t>É</w:t>
      </w:r>
      <w:r w:rsidRPr="006C04DD">
        <w:rPr>
          <w:lang w:val="fr-FR"/>
        </w:rPr>
        <w:t xml:space="preserve">tats membres, le Fonds gagnerait à recevoir des contributions plus substantielles qui offriraient une flexibilité suffisante pour être orientées vers les questions les plus urgentes. Il va sans dire que le Secrétariat doit être doté de ressources humaines adéquates pour mener à bien ces actions. Le Comité pourrait donc encourager les donateurs à soutenir la réalisation des objectifs définis </w:t>
      </w:r>
      <w:r w:rsidRPr="006C04DD">
        <w:rPr>
          <w:lang w:val="fr-FR"/>
        </w:rPr>
        <w:lastRenderedPageBreak/>
        <w:t xml:space="preserve">dans les deux priorités de financement par le biais de contributions volontaires supplémentaires pour des projets réservés (en plus des accords de fonds-en-dépôt ou d'autres modalités réservées) et au sous-fonds destiné à renforcer les </w:t>
      </w:r>
      <w:r w:rsidR="00F11C23">
        <w:rPr>
          <w:lang w:val="fr-FR"/>
        </w:rPr>
        <w:t>ressources</w:t>
      </w:r>
      <w:r w:rsidR="00F11C23" w:rsidRPr="006C04DD">
        <w:rPr>
          <w:lang w:val="fr-FR"/>
        </w:rPr>
        <w:t xml:space="preserve"> </w:t>
      </w:r>
      <w:r w:rsidRPr="006C04DD">
        <w:rPr>
          <w:lang w:val="fr-FR"/>
        </w:rPr>
        <w:t>humaines du Secrétariat.</w:t>
      </w:r>
    </w:p>
    <w:p w14:paraId="13073FE4" w14:textId="73B3A14C" w:rsidR="007E60C6" w:rsidRPr="00204D59" w:rsidRDefault="007E60C6" w:rsidP="003C0A42">
      <w:pPr>
        <w:pStyle w:val="COMParabodytext"/>
        <w:numPr>
          <w:ilvl w:val="0"/>
          <w:numId w:val="25"/>
        </w:numPr>
        <w:ind w:left="567" w:hanging="567"/>
        <w:rPr>
          <w:lang w:val="fr-FR"/>
        </w:rPr>
      </w:pPr>
      <w:r w:rsidRPr="00204D59">
        <w:rPr>
          <w:lang w:val="fr-FR"/>
        </w:rPr>
        <w:t>Le Comité souhaitera peut-être adopter la décision suivante :</w:t>
      </w:r>
    </w:p>
    <w:p w14:paraId="182ADC81" w14:textId="6E57244B" w:rsidR="007E60C6" w:rsidRPr="00B43974" w:rsidRDefault="007E60C6" w:rsidP="007E60C6">
      <w:pPr>
        <w:pStyle w:val="GATitleResolution"/>
      </w:pPr>
      <w:r w:rsidRPr="0020150F">
        <w:t>PROJET DE DÉCIS</w:t>
      </w:r>
      <w:r>
        <w:t>ION 1</w:t>
      </w:r>
      <w:r w:rsidR="008F5A4F">
        <w:t>8</w:t>
      </w:r>
      <w:r w:rsidRPr="0020150F">
        <w:t>.COM</w:t>
      </w:r>
      <w:r w:rsidRPr="00A61C6E">
        <w:t xml:space="preserve"> </w:t>
      </w:r>
      <w:r w:rsidR="004E7493">
        <w:t>13</w:t>
      </w:r>
    </w:p>
    <w:p w14:paraId="3F5A1010" w14:textId="77777777" w:rsidR="007E60C6" w:rsidRPr="00B43974" w:rsidRDefault="007E60C6" w:rsidP="007E60C6">
      <w:pPr>
        <w:pStyle w:val="COMPreambulaDecision"/>
      </w:pPr>
      <w:r w:rsidRPr="00B43974">
        <w:t>Le Comité,</w:t>
      </w:r>
    </w:p>
    <w:p w14:paraId="7D270F6C" w14:textId="435CA3A5" w:rsidR="007E60C6" w:rsidRPr="004E7493" w:rsidRDefault="007E60C6" w:rsidP="00D30CFD">
      <w:pPr>
        <w:pStyle w:val="COMParaDecision"/>
      </w:pPr>
      <w:r w:rsidRPr="00B43974">
        <w:t>Ayant examiné</w:t>
      </w:r>
      <w:r w:rsidRPr="00B43974">
        <w:rPr>
          <w:u w:val="none"/>
        </w:rPr>
        <w:t xml:space="preserve"> le </w:t>
      </w:r>
      <w:r w:rsidRPr="004E7493">
        <w:rPr>
          <w:u w:val="none"/>
        </w:rPr>
        <w:t>document LHE/</w:t>
      </w:r>
      <w:r w:rsidR="00D520C1" w:rsidRPr="004E7493">
        <w:rPr>
          <w:u w:val="none"/>
        </w:rPr>
        <w:t>2</w:t>
      </w:r>
      <w:r w:rsidR="008F5A4F" w:rsidRPr="004E7493">
        <w:rPr>
          <w:u w:val="none"/>
        </w:rPr>
        <w:t>3</w:t>
      </w:r>
      <w:r w:rsidRPr="004E7493">
        <w:rPr>
          <w:u w:val="none"/>
        </w:rPr>
        <w:t>/1</w:t>
      </w:r>
      <w:r w:rsidR="008F5A4F" w:rsidRPr="004E7493">
        <w:rPr>
          <w:u w:val="none"/>
        </w:rPr>
        <w:t>8</w:t>
      </w:r>
      <w:r w:rsidRPr="004E7493">
        <w:rPr>
          <w:u w:val="none"/>
        </w:rPr>
        <w:t>.COM/</w:t>
      </w:r>
      <w:r w:rsidR="004E7493" w:rsidRPr="004E7493">
        <w:rPr>
          <w:u w:val="none"/>
        </w:rPr>
        <w:t xml:space="preserve">13 </w:t>
      </w:r>
      <w:r w:rsidR="009B223B" w:rsidRPr="004E7493">
        <w:rPr>
          <w:u w:val="none"/>
        </w:rPr>
        <w:t>et son annexe,</w:t>
      </w:r>
    </w:p>
    <w:p w14:paraId="6A20E322" w14:textId="2F715404" w:rsidR="00D30CFD" w:rsidRDefault="00D30CFD" w:rsidP="00D30CFD">
      <w:pPr>
        <w:pStyle w:val="COMParaDecision"/>
      </w:pPr>
      <w:r>
        <w:t>Rappelant</w:t>
      </w:r>
      <w:r w:rsidRPr="00D30CFD">
        <w:rPr>
          <w:u w:val="none"/>
        </w:rPr>
        <w:t xml:space="preserve"> l’article 25.5 de la Convention et le chapitre II des Directives opérationnelles,</w:t>
      </w:r>
    </w:p>
    <w:p w14:paraId="15D3E467" w14:textId="06B8B23A" w:rsidR="007E60C6" w:rsidRPr="00022428" w:rsidRDefault="007E60C6" w:rsidP="00D30CFD">
      <w:pPr>
        <w:pStyle w:val="COMParaDecision"/>
      </w:pPr>
      <w:r w:rsidRPr="00022428">
        <w:t>Rappelant</w:t>
      </w:r>
      <w:r w:rsidR="00D30CFD">
        <w:t xml:space="preserve"> également</w:t>
      </w:r>
      <w:r w:rsidR="00D30CFD" w:rsidRPr="00D30CFD">
        <w:rPr>
          <w:u w:val="none"/>
        </w:rPr>
        <w:t xml:space="preserve"> </w:t>
      </w:r>
      <w:r w:rsidR="00D30CFD">
        <w:rPr>
          <w:u w:val="none"/>
        </w:rPr>
        <w:t>ses</w:t>
      </w:r>
      <w:r w:rsidR="00D30CFD" w:rsidRPr="00D30CFD">
        <w:rPr>
          <w:u w:val="none"/>
        </w:rPr>
        <w:t xml:space="preserve"> décisions précédentes concernant les contributions volontaires supplémentaires au Fonds du patrimoine culturel immatériel, et plus particulièrement sa décision </w:t>
      </w:r>
      <w:hyperlink r:id="rId25" w:history="1">
        <w:r w:rsidR="001B28AF" w:rsidRPr="004E7493">
          <w:rPr>
            <w:rStyle w:val="Lienhypertexte"/>
            <w:rFonts w:eastAsia="SimSun"/>
          </w:rPr>
          <w:t>1</w:t>
        </w:r>
        <w:r w:rsidR="002D4E0F" w:rsidRPr="004E7493">
          <w:rPr>
            <w:rStyle w:val="Lienhypertexte"/>
            <w:rFonts w:eastAsia="SimSun"/>
          </w:rPr>
          <w:t>7</w:t>
        </w:r>
        <w:r w:rsidR="001B28AF" w:rsidRPr="004E7493">
          <w:rPr>
            <w:rStyle w:val="Lienhypertexte"/>
            <w:rFonts w:eastAsia="SimSun"/>
          </w:rPr>
          <w:t xml:space="preserve">.COM </w:t>
        </w:r>
        <w:r w:rsidR="004E7493" w:rsidRPr="004E7493">
          <w:rPr>
            <w:rStyle w:val="Lienhypertexte"/>
            <w:rFonts w:eastAsia="SimSun"/>
          </w:rPr>
          <w:t>12</w:t>
        </w:r>
      </w:hyperlink>
      <w:r w:rsidR="00D30CFD">
        <w:rPr>
          <w:rFonts w:eastAsia="SimSun"/>
          <w:u w:val="none"/>
        </w:rPr>
        <w:t>,</w:t>
      </w:r>
    </w:p>
    <w:p w14:paraId="122028A3" w14:textId="0F5AE077" w:rsidR="00D30CFD" w:rsidRPr="00DC6139" w:rsidRDefault="00D30CFD" w:rsidP="00D934D0">
      <w:pPr>
        <w:pStyle w:val="COMParaDecision"/>
        <w:rPr>
          <w:u w:val="none"/>
        </w:rPr>
      </w:pPr>
      <w:r w:rsidRPr="00D30CFD">
        <w:t>Remercie</w:t>
      </w:r>
      <w:r>
        <w:rPr>
          <w:u w:val="none"/>
        </w:rPr>
        <w:t xml:space="preserve"> </w:t>
      </w:r>
      <w:r w:rsidRPr="00D30CFD">
        <w:rPr>
          <w:u w:val="none"/>
        </w:rPr>
        <w:t xml:space="preserve">tous les donateurs qui </w:t>
      </w:r>
      <w:r w:rsidRPr="00961589">
        <w:rPr>
          <w:u w:val="none"/>
        </w:rPr>
        <w:t xml:space="preserve">ont généreusement soutenu la Convention et son Secrétariat depuis la dernière session, à savoir </w:t>
      </w:r>
      <w:r w:rsidR="00D934D0" w:rsidRPr="00961589">
        <w:rPr>
          <w:u w:val="none"/>
        </w:rPr>
        <w:t>la France, Monaco, la Slovaquie</w:t>
      </w:r>
      <w:r w:rsidR="00F11C23" w:rsidRPr="00961589">
        <w:rPr>
          <w:u w:val="none"/>
        </w:rPr>
        <w:t>, la Slovénie</w:t>
      </w:r>
      <w:r w:rsidR="00D934D0" w:rsidRPr="00961589">
        <w:rPr>
          <w:u w:val="none"/>
        </w:rPr>
        <w:t xml:space="preserve"> et le Centre international d’information et de travail</w:t>
      </w:r>
      <w:r w:rsidR="00D934D0" w:rsidRPr="00DC6139">
        <w:rPr>
          <w:u w:val="none"/>
        </w:rPr>
        <w:t xml:space="preserve"> en réseau sur le patrimoine culturel immatériel dans la région Asie-Pacifique (ICHCAP) </w:t>
      </w:r>
      <w:r w:rsidRPr="00DC6139">
        <w:rPr>
          <w:u w:val="none"/>
        </w:rPr>
        <w:t>ainsi qu</w:t>
      </w:r>
      <w:r w:rsidR="00F11C23">
        <w:rPr>
          <w:u w:val="none"/>
        </w:rPr>
        <w:t>e</w:t>
      </w:r>
      <w:r w:rsidRPr="00DC6139">
        <w:rPr>
          <w:u w:val="none"/>
        </w:rPr>
        <w:t xml:space="preserve"> la République populaire de Chine pour sa contribution en nature</w:t>
      </w:r>
      <w:r w:rsidR="00CE33ED">
        <w:rPr>
          <w:u w:val="none"/>
        </w:rPr>
        <w:t> </w:t>
      </w:r>
      <w:r w:rsidRPr="00DC6139">
        <w:rPr>
          <w:u w:val="none"/>
        </w:rPr>
        <w:t>;</w:t>
      </w:r>
    </w:p>
    <w:p w14:paraId="09C29756" w14:textId="44BBA752" w:rsidR="00D30CFD" w:rsidRPr="00D30CFD" w:rsidRDefault="00D30CFD" w:rsidP="00D30CFD">
      <w:pPr>
        <w:pStyle w:val="COMParaDecision"/>
        <w:rPr>
          <w:u w:val="none"/>
        </w:rPr>
      </w:pPr>
      <w:r w:rsidRPr="00D30CFD">
        <w:t>Prend note</w:t>
      </w:r>
      <w:r w:rsidRPr="00D30CFD">
        <w:rPr>
          <w:u w:val="none"/>
        </w:rPr>
        <w:t xml:space="preserve"> qu’outre les contributions volontaires supplémentaires versées au Fonds du patrimoine culturel immatériel, la Convention a reçu d’autres types de soutiens financiers par le biais des fonds-en-dépôt et d’autres modalités affectées à des fins spécifiques, et </w:t>
      </w:r>
      <w:bookmarkStart w:id="4" w:name="_Hlk150194076"/>
      <w:r w:rsidRPr="00AE569A">
        <w:t>exprime sa gratitude</w:t>
      </w:r>
      <w:r w:rsidRPr="00AE569A">
        <w:rPr>
          <w:u w:val="none"/>
        </w:rPr>
        <w:t xml:space="preserve"> </w:t>
      </w:r>
      <w:bookmarkEnd w:id="4"/>
      <w:r w:rsidRPr="00AE569A">
        <w:rPr>
          <w:u w:val="none"/>
        </w:rPr>
        <w:t>à tous les contributeurs qui soutiennent généreusement la Convention</w:t>
      </w:r>
      <w:r w:rsidR="00CE33ED">
        <w:rPr>
          <w:u w:val="none"/>
        </w:rPr>
        <w:t> </w:t>
      </w:r>
      <w:r w:rsidRPr="00AE569A">
        <w:rPr>
          <w:u w:val="none"/>
        </w:rPr>
        <w:t>;</w:t>
      </w:r>
    </w:p>
    <w:p w14:paraId="504AC80A" w14:textId="48CF0B86" w:rsidR="00D30CFD" w:rsidRPr="00D30CFD" w:rsidRDefault="00D30CFD" w:rsidP="00D30CFD">
      <w:pPr>
        <w:pStyle w:val="COMParaDecision"/>
        <w:rPr>
          <w:u w:val="none"/>
        </w:rPr>
      </w:pPr>
      <w:r w:rsidRPr="00D30CFD">
        <w:t>Encourage</w:t>
      </w:r>
      <w:r>
        <w:rPr>
          <w:u w:val="none"/>
        </w:rPr>
        <w:t> </w:t>
      </w:r>
      <w:r w:rsidRPr="00D30CFD">
        <w:rPr>
          <w:u w:val="none"/>
        </w:rPr>
        <w:t xml:space="preserve">les donateurs </w:t>
      </w:r>
      <w:r w:rsidR="00C37AAE">
        <w:rPr>
          <w:u w:val="none"/>
        </w:rPr>
        <w:t xml:space="preserve">potentiels </w:t>
      </w:r>
      <w:r w:rsidRPr="00D30CFD">
        <w:rPr>
          <w:u w:val="none"/>
        </w:rPr>
        <w:t>à soutenir la Convention, en particulier dans le cadre des deux priorités de financement définies pour la période 2022 – 2025 et du sous-fonds destiné au renforcement des ressources humaines du Secrétariat</w:t>
      </w:r>
      <w:r w:rsidR="00CE33ED">
        <w:rPr>
          <w:u w:val="none"/>
        </w:rPr>
        <w:t> </w:t>
      </w:r>
      <w:r w:rsidRPr="00D30CFD">
        <w:rPr>
          <w:u w:val="none"/>
        </w:rPr>
        <w:t>;</w:t>
      </w:r>
    </w:p>
    <w:p w14:paraId="07E5CFBA" w14:textId="77777777" w:rsidR="00D30CFD" w:rsidRPr="00D30CFD" w:rsidRDefault="00D30CFD" w:rsidP="00D30CFD">
      <w:pPr>
        <w:pStyle w:val="COMParaDecision"/>
        <w:rPr>
          <w:sz w:val="24"/>
          <w:szCs w:val="24"/>
          <w:u w:val="none"/>
        </w:rPr>
      </w:pPr>
      <w:r w:rsidRPr="00D30CFD">
        <w:t>Encourage en outre</w:t>
      </w:r>
      <w:r w:rsidRPr="00D30CFD">
        <w:rPr>
          <w:u w:val="none"/>
        </w:rPr>
        <w:t> le Secrétariat à poursuivre ses efforts pour mobiliser des fonds afin de soutenir la mise en œuvre de la Convention et de répondre positivement aux besoins exprimés par les États parties conformément aux deux priorités de financement ;</w:t>
      </w:r>
    </w:p>
    <w:p w14:paraId="14D0554B" w14:textId="30F1834C" w:rsidR="00D30CFD" w:rsidRPr="00D30CFD" w:rsidRDefault="00D30CFD" w:rsidP="00D30CFD">
      <w:pPr>
        <w:pStyle w:val="COMParaDecision"/>
        <w:rPr>
          <w:sz w:val="24"/>
          <w:szCs w:val="24"/>
          <w:u w:val="none"/>
        </w:rPr>
      </w:pPr>
      <w:r w:rsidRPr="00D30CFD">
        <w:t>Demande</w:t>
      </w:r>
      <w:r w:rsidRPr="00D30CFD">
        <w:rPr>
          <w:u w:val="none"/>
        </w:rPr>
        <w:t> au Secrétariat de lui rendre compte, lors de sa dix-</w:t>
      </w:r>
      <w:r>
        <w:rPr>
          <w:u w:val="none"/>
        </w:rPr>
        <w:t>neuvième</w:t>
      </w:r>
      <w:r w:rsidRPr="00D30CFD">
        <w:rPr>
          <w:u w:val="none"/>
        </w:rPr>
        <w:t xml:space="preserve"> session, de l’avancement réalisé dans la mise en œuvre de toute contribution volontaire supplémentaire qu’il aurait reçue depuis la dix-</w:t>
      </w:r>
      <w:r>
        <w:rPr>
          <w:u w:val="none"/>
        </w:rPr>
        <w:t>huitième</w:t>
      </w:r>
      <w:r w:rsidRPr="00D30CFD">
        <w:rPr>
          <w:u w:val="none"/>
        </w:rPr>
        <w:t xml:space="preserve"> session.</w:t>
      </w:r>
    </w:p>
    <w:p w14:paraId="7F5E68AE" w14:textId="77777777" w:rsidR="008F5A4F" w:rsidRPr="00D30CFD" w:rsidRDefault="008F5A4F">
      <w:pPr>
        <w:rPr>
          <w:rFonts w:ascii="Arial" w:hAnsi="Arial" w:cs="Arial"/>
          <w:sz w:val="22"/>
          <w:szCs w:val="22"/>
        </w:rPr>
      </w:pPr>
      <w:r w:rsidRPr="00D30CFD">
        <w:br w:type="page"/>
      </w:r>
    </w:p>
    <w:p w14:paraId="72C178EB" w14:textId="49F9E520" w:rsidR="008E0E01" w:rsidRPr="006F1291" w:rsidRDefault="008E0E01" w:rsidP="008E0E01">
      <w:pPr>
        <w:pStyle w:val="COMParaDecision"/>
        <w:keepNext/>
        <w:numPr>
          <w:ilvl w:val="0"/>
          <w:numId w:val="0"/>
        </w:numPr>
        <w:contextualSpacing/>
        <w:jc w:val="center"/>
        <w:rPr>
          <w:b/>
        </w:rPr>
      </w:pPr>
      <w:r w:rsidRPr="006F1291">
        <w:rPr>
          <w:b/>
        </w:rPr>
        <w:lastRenderedPageBreak/>
        <w:t>ANNEXE</w:t>
      </w:r>
    </w:p>
    <w:p w14:paraId="0348B5BA" w14:textId="69F5720A" w:rsidR="008E0E01" w:rsidRPr="00D520E9" w:rsidRDefault="008E0E01" w:rsidP="008E0E01">
      <w:pPr>
        <w:pStyle w:val="COMParaDecision"/>
        <w:keepNext/>
        <w:numPr>
          <w:ilvl w:val="0"/>
          <w:numId w:val="0"/>
        </w:numPr>
        <w:spacing w:before="240" w:after="0"/>
        <w:jc w:val="center"/>
        <w:rPr>
          <w:b/>
          <w:u w:val="none"/>
        </w:rPr>
      </w:pPr>
      <w:r w:rsidRPr="00D520E9">
        <w:rPr>
          <w:b/>
          <w:u w:val="none"/>
        </w:rPr>
        <w:t>Contributions financières et en nature en soutien de la Convention de 2003</w:t>
      </w:r>
    </w:p>
    <w:p w14:paraId="177058D8" w14:textId="4D702F12" w:rsidR="008E0E01" w:rsidRPr="00D520E9" w:rsidRDefault="008E0E01" w:rsidP="008E0E01">
      <w:pPr>
        <w:pStyle w:val="COMParaDecision"/>
        <w:keepNext/>
        <w:numPr>
          <w:ilvl w:val="0"/>
          <w:numId w:val="0"/>
        </w:numPr>
        <w:jc w:val="center"/>
        <w:rPr>
          <w:b/>
          <w:caps/>
          <w:snapToGrid w:val="0"/>
          <w:u w:val="none"/>
        </w:rPr>
      </w:pPr>
      <w:r w:rsidRPr="00D520E9">
        <w:rPr>
          <w:b/>
          <w:u w:val="none"/>
        </w:rPr>
        <w:t>pour la période du 1</w:t>
      </w:r>
      <w:r w:rsidR="00C37AAE">
        <w:rPr>
          <w:b/>
          <w:u w:val="none"/>
        </w:rPr>
        <w:t>er</w:t>
      </w:r>
      <w:r w:rsidRPr="00D520E9">
        <w:rPr>
          <w:b/>
          <w:u w:val="none"/>
        </w:rPr>
        <w:t xml:space="preserve"> janvier </w:t>
      </w:r>
      <w:r>
        <w:rPr>
          <w:b/>
          <w:u w:val="none"/>
        </w:rPr>
        <w:t>2022</w:t>
      </w:r>
      <w:r w:rsidRPr="00D520E9">
        <w:rPr>
          <w:b/>
          <w:u w:val="none"/>
        </w:rPr>
        <w:t xml:space="preserve"> au 30 juin 202</w:t>
      </w:r>
      <w:r>
        <w:rPr>
          <w:b/>
          <w:u w:val="none"/>
        </w:rPr>
        <w:t>3</w:t>
      </w:r>
    </w:p>
    <w:p w14:paraId="4C0D19C2" w14:textId="77777777" w:rsidR="008E0E01" w:rsidRPr="006F1291" w:rsidRDefault="008E0E01" w:rsidP="00105D3F">
      <w:pPr>
        <w:spacing w:before="840" w:after="60"/>
        <w:rPr>
          <w:rFonts w:ascii="Arial" w:hAnsi="Arial"/>
          <w:b/>
          <w:smallCaps/>
          <w:color w:val="000000"/>
        </w:rPr>
      </w:pPr>
      <w:r w:rsidRPr="00D520E9">
        <w:rPr>
          <w:rFonts w:ascii="Arial" w:hAnsi="Arial"/>
          <w:b/>
          <w:smallCaps/>
          <w:color w:val="000000"/>
        </w:rPr>
        <w:t>Contributions volontaires supplémentaires au Fonds du patrimoine culturel immatériel</w:t>
      </w:r>
    </w:p>
    <w:p w14:paraId="2DA1F64D" w14:textId="77777777" w:rsidR="008E0E01" w:rsidRDefault="008E0E01" w:rsidP="008E0E01">
      <w:pPr>
        <w:spacing w:before="120"/>
        <w:rPr>
          <w:rFonts w:ascii="Arial" w:hAnsi="Arial"/>
          <w:b/>
          <w:color w:val="000000"/>
          <w:sz w:val="20"/>
        </w:rPr>
      </w:pPr>
    </w:p>
    <w:p w14:paraId="3972C51C" w14:textId="1ECA67DB" w:rsidR="008E0E01" w:rsidRDefault="008E0E01" w:rsidP="008E0E01">
      <w:pPr>
        <w:spacing w:before="120"/>
        <w:ind w:left="709"/>
        <w:rPr>
          <w:rFonts w:ascii="Arial" w:hAnsi="Arial"/>
          <w:b/>
          <w:color w:val="000000"/>
          <w:sz w:val="20"/>
        </w:rPr>
      </w:pPr>
      <w:r w:rsidRPr="00D520E9">
        <w:rPr>
          <w:rFonts w:ascii="Arial" w:hAnsi="Arial"/>
          <w:b/>
          <w:color w:val="000000"/>
          <w:sz w:val="20"/>
        </w:rPr>
        <w:t xml:space="preserve">Priorité 1 de financement : Renforcement des capacités de sauvegarde du patrimoine culturel immatériel par </w:t>
      </w:r>
      <w:r w:rsidR="00C37AAE">
        <w:rPr>
          <w:rFonts w:ascii="Arial" w:hAnsi="Arial"/>
          <w:b/>
          <w:color w:val="000000"/>
          <w:sz w:val="20"/>
        </w:rPr>
        <w:t>le biais d’</w:t>
      </w:r>
      <w:r w:rsidRPr="00D520E9">
        <w:rPr>
          <w:rFonts w:ascii="Arial" w:hAnsi="Arial"/>
          <w:b/>
          <w:color w:val="000000"/>
          <w:sz w:val="20"/>
        </w:rPr>
        <w:t>approches multimodales et de contribution au développement durable</w:t>
      </w:r>
    </w:p>
    <w:tbl>
      <w:tblPr>
        <w:tblW w:w="8930" w:type="dxa"/>
        <w:tblInd w:w="709" w:type="dxa"/>
        <w:tblLook w:val="04A0" w:firstRow="1" w:lastRow="0" w:firstColumn="1" w:lastColumn="0" w:noHBand="0" w:noVBand="1"/>
      </w:tblPr>
      <w:tblGrid>
        <w:gridCol w:w="6603"/>
        <w:gridCol w:w="2327"/>
      </w:tblGrid>
      <w:tr w:rsidR="008E0E01" w:rsidRPr="00D520E9" w14:paraId="44CADB3D" w14:textId="77777777" w:rsidTr="000B1F5F">
        <w:trPr>
          <w:cantSplit/>
        </w:trPr>
        <w:tc>
          <w:tcPr>
            <w:tcW w:w="6603" w:type="dxa"/>
            <w:vAlign w:val="center"/>
          </w:tcPr>
          <w:p w14:paraId="31454549" w14:textId="10FD5C3F" w:rsidR="008E0E01" w:rsidRPr="00D520E9" w:rsidRDefault="008E0E01" w:rsidP="000B1F5F">
            <w:pPr>
              <w:spacing w:before="60" w:after="60"/>
              <w:ind w:left="288"/>
              <w:rPr>
                <w:rFonts w:ascii="Arial" w:hAnsi="Arial"/>
                <w:color w:val="000000"/>
                <w:sz w:val="20"/>
              </w:rPr>
            </w:pPr>
            <w:r w:rsidRPr="00D520E9">
              <w:rPr>
                <w:rFonts w:ascii="Arial" w:hAnsi="Arial"/>
                <w:b/>
                <w:color w:val="000000"/>
                <w:sz w:val="20"/>
              </w:rPr>
              <w:t xml:space="preserve"> </w:t>
            </w:r>
            <w:r w:rsidR="000B527F">
              <w:rPr>
                <w:rFonts w:ascii="Arial" w:hAnsi="Arial"/>
                <w:color w:val="000000"/>
                <w:sz w:val="20"/>
              </w:rPr>
              <w:t>Pays-Bas</w:t>
            </w:r>
          </w:p>
        </w:tc>
        <w:tc>
          <w:tcPr>
            <w:tcW w:w="2327" w:type="dxa"/>
            <w:vAlign w:val="center"/>
          </w:tcPr>
          <w:p w14:paraId="497FBEE3" w14:textId="55FEFD85" w:rsidR="008E0E01" w:rsidRDefault="000B527F" w:rsidP="000B1F5F">
            <w:pPr>
              <w:spacing w:before="60" w:after="60"/>
              <w:jc w:val="right"/>
              <w:rPr>
                <w:rFonts w:ascii="Arial" w:hAnsi="Arial"/>
                <w:color w:val="000000"/>
                <w:sz w:val="20"/>
              </w:rPr>
            </w:pPr>
            <w:r>
              <w:rPr>
                <w:rFonts w:ascii="Arial" w:hAnsi="Arial"/>
                <w:color w:val="000000"/>
                <w:sz w:val="20"/>
              </w:rPr>
              <w:t>74 775,67</w:t>
            </w:r>
            <w:r w:rsidRPr="00D520E9">
              <w:rPr>
                <w:rFonts w:ascii="Arial" w:hAnsi="Arial"/>
                <w:color w:val="000000"/>
                <w:sz w:val="20"/>
              </w:rPr>
              <w:t xml:space="preserve"> dollars des États-Unis</w:t>
            </w:r>
          </w:p>
        </w:tc>
      </w:tr>
      <w:tr w:rsidR="00080D5C" w:rsidRPr="00D520E9" w14:paraId="1184BE0B" w14:textId="77777777" w:rsidTr="000B1F5F">
        <w:trPr>
          <w:cantSplit/>
        </w:trPr>
        <w:tc>
          <w:tcPr>
            <w:tcW w:w="6603" w:type="dxa"/>
            <w:vAlign w:val="center"/>
          </w:tcPr>
          <w:p w14:paraId="5B084B1E" w14:textId="0C374B44" w:rsidR="00080D5C" w:rsidRDefault="00080D5C" w:rsidP="00080D5C">
            <w:pPr>
              <w:spacing w:before="60" w:after="60"/>
              <w:ind w:left="288"/>
              <w:rPr>
                <w:rFonts w:ascii="Arial" w:hAnsi="Arial"/>
                <w:color w:val="000000"/>
                <w:sz w:val="20"/>
              </w:rPr>
            </w:pPr>
            <w:r w:rsidRPr="00D520E9">
              <w:rPr>
                <w:rFonts w:ascii="Arial" w:hAnsi="Arial"/>
                <w:color w:val="000000"/>
                <w:sz w:val="20"/>
              </w:rPr>
              <w:t>ICHCAP</w:t>
            </w:r>
          </w:p>
        </w:tc>
        <w:tc>
          <w:tcPr>
            <w:tcW w:w="2327" w:type="dxa"/>
            <w:vAlign w:val="center"/>
          </w:tcPr>
          <w:p w14:paraId="6836987C" w14:textId="404F2D12" w:rsidR="00080D5C" w:rsidRDefault="00080D5C" w:rsidP="00080D5C">
            <w:pPr>
              <w:spacing w:before="60" w:after="60"/>
              <w:jc w:val="right"/>
              <w:rPr>
                <w:rFonts w:ascii="Arial" w:hAnsi="Arial"/>
                <w:color w:val="000000"/>
                <w:sz w:val="20"/>
              </w:rPr>
            </w:pPr>
            <w:r>
              <w:rPr>
                <w:rFonts w:ascii="Arial" w:hAnsi="Arial"/>
                <w:color w:val="000000"/>
                <w:sz w:val="20"/>
              </w:rPr>
              <w:t>121 271,23</w:t>
            </w:r>
            <w:r w:rsidRPr="00D520E9">
              <w:rPr>
                <w:rFonts w:ascii="Arial" w:hAnsi="Arial"/>
                <w:color w:val="000000"/>
                <w:sz w:val="20"/>
              </w:rPr>
              <w:t xml:space="preserve"> dollars des États-Unis</w:t>
            </w:r>
          </w:p>
        </w:tc>
      </w:tr>
    </w:tbl>
    <w:p w14:paraId="64AA3E1E" w14:textId="3250C3AA" w:rsidR="008E0E01" w:rsidRPr="00D520E9" w:rsidRDefault="008E0E01" w:rsidP="008E0E01">
      <w:pPr>
        <w:spacing w:before="120"/>
        <w:ind w:left="709"/>
        <w:rPr>
          <w:rFonts w:ascii="Arial" w:hAnsi="Arial" w:cs="Arial"/>
          <w:b/>
          <w:color w:val="000000"/>
          <w:sz w:val="20"/>
          <w:szCs w:val="20"/>
        </w:rPr>
      </w:pPr>
      <w:r w:rsidRPr="00D520E9">
        <w:rPr>
          <w:rFonts w:ascii="Arial" w:hAnsi="Arial"/>
          <w:b/>
          <w:color w:val="000000"/>
          <w:sz w:val="20"/>
        </w:rPr>
        <w:t xml:space="preserve">Sous-fonds pour le renforcement des </w:t>
      </w:r>
      <w:r w:rsidR="00C37AAE">
        <w:rPr>
          <w:rFonts w:ascii="Arial" w:hAnsi="Arial"/>
          <w:b/>
          <w:color w:val="000000"/>
          <w:sz w:val="20"/>
        </w:rPr>
        <w:t>ressources</w:t>
      </w:r>
      <w:r w:rsidR="00C37AAE" w:rsidRPr="00D520E9">
        <w:rPr>
          <w:rFonts w:ascii="Arial" w:hAnsi="Arial"/>
          <w:b/>
          <w:color w:val="000000"/>
          <w:sz w:val="20"/>
        </w:rPr>
        <w:t xml:space="preserve"> </w:t>
      </w:r>
      <w:r w:rsidRPr="00D520E9">
        <w:rPr>
          <w:rFonts w:ascii="Arial" w:hAnsi="Arial"/>
          <w:b/>
          <w:color w:val="000000"/>
          <w:sz w:val="20"/>
        </w:rPr>
        <w:t>humaines du Secrétariat</w:t>
      </w:r>
    </w:p>
    <w:tbl>
      <w:tblPr>
        <w:tblW w:w="8930" w:type="dxa"/>
        <w:tblInd w:w="709" w:type="dxa"/>
        <w:tblLook w:val="04A0" w:firstRow="1" w:lastRow="0" w:firstColumn="1" w:lastColumn="0" w:noHBand="0" w:noVBand="1"/>
      </w:tblPr>
      <w:tblGrid>
        <w:gridCol w:w="6603"/>
        <w:gridCol w:w="2327"/>
      </w:tblGrid>
      <w:tr w:rsidR="008E0E01" w:rsidRPr="00D520E9" w14:paraId="4A86EDCE" w14:textId="77777777" w:rsidTr="000B1F5F">
        <w:trPr>
          <w:cantSplit/>
        </w:trPr>
        <w:tc>
          <w:tcPr>
            <w:tcW w:w="6603" w:type="dxa"/>
            <w:vAlign w:val="center"/>
          </w:tcPr>
          <w:p w14:paraId="721DF24A" w14:textId="5F6F1D42" w:rsidR="008E0E01" w:rsidRPr="00D520E9" w:rsidRDefault="00C37AAE" w:rsidP="000B1F5F">
            <w:pPr>
              <w:spacing w:before="60" w:after="60"/>
              <w:ind w:left="288"/>
              <w:rPr>
                <w:rFonts w:ascii="Arial" w:hAnsi="Arial" w:cs="Arial"/>
                <w:color w:val="000000"/>
                <w:sz w:val="20"/>
                <w:szCs w:val="20"/>
              </w:rPr>
            </w:pPr>
            <w:r>
              <w:rPr>
                <w:rFonts w:ascii="Arial" w:hAnsi="Arial" w:cs="Arial"/>
                <w:color w:val="000000"/>
                <w:sz w:val="20"/>
              </w:rPr>
              <w:t>France</w:t>
            </w:r>
          </w:p>
        </w:tc>
        <w:tc>
          <w:tcPr>
            <w:tcW w:w="2327" w:type="dxa"/>
            <w:vAlign w:val="center"/>
          </w:tcPr>
          <w:p w14:paraId="01E50895" w14:textId="77777777" w:rsidR="008E0E01" w:rsidRPr="00D520E9" w:rsidRDefault="008E0E01" w:rsidP="000B1F5F">
            <w:pPr>
              <w:spacing w:before="60" w:after="60"/>
              <w:jc w:val="right"/>
              <w:rPr>
                <w:rFonts w:ascii="Arial" w:hAnsi="Arial" w:cs="Arial"/>
                <w:color w:val="000000"/>
                <w:sz w:val="20"/>
                <w:szCs w:val="20"/>
              </w:rPr>
            </w:pPr>
            <w:r w:rsidRPr="00D520E9">
              <w:rPr>
                <w:rFonts w:ascii="Arial" w:hAnsi="Arial"/>
                <w:color w:val="000000"/>
                <w:sz w:val="20"/>
              </w:rPr>
              <w:t>105 596,62 dollars des États-Unis</w:t>
            </w:r>
          </w:p>
        </w:tc>
      </w:tr>
      <w:tr w:rsidR="008E0E01" w:rsidRPr="00D520E9" w14:paraId="2B0CF50F" w14:textId="77777777" w:rsidTr="000B1F5F">
        <w:trPr>
          <w:cantSplit/>
        </w:trPr>
        <w:tc>
          <w:tcPr>
            <w:tcW w:w="6603" w:type="dxa"/>
            <w:vAlign w:val="center"/>
          </w:tcPr>
          <w:p w14:paraId="355DE216" w14:textId="77777777" w:rsidR="008E0E01" w:rsidRPr="00D520E9" w:rsidRDefault="008E0E01" w:rsidP="000B1F5F">
            <w:pPr>
              <w:spacing w:before="60" w:after="60"/>
              <w:ind w:left="288"/>
              <w:rPr>
                <w:rFonts w:ascii="Arial" w:hAnsi="Arial" w:cs="Arial"/>
                <w:color w:val="000000"/>
                <w:sz w:val="20"/>
                <w:szCs w:val="20"/>
              </w:rPr>
            </w:pPr>
            <w:r w:rsidRPr="00D520E9">
              <w:rPr>
                <w:rFonts w:ascii="Arial" w:hAnsi="Arial"/>
                <w:color w:val="000000"/>
                <w:sz w:val="20"/>
              </w:rPr>
              <w:t>Lituanie</w:t>
            </w:r>
          </w:p>
        </w:tc>
        <w:tc>
          <w:tcPr>
            <w:tcW w:w="2327" w:type="dxa"/>
            <w:vAlign w:val="center"/>
          </w:tcPr>
          <w:p w14:paraId="6DB74633" w14:textId="4DB05951" w:rsidR="008E0E01" w:rsidRPr="00D520E9" w:rsidRDefault="000B527F" w:rsidP="000B1F5F">
            <w:pPr>
              <w:spacing w:before="60" w:after="60"/>
              <w:jc w:val="right"/>
              <w:rPr>
                <w:rFonts w:ascii="Arial" w:hAnsi="Arial" w:cs="Arial"/>
                <w:color w:val="000000"/>
                <w:sz w:val="20"/>
                <w:szCs w:val="20"/>
              </w:rPr>
            </w:pPr>
            <w:r>
              <w:rPr>
                <w:rFonts w:ascii="Arial" w:hAnsi="Arial"/>
                <w:color w:val="000000"/>
                <w:sz w:val="20"/>
              </w:rPr>
              <w:t>5 056</w:t>
            </w:r>
            <w:r w:rsidR="008E0E01" w:rsidRPr="00D520E9">
              <w:rPr>
                <w:rFonts w:ascii="Arial" w:hAnsi="Arial"/>
                <w:color w:val="000000"/>
                <w:sz w:val="20"/>
              </w:rPr>
              <w:t>,00 dollars des États-Unis</w:t>
            </w:r>
          </w:p>
        </w:tc>
      </w:tr>
      <w:tr w:rsidR="000B527F" w:rsidRPr="00D520E9" w14:paraId="62EC7925" w14:textId="77777777" w:rsidTr="000B527F">
        <w:trPr>
          <w:cantSplit/>
        </w:trPr>
        <w:tc>
          <w:tcPr>
            <w:tcW w:w="6603" w:type="dxa"/>
            <w:vAlign w:val="center"/>
          </w:tcPr>
          <w:p w14:paraId="2BF49C2F" w14:textId="5C1548E1" w:rsidR="000B527F" w:rsidRPr="000B527F" w:rsidRDefault="000B527F" w:rsidP="000B1F5F">
            <w:pPr>
              <w:spacing w:before="60" w:after="60"/>
              <w:ind w:left="288"/>
              <w:rPr>
                <w:rFonts w:ascii="Arial" w:hAnsi="Arial"/>
                <w:color w:val="000000"/>
                <w:sz w:val="20"/>
              </w:rPr>
            </w:pPr>
            <w:r>
              <w:rPr>
                <w:rFonts w:ascii="Arial" w:hAnsi="Arial"/>
                <w:color w:val="000000"/>
                <w:sz w:val="20"/>
              </w:rPr>
              <w:t>Monaco</w:t>
            </w:r>
          </w:p>
        </w:tc>
        <w:tc>
          <w:tcPr>
            <w:tcW w:w="2327" w:type="dxa"/>
            <w:vAlign w:val="center"/>
          </w:tcPr>
          <w:p w14:paraId="62188D2A" w14:textId="1B4878FE" w:rsidR="000B527F" w:rsidRPr="000B527F" w:rsidRDefault="000B527F" w:rsidP="000B1F5F">
            <w:pPr>
              <w:spacing w:before="60" w:after="60"/>
              <w:jc w:val="right"/>
              <w:rPr>
                <w:rFonts w:ascii="Arial" w:hAnsi="Arial"/>
                <w:color w:val="000000"/>
                <w:sz w:val="20"/>
              </w:rPr>
            </w:pPr>
            <w:r>
              <w:rPr>
                <w:rFonts w:ascii="Arial" w:hAnsi="Arial"/>
                <w:color w:val="000000"/>
                <w:sz w:val="20"/>
              </w:rPr>
              <w:t>9 689,92</w:t>
            </w:r>
            <w:r w:rsidRPr="00D520E9">
              <w:rPr>
                <w:rFonts w:ascii="Arial" w:hAnsi="Arial"/>
                <w:color w:val="000000"/>
                <w:sz w:val="20"/>
              </w:rPr>
              <w:t xml:space="preserve"> dollars des États-Unis</w:t>
            </w:r>
          </w:p>
        </w:tc>
      </w:tr>
      <w:tr w:rsidR="000B527F" w:rsidRPr="00D520E9" w14:paraId="4F86B349" w14:textId="77777777" w:rsidTr="000B527F">
        <w:trPr>
          <w:cantSplit/>
        </w:trPr>
        <w:tc>
          <w:tcPr>
            <w:tcW w:w="6603" w:type="dxa"/>
            <w:vAlign w:val="center"/>
          </w:tcPr>
          <w:p w14:paraId="24F06812" w14:textId="273F2B83" w:rsidR="000B527F" w:rsidRPr="000B527F" w:rsidRDefault="000B527F" w:rsidP="000B1F5F">
            <w:pPr>
              <w:spacing w:before="60" w:after="60"/>
              <w:ind w:left="288"/>
              <w:rPr>
                <w:rFonts w:ascii="Arial" w:hAnsi="Arial"/>
                <w:color w:val="000000"/>
                <w:sz w:val="20"/>
              </w:rPr>
            </w:pPr>
            <w:r>
              <w:rPr>
                <w:rFonts w:ascii="Arial" w:hAnsi="Arial"/>
                <w:color w:val="000000"/>
                <w:sz w:val="20"/>
              </w:rPr>
              <w:t>Slovaquie</w:t>
            </w:r>
          </w:p>
        </w:tc>
        <w:tc>
          <w:tcPr>
            <w:tcW w:w="2327" w:type="dxa"/>
            <w:vAlign w:val="center"/>
          </w:tcPr>
          <w:p w14:paraId="35D53608" w14:textId="0C701713" w:rsidR="000B527F" w:rsidRPr="000B527F" w:rsidRDefault="000B527F" w:rsidP="000B1F5F">
            <w:pPr>
              <w:spacing w:before="60" w:after="60"/>
              <w:jc w:val="right"/>
              <w:rPr>
                <w:rFonts w:ascii="Arial" w:hAnsi="Arial"/>
                <w:color w:val="000000"/>
                <w:sz w:val="20"/>
              </w:rPr>
            </w:pPr>
            <w:r>
              <w:rPr>
                <w:rFonts w:ascii="Arial" w:hAnsi="Arial"/>
                <w:color w:val="000000"/>
                <w:sz w:val="20"/>
              </w:rPr>
              <w:t>8 528,78</w:t>
            </w:r>
            <w:r w:rsidRPr="00D520E9">
              <w:rPr>
                <w:rFonts w:ascii="Arial" w:hAnsi="Arial"/>
                <w:color w:val="000000"/>
                <w:sz w:val="20"/>
              </w:rPr>
              <w:t xml:space="preserve"> dollars des États-Unis</w:t>
            </w:r>
          </w:p>
        </w:tc>
      </w:tr>
      <w:tr w:rsidR="000B527F" w:rsidRPr="00D520E9" w14:paraId="405B9CAB" w14:textId="77777777" w:rsidTr="000B527F">
        <w:trPr>
          <w:cantSplit/>
        </w:trPr>
        <w:tc>
          <w:tcPr>
            <w:tcW w:w="6603" w:type="dxa"/>
            <w:vAlign w:val="center"/>
          </w:tcPr>
          <w:p w14:paraId="273BDBCA" w14:textId="6C55681B" w:rsidR="000B527F" w:rsidRDefault="000B527F" w:rsidP="000B1F5F">
            <w:pPr>
              <w:spacing w:before="60" w:after="60"/>
              <w:ind w:left="288"/>
              <w:rPr>
                <w:rFonts w:ascii="Arial" w:hAnsi="Arial"/>
                <w:color w:val="000000"/>
                <w:sz w:val="20"/>
              </w:rPr>
            </w:pPr>
            <w:r>
              <w:rPr>
                <w:rFonts w:ascii="Arial" w:hAnsi="Arial"/>
                <w:color w:val="000000"/>
                <w:sz w:val="20"/>
              </w:rPr>
              <w:t>Slovénie</w:t>
            </w:r>
          </w:p>
        </w:tc>
        <w:tc>
          <w:tcPr>
            <w:tcW w:w="2327" w:type="dxa"/>
            <w:vAlign w:val="center"/>
          </w:tcPr>
          <w:p w14:paraId="3E6B95B9" w14:textId="3D7C05D1" w:rsidR="000B527F" w:rsidRPr="00D520E9" w:rsidRDefault="000B527F" w:rsidP="000B1F5F">
            <w:pPr>
              <w:spacing w:before="60" w:after="60"/>
              <w:jc w:val="right"/>
              <w:rPr>
                <w:rFonts w:ascii="Arial" w:hAnsi="Arial"/>
                <w:color w:val="000000"/>
                <w:sz w:val="20"/>
              </w:rPr>
            </w:pPr>
            <w:r>
              <w:rPr>
                <w:rFonts w:ascii="Arial" w:hAnsi="Arial"/>
                <w:color w:val="000000"/>
                <w:sz w:val="20"/>
              </w:rPr>
              <w:t xml:space="preserve">5 330,49 </w:t>
            </w:r>
            <w:r w:rsidRPr="00D520E9">
              <w:rPr>
                <w:rFonts w:ascii="Arial" w:hAnsi="Arial"/>
                <w:color w:val="000000"/>
                <w:sz w:val="20"/>
              </w:rPr>
              <w:t>dollars des États-Unis</w:t>
            </w:r>
          </w:p>
        </w:tc>
      </w:tr>
    </w:tbl>
    <w:p w14:paraId="53541ABF" w14:textId="77CE63FB" w:rsidR="008E0E01" w:rsidRPr="00D520E9" w:rsidRDefault="008E0E01" w:rsidP="008E0E01">
      <w:pPr>
        <w:spacing w:before="360" w:after="60"/>
        <w:rPr>
          <w:rFonts w:ascii="Arial" w:hAnsi="Arial" w:cs="Arial"/>
          <w:b/>
          <w:smallCaps/>
          <w:color w:val="000000"/>
          <w:szCs w:val="22"/>
        </w:rPr>
      </w:pPr>
      <w:r w:rsidRPr="00D520E9">
        <w:rPr>
          <w:rFonts w:ascii="Arial" w:hAnsi="Arial"/>
          <w:b/>
          <w:smallCaps/>
          <w:color w:val="000000"/>
        </w:rPr>
        <w:t>Prêts et détachements</w:t>
      </w:r>
      <w:r w:rsidR="000B527F">
        <w:rPr>
          <w:rStyle w:val="Appelnotedebasdep"/>
          <w:rFonts w:ascii="Arial" w:hAnsi="Arial"/>
          <w:b/>
          <w:smallCaps/>
          <w:color w:val="000000"/>
        </w:rPr>
        <w:footnoteReference w:id="5"/>
      </w:r>
    </w:p>
    <w:tbl>
      <w:tblPr>
        <w:tblW w:w="8935" w:type="dxa"/>
        <w:tblInd w:w="709" w:type="dxa"/>
        <w:tblLook w:val="04A0" w:firstRow="1" w:lastRow="0" w:firstColumn="1" w:lastColumn="0" w:noHBand="0" w:noVBand="1"/>
      </w:tblPr>
      <w:tblGrid>
        <w:gridCol w:w="6605"/>
        <w:gridCol w:w="2330"/>
      </w:tblGrid>
      <w:tr w:rsidR="008E0E01" w:rsidRPr="00D520E9" w14:paraId="052E5784" w14:textId="77777777" w:rsidTr="000B1F5F">
        <w:trPr>
          <w:cantSplit/>
        </w:trPr>
        <w:tc>
          <w:tcPr>
            <w:tcW w:w="6605" w:type="dxa"/>
            <w:vAlign w:val="center"/>
            <w:hideMark/>
          </w:tcPr>
          <w:p w14:paraId="5C92F8DC" w14:textId="77777777" w:rsidR="008E0E01" w:rsidRPr="00D520E9" w:rsidRDefault="008E0E01" w:rsidP="000B1F5F">
            <w:pPr>
              <w:spacing w:before="60" w:after="60"/>
              <w:ind w:left="288"/>
              <w:rPr>
                <w:rFonts w:ascii="Arial" w:hAnsi="Arial" w:cs="Arial"/>
                <w:color w:val="000000"/>
                <w:sz w:val="20"/>
                <w:szCs w:val="20"/>
              </w:rPr>
            </w:pPr>
            <w:r w:rsidRPr="00D520E9">
              <w:rPr>
                <w:rFonts w:ascii="Arial" w:hAnsi="Arial"/>
                <w:color w:val="000000"/>
                <w:sz w:val="20"/>
              </w:rPr>
              <w:t>Chine</w:t>
            </w:r>
          </w:p>
        </w:tc>
        <w:tc>
          <w:tcPr>
            <w:tcW w:w="2330" w:type="dxa"/>
            <w:vAlign w:val="center"/>
            <w:hideMark/>
          </w:tcPr>
          <w:p w14:paraId="2396699A" w14:textId="77777777" w:rsidR="00C37AAE" w:rsidRDefault="000B527F" w:rsidP="000B1F5F">
            <w:pPr>
              <w:spacing w:before="60" w:after="60"/>
              <w:jc w:val="right"/>
              <w:rPr>
                <w:rFonts w:ascii="Arial" w:hAnsi="Arial"/>
                <w:color w:val="000000"/>
                <w:sz w:val="20"/>
              </w:rPr>
            </w:pPr>
            <w:r>
              <w:rPr>
                <w:rFonts w:ascii="Arial" w:hAnsi="Arial"/>
                <w:color w:val="000000"/>
                <w:sz w:val="20"/>
              </w:rPr>
              <w:t>18</w:t>
            </w:r>
            <w:r w:rsidR="008E0E01" w:rsidRPr="00D520E9">
              <w:rPr>
                <w:rFonts w:ascii="Arial" w:hAnsi="Arial"/>
                <w:color w:val="000000"/>
                <w:sz w:val="20"/>
              </w:rPr>
              <w:t xml:space="preserve"> mois au niveau P-2</w:t>
            </w:r>
            <w:r w:rsidR="00C37AAE">
              <w:rPr>
                <w:rFonts w:ascii="Arial" w:hAnsi="Arial"/>
                <w:color w:val="000000"/>
                <w:sz w:val="20"/>
              </w:rPr>
              <w:t xml:space="preserve"> </w:t>
            </w:r>
          </w:p>
          <w:p w14:paraId="0D620A35" w14:textId="157F56C2" w:rsidR="008E0E01" w:rsidRPr="00D520E9" w:rsidRDefault="00C37AAE" w:rsidP="000B1F5F">
            <w:pPr>
              <w:spacing w:before="60" w:after="60"/>
              <w:jc w:val="right"/>
              <w:rPr>
                <w:rFonts w:ascii="Arial" w:hAnsi="Arial" w:cs="Arial"/>
                <w:color w:val="000000"/>
                <w:sz w:val="20"/>
                <w:szCs w:val="20"/>
              </w:rPr>
            </w:pPr>
            <w:r>
              <w:rPr>
                <w:rFonts w:ascii="Arial" w:hAnsi="Arial"/>
                <w:color w:val="000000"/>
                <w:sz w:val="20"/>
              </w:rPr>
              <w:t>5 mois stagiaire parrainé</w:t>
            </w:r>
          </w:p>
        </w:tc>
      </w:tr>
    </w:tbl>
    <w:p w14:paraId="12FC43CB" w14:textId="77777777" w:rsidR="008E0E01" w:rsidRPr="00D30CFD" w:rsidRDefault="008E0E01" w:rsidP="00961589">
      <w:pPr>
        <w:pStyle w:val="COMParaDecision"/>
        <w:numPr>
          <w:ilvl w:val="0"/>
          <w:numId w:val="0"/>
        </w:numPr>
        <w:jc w:val="left"/>
      </w:pPr>
    </w:p>
    <w:sectPr w:rsidR="008E0E01" w:rsidRPr="00D30CFD" w:rsidSect="00BD1243">
      <w:headerReference w:type="even" r:id="rId26"/>
      <w:headerReference w:type="default" r:id="rId27"/>
      <w:headerReference w:type="first" r:id="rId28"/>
      <w:pgSz w:w="11906" w:h="16838" w:code="9"/>
      <w:pgMar w:top="1418" w:right="1134" w:bottom="1418"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77E58887" w14:textId="784387CC" w:rsidR="005D46EE" w:rsidRPr="00961589" w:rsidRDefault="005D46EE" w:rsidP="00961589">
      <w:pPr>
        <w:pStyle w:val="Notedebasdepage"/>
        <w:jc w:val="both"/>
        <w:rPr>
          <w:rFonts w:asciiTheme="minorBidi" w:hAnsiTheme="minorBidi" w:cstheme="minorBidi"/>
          <w:sz w:val="18"/>
          <w:szCs w:val="18"/>
        </w:rPr>
      </w:pPr>
      <w:r w:rsidRPr="00961589">
        <w:rPr>
          <w:rStyle w:val="Appelnotedebasdep"/>
          <w:rFonts w:asciiTheme="minorBidi" w:hAnsiTheme="minorBidi" w:cstheme="minorBidi"/>
          <w:sz w:val="18"/>
          <w:szCs w:val="18"/>
        </w:rPr>
        <w:footnoteRef/>
      </w:r>
      <w:r w:rsidRPr="00961589">
        <w:rPr>
          <w:rFonts w:asciiTheme="minorBidi" w:hAnsiTheme="minorBidi" w:cstheme="minorBidi"/>
          <w:sz w:val="18"/>
          <w:szCs w:val="18"/>
        </w:rPr>
        <w:t xml:space="preserve"> Entre la dix-septième session du Comité en novembre/décembre 2022 et le début de la période couverte par le présent document (1</w:t>
      </w:r>
      <w:r w:rsidR="009C79E1" w:rsidRPr="00497224">
        <w:rPr>
          <w:rFonts w:asciiTheme="minorBidi" w:hAnsiTheme="minorBidi" w:cstheme="minorBidi"/>
          <w:sz w:val="18"/>
          <w:szCs w:val="18"/>
        </w:rPr>
        <w:t>er</w:t>
      </w:r>
      <w:r w:rsidR="004B121D" w:rsidRPr="00497224">
        <w:rPr>
          <w:rFonts w:asciiTheme="minorBidi" w:hAnsiTheme="minorBidi" w:cstheme="minorBidi"/>
          <w:sz w:val="18"/>
          <w:szCs w:val="18"/>
        </w:rPr>
        <w:t xml:space="preserve"> </w:t>
      </w:r>
      <w:r w:rsidRPr="00961589">
        <w:rPr>
          <w:rFonts w:asciiTheme="minorBidi" w:hAnsiTheme="minorBidi" w:cstheme="minorBidi"/>
          <w:sz w:val="18"/>
          <w:szCs w:val="18"/>
        </w:rPr>
        <w:t xml:space="preserve">janvier 2023), cinq contributions volontaires ont été reçues de la Lituanie, de Monaco, de la Slovaquie et de la Slovénie pour le sous-fonds destiné à renforcer </w:t>
      </w:r>
      <w:r w:rsidR="004B121D" w:rsidRPr="00497224">
        <w:rPr>
          <w:rFonts w:asciiTheme="minorBidi" w:hAnsiTheme="minorBidi" w:cstheme="minorBidi"/>
          <w:sz w:val="18"/>
          <w:szCs w:val="18"/>
        </w:rPr>
        <w:t xml:space="preserve">les ressources humaines </w:t>
      </w:r>
      <w:r w:rsidRPr="00961589">
        <w:rPr>
          <w:rFonts w:asciiTheme="minorBidi" w:hAnsiTheme="minorBidi" w:cstheme="minorBidi"/>
          <w:sz w:val="18"/>
          <w:szCs w:val="18"/>
        </w:rPr>
        <w:t xml:space="preserve">du Secrétariat, ainsi que des Pays-Bas pour soutenir le projet </w:t>
      </w:r>
      <w:r w:rsidRPr="00497224">
        <w:rPr>
          <w:rFonts w:asciiTheme="minorBidi" w:hAnsiTheme="minorBidi" w:cstheme="minorBidi"/>
          <w:sz w:val="18"/>
          <w:szCs w:val="18"/>
        </w:rPr>
        <w:t>« </w:t>
      </w:r>
      <w:r w:rsidR="004B121D" w:rsidRPr="00497224">
        <w:rPr>
          <w:rFonts w:asciiTheme="minorBidi" w:hAnsiTheme="minorBidi" w:cstheme="minorBidi"/>
          <w:sz w:val="18"/>
          <w:szCs w:val="18"/>
        </w:rPr>
        <w:t>Renforcement des capacités de préparation des dossiers de candidature pour les Listes de la Convention de 2003 dans les petits États insulaires et en développement (PEID) d'Amérique latine et des Caraïbes </w:t>
      </w:r>
      <w:r w:rsidRPr="00497224">
        <w:rPr>
          <w:rFonts w:asciiTheme="minorBidi" w:hAnsiTheme="minorBidi" w:cstheme="minorBidi"/>
          <w:sz w:val="18"/>
          <w:szCs w:val="18"/>
        </w:rPr>
        <w:t>»</w:t>
      </w:r>
      <w:r w:rsidRPr="00961589">
        <w:rPr>
          <w:rFonts w:asciiTheme="minorBidi" w:hAnsiTheme="minorBidi" w:cstheme="minorBidi"/>
          <w:sz w:val="18"/>
          <w:szCs w:val="18"/>
        </w:rPr>
        <w:t xml:space="preserve"> (</w:t>
      </w:r>
      <w:r w:rsidR="009C79E1" w:rsidRPr="00497224">
        <w:rPr>
          <w:rFonts w:asciiTheme="minorBidi" w:hAnsiTheme="minorBidi" w:cstheme="minorBidi"/>
          <w:sz w:val="18"/>
          <w:szCs w:val="18"/>
        </w:rPr>
        <w:t>p</w:t>
      </w:r>
      <w:r w:rsidRPr="00961589">
        <w:rPr>
          <w:rFonts w:asciiTheme="minorBidi" w:hAnsiTheme="minorBidi" w:cstheme="minorBidi"/>
          <w:sz w:val="18"/>
          <w:szCs w:val="18"/>
        </w:rPr>
        <w:t xml:space="preserve">riorité </w:t>
      </w:r>
      <w:r w:rsidR="004B121D" w:rsidRPr="00497224">
        <w:rPr>
          <w:rFonts w:asciiTheme="minorBidi" w:hAnsiTheme="minorBidi" w:cstheme="minorBidi"/>
          <w:sz w:val="18"/>
          <w:szCs w:val="18"/>
        </w:rPr>
        <w:t xml:space="preserve">1 </w:t>
      </w:r>
      <w:r w:rsidRPr="00961589">
        <w:rPr>
          <w:rFonts w:asciiTheme="minorBidi" w:hAnsiTheme="minorBidi" w:cstheme="minorBidi"/>
          <w:sz w:val="18"/>
          <w:szCs w:val="18"/>
        </w:rPr>
        <w:t>de financement). Ces cinq contributions sont incluses dans l'annexe du présent document.</w:t>
      </w:r>
    </w:p>
  </w:footnote>
  <w:footnote w:id="2">
    <w:p w14:paraId="36615DDF" w14:textId="0C4695D8" w:rsidR="00497224" w:rsidRPr="00961589" w:rsidRDefault="00497224" w:rsidP="00961589">
      <w:pPr>
        <w:pStyle w:val="Notedebasdepage"/>
        <w:jc w:val="both"/>
        <w:rPr>
          <w:rFonts w:asciiTheme="minorBidi" w:hAnsiTheme="minorBidi" w:cstheme="minorBidi"/>
          <w:sz w:val="18"/>
          <w:szCs w:val="18"/>
        </w:rPr>
      </w:pPr>
      <w:r w:rsidRPr="00961589">
        <w:rPr>
          <w:rStyle w:val="Appelnotedebasdep"/>
          <w:rFonts w:asciiTheme="minorBidi" w:hAnsiTheme="minorBidi" w:cstheme="minorBidi"/>
          <w:sz w:val="18"/>
          <w:szCs w:val="18"/>
        </w:rPr>
        <w:footnoteRef/>
      </w:r>
      <w:r w:rsidRPr="00961589">
        <w:rPr>
          <w:rFonts w:asciiTheme="minorBidi" w:hAnsiTheme="minorBidi" w:cstheme="minorBidi"/>
          <w:sz w:val="18"/>
          <w:szCs w:val="18"/>
        </w:rPr>
        <w:t xml:space="preserve"> Après la période considérée, deux contributions au sous-fonds destiné à renforcer les ressources humaines du Secrétariat ont été reçues de Monaco (10 741,14 dollars des États-Unis en septembre 2023) et de la France (75 000 euros en octobre 2023). Elles seront reflétées dans le prochain rapport au 31 décembre 2023 qui sera présenté à la dixième session de l'Assemblée générale en 2024.</w:t>
      </w:r>
    </w:p>
  </w:footnote>
  <w:footnote w:id="3">
    <w:p w14:paraId="33218B40" w14:textId="13E770C4" w:rsidR="00B52C79" w:rsidRPr="00961589" w:rsidRDefault="00B52C79" w:rsidP="00961589">
      <w:pPr>
        <w:pStyle w:val="Notedebasdepage"/>
        <w:jc w:val="both"/>
        <w:rPr>
          <w:rFonts w:asciiTheme="minorBidi" w:hAnsiTheme="minorBidi" w:cstheme="minorBidi"/>
          <w:sz w:val="18"/>
          <w:szCs w:val="18"/>
        </w:rPr>
      </w:pPr>
      <w:r w:rsidRPr="00961589">
        <w:rPr>
          <w:rStyle w:val="Appelnotedebasdep"/>
          <w:rFonts w:asciiTheme="minorBidi" w:hAnsiTheme="minorBidi" w:cstheme="minorBidi"/>
          <w:sz w:val="18"/>
          <w:szCs w:val="18"/>
        </w:rPr>
        <w:footnoteRef/>
      </w:r>
      <w:r w:rsidRPr="00961589">
        <w:rPr>
          <w:rFonts w:asciiTheme="minorBidi" w:hAnsiTheme="minorBidi" w:cstheme="minorBidi"/>
          <w:sz w:val="18"/>
          <w:szCs w:val="18"/>
        </w:rPr>
        <w:t xml:space="preserve"> La présente section ne contient pas d'informations budgétaires, car il n'est pas possible de fournir des données significatives en raison des nombreuses périodes de mise en œuvre associées aux projets et activités mentionnés.</w:t>
      </w:r>
    </w:p>
  </w:footnote>
  <w:footnote w:id="4">
    <w:p w14:paraId="0F5895B5" w14:textId="1F66470D" w:rsidR="00DC5836" w:rsidRPr="00497224" w:rsidRDefault="00DC5836" w:rsidP="0039554E">
      <w:pPr>
        <w:pStyle w:val="Notedebasdepage"/>
        <w:jc w:val="both"/>
        <w:rPr>
          <w:rFonts w:asciiTheme="minorBidi" w:hAnsiTheme="minorBidi" w:cstheme="minorBidi"/>
          <w:sz w:val="18"/>
          <w:szCs w:val="18"/>
        </w:rPr>
      </w:pPr>
      <w:r w:rsidRPr="00497224">
        <w:rPr>
          <w:rStyle w:val="Appelnotedebasdep"/>
          <w:rFonts w:asciiTheme="minorBidi" w:hAnsiTheme="minorBidi" w:cstheme="minorBidi"/>
          <w:sz w:val="18"/>
          <w:szCs w:val="18"/>
        </w:rPr>
        <w:footnoteRef/>
      </w:r>
      <w:r w:rsidRPr="00497224">
        <w:rPr>
          <w:rFonts w:asciiTheme="minorBidi" w:hAnsiTheme="minorBidi" w:cstheme="minorBidi"/>
          <w:sz w:val="18"/>
          <w:szCs w:val="18"/>
        </w:rPr>
        <w:t xml:space="preserve"> Celle-ci inclut les projets qui sont placés sous le Résultat escompté du Produit 5</w:t>
      </w:r>
      <w:r w:rsidR="00B80B0C">
        <w:rPr>
          <w:rFonts w:asciiTheme="minorBidi" w:hAnsiTheme="minorBidi" w:cstheme="minorBidi"/>
          <w:sz w:val="18"/>
          <w:szCs w:val="18"/>
        </w:rPr>
        <w:t>.</w:t>
      </w:r>
      <w:r w:rsidRPr="00497224">
        <w:rPr>
          <w:rFonts w:asciiTheme="minorBidi" w:hAnsiTheme="minorBidi" w:cstheme="minorBidi"/>
          <w:sz w:val="18"/>
          <w:szCs w:val="18"/>
        </w:rPr>
        <w:t xml:space="preserve">CLT4 du </w:t>
      </w:r>
      <w:hyperlink r:id="rId1" w:history="1">
        <w:r w:rsidRPr="00497224">
          <w:rPr>
            <w:rStyle w:val="Lienhypertexte"/>
            <w:rFonts w:asciiTheme="minorBidi" w:hAnsiTheme="minorBidi" w:cstheme="minorBidi"/>
            <w:sz w:val="18"/>
            <w:szCs w:val="18"/>
          </w:rPr>
          <w:t>41 C/5</w:t>
        </w:r>
      </w:hyperlink>
      <w:r w:rsidRPr="00497224">
        <w:rPr>
          <w:rFonts w:asciiTheme="minorBidi" w:hAnsiTheme="minorBidi" w:cstheme="minorBidi"/>
          <w:sz w:val="18"/>
          <w:szCs w:val="18"/>
        </w:rPr>
        <w:t xml:space="preserve"> : « </w:t>
      </w:r>
      <w:r w:rsidR="00B80B0C" w:rsidRPr="00B80B0C">
        <w:rPr>
          <w:rFonts w:asciiTheme="minorBidi" w:hAnsiTheme="minorBidi" w:cstheme="minorBidi"/>
          <w:sz w:val="18"/>
          <w:szCs w:val="18"/>
        </w:rPr>
        <w:t>Renforcement des capacités des États membres et des communautés en matière d’identification, de sauvegarde et de promotion du patrimoine vivant</w:t>
      </w:r>
      <w:r w:rsidRPr="00497224">
        <w:rPr>
          <w:rFonts w:asciiTheme="minorBidi" w:hAnsiTheme="minorBidi" w:cstheme="minorBidi"/>
          <w:sz w:val="18"/>
          <w:szCs w:val="18"/>
        </w:rPr>
        <w:t> ». Les projets qui ont été initiés, en cours de mise en œuvre ou terminés durant la période considérée sont définis comme actifs. Les contributions des donateurs peuvent avoir été partiellement ou entièrement reçues avant ou pendant la période considérée. Les bureaux locaux - ou le Siège dans le cas d’activités globales - responsables de la mise en œuvre de chaque projet sont indiqués entre parenthèses après le nom du donateur.</w:t>
      </w:r>
    </w:p>
    <w:p w14:paraId="2C1B3100" w14:textId="5473F08F" w:rsidR="00DC5836" w:rsidRPr="00961589" w:rsidRDefault="00DC5836" w:rsidP="00961589">
      <w:pPr>
        <w:pStyle w:val="Notedebasdepage"/>
        <w:jc w:val="both"/>
        <w:rPr>
          <w:rFonts w:asciiTheme="minorBidi" w:hAnsiTheme="minorBidi" w:cstheme="minorBidi"/>
          <w:sz w:val="18"/>
          <w:szCs w:val="18"/>
        </w:rPr>
      </w:pPr>
    </w:p>
  </w:footnote>
  <w:footnote w:id="5">
    <w:p w14:paraId="43DE87DF" w14:textId="3A860DB9" w:rsidR="000B527F" w:rsidRPr="00961589" w:rsidRDefault="000B527F" w:rsidP="00961589">
      <w:pPr>
        <w:pStyle w:val="Notedebasdepage"/>
        <w:jc w:val="both"/>
        <w:rPr>
          <w:rFonts w:asciiTheme="minorBidi" w:hAnsiTheme="minorBidi" w:cstheme="minorBidi"/>
          <w:sz w:val="18"/>
          <w:szCs w:val="18"/>
        </w:rPr>
      </w:pPr>
      <w:r w:rsidRPr="00961589">
        <w:rPr>
          <w:rStyle w:val="Appelnotedebasdep"/>
          <w:rFonts w:asciiTheme="minorBidi" w:hAnsiTheme="minorBidi" w:cstheme="minorBidi"/>
          <w:sz w:val="18"/>
          <w:szCs w:val="18"/>
        </w:rPr>
        <w:footnoteRef/>
      </w:r>
      <w:r w:rsidRPr="00961589">
        <w:rPr>
          <w:rFonts w:asciiTheme="minorBidi" w:hAnsiTheme="minorBidi" w:cstheme="minorBidi"/>
          <w:sz w:val="18"/>
          <w:szCs w:val="18"/>
        </w:rPr>
        <w:t xml:space="preserve"> Informations fournies par l’Entité du patrimoine vivant</w:t>
      </w:r>
      <w:r w:rsidR="0025692F">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6EFA7243" w:rsidR="006B5001" w:rsidRPr="002E58D4" w:rsidRDefault="008F09EC" w:rsidP="00461168">
    <w:pPr>
      <w:pStyle w:val="En-tte"/>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8F5A4F">
      <w:rPr>
        <w:rFonts w:ascii="Arial" w:hAnsi="Arial" w:cs="Arial"/>
        <w:sz w:val="20"/>
        <w:szCs w:val="20"/>
        <w:lang w:val="en-US"/>
      </w:rPr>
      <w:t>3</w:t>
    </w:r>
    <w:r>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E9376C">
      <w:rPr>
        <w:rFonts w:ascii="Arial" w:hAnsi="Arial" w:cs="Arial"/>
        <w:sz w:val="20"/>
        <w:szCs w:val="20"/>
        <w:lang w:val="en-US"/>
      </w:rPr>
      <w:t>/</w:t>
    </w:r>
    <w:r w:rsidR="00EF2713">
      <w:rPr>
        <w:rFonts w:ascii="Arial" w:hAnsi="Arial" w:cs="Arial"/>
        <w:sz w:val="20"/>
        <w:szCs w:val="20"/>
        <w:lang w:val="en-US"/>
      </w:rPr>
      <w:t>13</w:t>
    </w:r>
    <w:r w:rsidR="00E9376C" w:rsidRPr="00EF563B">
      <w:rPr>
        <w:rFonts w:ascii="Arial" w:hAnsi="Arial" w:cs="Arial"/>
        <w:sz w:val="20"/>
        <w:szCs w:val="20"/>
        <w:lang w:val="en-US"/>
      </w:rPr>
      <w:t xml:space="preserve"> –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B223B">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5DE312A3"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8F5A4F">
      <w:rPr>
        <w:rFonts w:ascii="Arial" w:hAnsi="Arial" w:cs="Arial"/>
        <w:sz w:val="20"/>
        <w:szCs w:val="20"/>
        <w:lang w:val="en-US"/>
      </w:rPr>
      <w:t>3</w:t>
    </w:r>
    <w:r w:rsidR="00EF74E3">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2C0D14">
      <w:rPr>
        <w:rFonts w:ascii="Arial" w:hAnsi="Arial" w:cs="Arial"/>
        <w:sz w:val="20"/>
        <w:szCs w:val="20"/>
        <w:lang w:val="en-US"/>
      </w:rPr>
      <w:t>/</w:t>
    </w:r>
    <w:r w:rsidR="00EF2713">
      <w:rPr>
        <w:rFonts w:ascii="Arial" w:hAnsi="Arial" w:cs="Arial"/>
        <w:sz w:val="20"/>
        <w:szCs w:val="20"/>
        <w:lang w:val="en-US"/>
      </w:rPr>
      <w:t>13</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645317046" name="Image 164531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472EC1A3" w:rsidR="00E9376C" w:rsidRPr="00C318BF" w:rsidRDefault="00EA602C" w:rsidP="008F09EC">
    <w:pPr>
      <w:pStyle w:val="En-tte"/>
      <w:spacing w:after="520"/>
      <w:jc w:val="right"/>
      <w:rPr>
        <w:rFonts w:ascii="Arial" w:hAnsi="Arial" w:cs="Arial"/>
        <w:b/>
        <w:sz w:val="44"/>
        <w:szCs w:val="44"/>
        <w:lang w:val="pt-PT"/>
      </w:rPr>
    </w:pPr>
    <w:r w:rsidRPr="00C318BF">
      <w:rPr>
        <w:rFonts w:ascii="Arial" w:hAnsi="Arial" w:cs="Arial"/>
        <w:b/>
        <w:sz w:val="44"/>
        <w:szCs w:val="44"/>
        <w:lang w:val="pt-PT"/>
      </w:rPr>
      <w:t>1</w:t>
    </w:r>
    <w:r w:rsidR="008F5A4F">
      <w:rPr>
        <w:rFonts w:ascii="Arial" w:hAnsi="Arial" w:cs="Arial"/>
        <w:b/>
        <w:sz w:val="44"/>
        <w:szCs w:val="44"/>
        <w:lang w:val="pt-PT"/>
      </w:rPr>
      <w:t>8</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4BCF429E"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8F5A4F">
      <w:rPr>
        <w:rFonts w:ascii="Arial" w:hAnsi="Arial" w:cs="Arial"/>
        <w:b/>
        <w:sz w:val="22"/>
        <w:szCs w:val="22"/>
        <w:lang w:val="pt-PT"/>
      </w:rPr>
      <w:t>3</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8F5A4F">
      <w:rPr>
        <w:rFonts w:ascii="Arial" w:hAnsi="Arial" w:cs="Arial"/>
        <w:b/>
        <w:sz w:val="22"/>
        <w:szCs w:val="22"/>
        <w:lang w:val="pt-PT"/>
      </w:rPr>
      <w:t>8</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EF35C7">
      <w:rPr>
        <w:rFonts w:ascii="Arial" w:hAnsi="Arial" w:cs="Arial"/>
        <w:b/>
        <w:sz w:val="22"/>
        <w:szCs w:val="22"/>
        <w:lang w:val="pt-PT"/>
      </w:rPr>
      <w:t>13</w:t>
    </w:r>
  </w:p>
  <w:p w14:paraId="30B7DEB9" w14:textId="09ABD480"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961589">
      <w:rPr>
        <w:rFonts w:ascii="Arial" w:hAnsi="Arial" w:cs="Arial"/>
        <w:b/>
        <w:sz w:val="22"/>
        <w:szCs w:val="22"/>
        <w:lang w:val="pt-PT"/>
      </w:rPr>
      <w:t xml:space="preserve">le </w:t>
    </w:r>
    <w:r w:rsidR="00D96003" w:rsidRPr="00961589">
      <w:rPr>
        <w:rFonts w:ascii="Arial" w:hAnsi="Arial" w:cs="Arial"/>
        <w:b/>
        <w:sz w:val="22"/>
        <w:szCs w:val="22"/>
        <w:lang w:val="pt-PT"/>
      </w:rPr>
      <w:t>6 novembre</w:t>
    </w:r>
    <w:r w:rsidR="0057439C" w:rsidRPr="00961589">
      <w:rPr>
        <w:rFonts w:ascii="Arial" w:hAnsi="Arial" w:cs="Arial"/>
        <w:b/>
        <w:sz w:val="22"/>
        <w:szCs w:val="22"/>
        <w:lang w:val="pt-PT"/>
      </w:rPr>
      <w:t xml:space="preserve"> </w:t>
    </w:r>
    <w:r w:rsidR="00495C25" w:rsidRPr="00961589">
      <w:rPr>
        <w:rFonts w:ascii="Arial" w:hAnsi="Arial" w:cs="Arial"/>
        <w:b/>
        <w:sz w:val="22"/>
        <w:szCs w:val="22"/>
        <w:lang w:val="pt-PT"/>
      </w:rPr>
      <w:t>20</w:t>
    </w:r>
    <w:r w:rsidR="00D520C1" w:rsidRPr="00961589">
      <w:rPr>
        <w:rFonts w:ascii="Arial" w:hAnsi="Arial" w:cs="Arial"/>
        <w:b/>
        <w:sz w:val="22"/>
        <w:szCs w:val="22"/>
        <w:lang w:val="pt-PT"/>
      </w:rPr>
      <w:t>2</w:t>
    </w:r>
    <w:r w:rsidR="008F5A4F" w:rsidRPr="00961589">
      <w:rPr>
        <w:rFonts w:ascii="Arial" w:hAnsi="Arial" w:cs="Arial"/>
        <w:b/>
        <w:sz w:val="22"/>
        <w:szCs w:val="22"/>
        <w:lang w:val="pt-PT"/>
      </w:rPr>
      <w:t>3</w:t>
    </w:r>
  </w:p>
  <w:p w14:paraId="18E81B87" w14:textId="3166566F"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3C0A42">
      <w:rPr>
        <w:rFonts w:ascii="Arial" w:hAnsi="Arial" w:cs="Arial"/>
        <w:b/>
        <w:sz w:val="22"/>
        <w:szCs w:val="22"/>
      </w:rPr>
      <w:t>anglais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40E"/>
    <w:multiLevelType w:val="multilevel"/>
    <w:tmpl w:val="7E68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87FF9"/>
    <w:multiLevelType w:val="hybridMultilevel"/>
    <w:tmpl w:val="90603A94"/>
    <w:lvl w:ilvl="0" w:tplc="040C0019">
      <w:start w:val="1"/>
      <w:numFmt w:val="lowerLetter"/>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 w15:restartNumberingAfterBreak="0">
    <w:nsid w:val="05581F5C"/>
    <w:multiLevelType w:val="hybridMultilevel"/>
    <w:tmpl w:val="AE0694E4"/>
    <w:lvl w:ilvl="0" w:tplc="A5B6CC14">
      <w:start w:val="1"/>
      <w:numFmt w:val="upperLetter"/>
      <w:lvlText w:val="%1."/>
      <w:lvlJc w:val="left"/>
      <w:pPr>
        <w:ind w:left="644"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8420B6A"/>
    <w:multiLevelType w:val="multilevel"/>
    <w:tmpl w:val="32D6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C4625AD4"/>
    <w:lvl w:ilvl="0" w:tplc="05DE76A6">
      <w:start w:val="1"/>
      <w:numFmt w:val="decimal"/>
      <w:lvlText w:val="%1."/>
      <w:lvlJc w:val="left"/>
      <w:pPr>
        <w:ind w:left="36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01643F"/>
    <w:multiLevelType w:val="hybridMultilevel"/>
    <w:tmpl w:val="17AC7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E58C6"/>
    <w:multiLevelType w:val="hybridMultilevel"/>
    <w:tmpl w:val="CC9AE7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87582D"/>
    <w:multiLevelType w:val="hybridMultilevel"/>
    <w:tmpl w:val="7BE6ADF2"/>
    <w:lvl w:ilvl="0" w:tplc="AD24AB8A">
      <w:start w:val="5"/>
      <w:numFmt w:val="decimal"/>
      <w:lvlText w:val="%1."/>
      <w:lvlJc w:val="left"/>
      <w:pPr>
        <w:ind w:left="360" w:hanging="360"/>
      </w:pPr>
      <w:rPr>
        <w:rFonts w:hint="default"/>
      </w:rPr>
    </w:lvl>
    <w:lvl w:ilvl="1" w:tplc="8F38BF7A">
      <w:start w:val="1"/>
      <w:numFmt w:val="lowerLetter"/>
      <w:lvlText w:val="%2."/>
      <w:lvlJc w:val="left"/>
      <w:pPr>
        <w:ind w:left="1080" w:hanging="360"/>
      </w:pPr>
      <w:rPr>
        <w:b w:val="0"/>
        <w:bCs w:val="0"/>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6332148">
    <w:abstractNumId w:val="17"/>
  </w:num>
  <w:num w:numId="2" w16cid:durableId="853350057">
    <w:abstractNumId w:val="11"/>
  </w:num>
  <w:num w:numId="3" w16cid:durableId="1589851626">
    <w:abstractNumId w:val="5"/>
  </w:num>
  <w:num w:numId="4" w16cid:durableId="1870560250">
    <w:abstractNumId w:val="23"/>
  </w:num>
  <w:num w:numId="5" w16cid:durableId="1596859225">
    <w:abstractNumId w:val="18"/>
  </w:num>
  <w:num w:numId="6" w16cid:durableId="2080975943">
    <w:abstractNumId w:val="4"/>
  </w:num>
  <w:num w:numId="7" w16cid:durableId="1851137970">
    <w:abstractNumId w:val="6"/>
  </w:num>
  <w:num w:numId="8" w16cid:durableId="1715739635">
    <w:abstractNumId w:val="14"/>
  </w:num>
  <w:num w:numId="9" w16cid:durableId="1954705027">
    <w:abstractNumId w:val="10"/>
  </w:num>
  <w:num w:numId="10" w16cid:durableId="1949507549">
    <w:abstractNumId w:val="12"/>
  </w:num>
  <w:num w:numId="11" w16cid:durableId="671029231">
    <w:abstractNumId w:val="9"/>
  </w:num>
  <w:num w:numId="12" w16cid:durableId="1165126896">
    <w:abstractNumId w:val="8"/>
  </w:num>
  <w:num w:numId="13" w16cid:durableId="90053317">
    <w:abstractNumId w:val="16"/>
  </w:num>
  <w:num w:numId="14" w16cid:durableId="1645357661">
    <w:abstractNumId w:val="7"/>
  </w:num>
  <w:num w:numId="15" w16cid:durableId="797996451">
    <w:abstractNumId w:val="22"/>
  </w:num>
  <w:num w:numId="16" w16cid:durableId="164127508">
    <w:abstractNumId w:val="15"/>
  </w:num>
  <w:num w:numId="17" w16cid:durableId="1405369454">
    <w:abstractNumId w:val="12"/>
    <w:lvlOverride w:ilvl="0">
      <w:startOverride w:val="1"/>
    </w:lvlOverride>
  </w:num>
  <w:num w:numId="18" w16cid:durableId="918949064">
    <w:abstractNumId w:val="19"/>
  </w:num>
  <w:num w:numId="19" w16cid:durableId="1916747193">
    <w:abstractNumId w:val="13"/>
  </w:num>
  <w:num w:numId="20" w16cid:durableId="1111244606">
    <w:abstractNumId w:val="20"/>
  </w:num>
  <w:num w:numId="21" w16cid:durableId="671104648">
    <w:abstractNumId w:val="3"/>
  </w:num>
  <w:num w:numId="22" w16cid:durableId="1777288431">
    <w:abstractNumId w:val="0"/>
  </w:num>
  <w:num w:numId="23" w16cid:durableId="1589776868">
    <w:abstractNumId w:val="2"/>
  </w:num>
  <w:num w:numId="24" w16cid:durableId="1388068760">
    <w:abstractNumId w:val="1"/>
  </w:num>
  <w:num w:numId="25" w16cid:durableId="7367837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4A3E"/>
    <w:rsid w:val="00005097"/>
    <w:rsid w:val="00015619"/>
    <w:rsid w:val="00020BFC"/>
    <w:rsid w:val="00022428"/>
    <w:rsid w:val="000263BA"/>
    <w:rsid w:val="00034E05"/>
    <w:rsid w:val="0003530D"/>
    <w:rsid w:val="0005176E"/>
    <w:rsid w:val="000573DC"/>
    <w:rsid w:val="00077AB7"/>
    <w:rsid w:val="00080D5C"/>
    <w:rsid w:val="00081CD8"/>
    <w:rsid w:val="0008329C"/>
    <w:rsid w:val="00084F78"/>
    <w:rsid w:val="000A1206"/>
    <w:rsid w:val="000A7F0E"/>
    <w:rsid w:val="000B4736"/>
    <w:rsid w:val="000B527F"/>
    <w:rsid w:val="000E2219"/>
    <w:rsid w:val="000E6CD7"/>
    <w:rsid w:val="000F3A3F"/>
    <w:rsid w:val="00105D3F"/>
    <w:rsid w:val="00114C01"/>
    <w:rsid w:val="0012325D"/>
    <w:rsid w:val="00155D63"/>
    <w:rsid w:val="00160662"/>
    <w:rsid w:val="00164D56"/>
    <w:rsid w:val="00165170"/>
    <w:rsid w:val="00167B10"/>
    <w:rsid w:val="00171986"/>
    <w:rsid w:val="001757FA"/>
    <w:rsid w:val="00175FBA"/>
    <w:rsid w:val="0017752E"/>
    <w:rsid w:val="0019264E"/>
    <w:rsid w:val="00196C1B"/>
    <w:rsid w:val="001A766C"/>
    <w:rsid w:val="001A7940"/>
    <w:rsid w:val="001B0F73"/>
    <w:rsid w:val="001B28AF"/>
    <w:rsid w:val="001E4CFC"/>
    <w:rsid w:val="0020150F"/>
    <w:rsid w:val="00204D59"/>
    <w:rsid w:val="00221BBB"/>
    <w:rsid w:val="00222A2D"/>
    <w:rsid w:val="002407AF"/>
    <w:rsid w:val="00252AE7"/>
    <w:rsid w:val="0025692F"/>
    <w:rsid w:val="00280D62"/>
    <w:rsid w:val="002A6C11"/>
    <w:rsid w:val="002A6F73"/>
    <w:rsid w:val="002B4961"/>
    <w:rsid w:val="002C0D14"/>
    <w:rsid w:val="002C4045"/>
    <w:rsid w:val="002D4E0F"/>
    <w:rsid w:val="002D79A3"/>
    <w:rsid w:val="002E0D56"/>
    <w:rsid w:val="002E2F53"/>
    <w:rsid w:val="002E3D25"/>
    <w:rsid w:val="002E58D4"/>
    <w:rsid w:val="002F0A85"/>
    <w:rsid w:val="003152F5"/>
    <w:rsid w:val="0031668B"/>
    <w:rsid w:val="0032512A"/>
    <w:rsid w:val="003257ED"/>
    <w:rsid w:val="0032583C"/>
    <w:rsid w:val="003509ED"/>
    <w:rsid w:val="003732E4"/>
    <w:rsid w:val="00376850"/>
    <w:rsid w:val="003845BE"/>
    <w:rsid w:val="00392510"/>
    <w:rsid w:val="0039554E"/>
    <w:rsid w:val="003977CC"/>
    <w:rsid w:val="003A6594"/>
    <w:rsid w:val="003C0A42"/>
    <w:rsid w:val="003C1678"/>
    <w:rsid w:val="003D069C"/>
    <w:rsid w:val="003E07D8"/>
    <w:rsid w:val="003E2A08"/>
    <w:rsid w:val="003E6F9A"/>
    <w:rsid w:val="003F113A"/>
    <w:rsid w:val="003F5FEB"/>
    <w:rsid w:val="00401771"/>
    <w:rsid w:val="00421796"/>
    <w:rsid w:val="004239C7"/>
    <w:rsid w:val="00440F9B"/>
    <w:rsid w:val="004417A7"/>
    <w:rsid w:val="004421E5"/>
    <w:rsid w:val="00443880"/>
    <w:rsid w:val="00452284"/>
    <w:rsid w:val="00461168"/>
    <w:rsid w:val="00467FBE"/>
    <w:rsid w:val="00486429"/>
    <w:rsid w:val="00486948"/>
    <w:rsid w:val="0049100D"/>
    <w:rsid w:val="00495C25"/>
    <w:rsid w:val="0049705E"/>
    <w:rsid w:val="00497224"/>
    <w:rsid w:val="004B121D"/>
    <w:rsid w:val="004E15B3"/>
    <w:rsid w:val="004E7493"/>
    <w:rsid w:val="004F6E1D"/>
    <w:rsid w:val="00502F94"/>
    <w:rsid w:val="005158FF"/>
    <w:rsid w:val="00526B7B"/>
    <w:rsid w:val="005308CE"/>
    <w:rsid w:val="005369B5"/>
    <w:rsid w:val="005678AF"/>
    <w:rsid w:val="0057439C"/>
    <w:rsid w:val="00595B6D"/>
    <w:rsid w:val="005A266D"/>
    <w:rsid w:val="005B0127"/>
    <w:rsid w:val="005C094D"/>
    <w:rsid w:val="005C4B73"/>
    <w:rsid w:val="005D0BE6"/>
    <w:rsid w:val="005D46EE"/>
    <w:rsid w:val="005E6019"/>
    <w:rsid w:val="00600D93"/>
    <w:rsid w:val="006038E0"/>
    <w:rsid w:val="006042C6"/>
    <w:rsid w:val="006136A5"/>
    <w:rsid w:val="00616C7B"/>
    <w:rsid w:val="00627C5C"/>
    <w:rsid w:val="00655736"/>
    <w:rsid w:val="00663B8D"/>
    <w:rsid w:val="006923BD"/>
    <w:rsid w:val="00696C8D"/>
    <w:rsid w:val="006A2AC2"/>
    <w:rsid w:val="006A3617"/>
    <w:rsid w:val="006B5001"/>
    <w:rsid w:val="006C04DD"/>
    <w:rsid w:val="006D21D9"/>
    <w:rsid w:val="006D2536"/>
    <w:rsid w:val="006D5C0F"/>
    <w:rsid w:val="006E46E4"/>
    <w:rsid w:val="006F1291"/>
    <w:rsid w:val="006F444F"/>
    <w:rsid w:val="00702366"/>
    <w:rsid w:val="00717AAB"/>
    <w:rsid w:val="00717DBD"/>
    <w:rsid w:val="00741016"/>
    <w:rsid w:val="007628C8"/>
    <w:rsid w:val="00764CF9"/>
    <w:rsid w:val="00766F40"/>
    <w:rsid w:val="00784B8C"/>
    <w:rsid w:val="007A000F"/>
    <w:rsid w:val="007C354B"/>
    <w:rsid w:val="007D5DE0"/>
    <w:rsid w:val="007D77D0"/>
    <w:rsid w:val="007E0F1E"/>
    <w:rsid w:val="007E60C6"/>
    <w:rsid w:val="007F4526"/>
    <w:rsid w:val="007F67E2"/>
    <w:rsid w:val="008064F0"/>
    <w:rsid w:val="00823A11"/>
    <w:rsid w:val="00824EF7"/>
    <w:rsid w:val="0084289A"/>
    <w:rsid w:val="008468C2"/>
    <w:rsid w:val="00850505"/>
    <w:rsid w:val="0085414A"/>
    <w:rsid w:val="0086269D"/>
    <w:rsid w:val="00863302"/>
    <w:rsid w:val="008712A2"/>
    <w:rsid w:val="00871C8F"/>
    <w:rsid w:val="008724E5"/>
    <w:rsid w:val="008745B4"/>
    <w:rsid w:val="00883C21"/>
    <w:rsid w:val="00884A9D"/>
    <w:rsid w:val="00886650"/>
    <w:rsid w:val="008A4E1E"/>
    <w:rsid w:val="008B64DF"/>
    <w:rsid w:val="008C0E44"/>
    <w:rsid w:val="008C296C"/>
    <w:rsid w:val="008D4305"/>
    <w:rsid w:val="008D4D0D"/>
    <w:rsid w:val="008E0E01"/>
    <w:rsid w:val="008F09EC"/>
    <w:rsid w:val="008F5A4F"/>
    <w:rsid w:val="00901502"/>
    <w:rsid w:val="00913D86"/>
    <w:rsid w:val="009163A7"/>
    <w:rsid w:val="00922E3E"/>
    <w:rsid w:val="00933C6B"/>
    <w:rsid w:val="00935F8F"/>
    <w:rsid w:val="00950F68"/>
    <w:rsid w:val="0096099E"/>
    <w:rsid w:val="00961589"/>
    <w:rsid w:val="00962119"/>
    <w:rsid w:val="00974249"/>
    <w:rsid w:val="009827C7"/>
    <w:rsid w:val="00993211"/>
    <w:rsid w:val="009A18CD"/>
    <w:rsid w:val="009B223B"/>
    <w:rsid w:val="009B5302"/>
    <w:rsid w:val="009B56B6"/>
    <w:rsid w:val="009C79E1"/>
    <w:rsid w:val="009E1B50"/>
    <w:rsid w:val="00A12558"/>
    <w:rsid w:val="00A13903"/>
    <w:rsid w:val="00A13EDC"/>
    <w:rsid w:val="00A22951"/>
    <w:rsid w:val="00A34ED5"/>
    <w:rsid w:val="00A45DBF"/>
    <w:rsid w:val="00A61C6E"/>
    <w:rsid w:val="00A755A2"/>
    <w:rsid w:val="00A90761"/>
    <w:rsid w:val="00AB2C36"/>
    <w:rsid w:val="00AB42B9"/>
    <w:rsid w:val="00AC35FB"/>
    <w:rsid w:val="00AC3A2E"/>
    <w:rsid w:val="00AD1A86"/>
    <w:rsid w:val="00AE103E"/>
    <w:rsid w:val="00AE3322"/>
    <w:rsid w:val="00AE569A"/>
    <w:rsid w:val="00AF0A07"/>
    <w:rsid w:val="00AF5AE5"/>
    <w:rsid w:val="00AF625E"/>
    <w:rsid w:val="00AF721B"/>
    <w:rsid w:val="00B152B1"/>
    <w:rsid w:val="00B156A7"/>
    <w:rsid w:val="00B3659A"/>
    <w:rsid w:val="00B43974"/>
    <w:rsid w:val="00B45750"/>
    <w:rsid w:val="00B52C79"/>
    <w:rsid w:val="00B6719D"/>
    <w:rsid w:val="00B675B6"/>
    <w:rsid w:val="00B71A0E"/>
    <w:rsid w:val="00B74DEF"/>
    <w:rsid w:val="00B80B0C"/>
    <w:rsid w:val="00B90701"/>
    <w:rsid w:val="00B907C4"/>
    <w:rsid w:val="00BB009B"/>
    <w:rsid w:val="00BC3420"/>
    <w:rsid w:val="00BD1243"/>
    <w:rsid w:val="00BD52C9"/>
    <w:rsid w:val="00BE6354"/>
    <w:rsid w:val="00BE7FC1"/>
    <w:rsid w:val="00C06C42"/>
    <w:rsid w:val="00C11090"/>
    <w:rsid w:val="00C177CC"/>
    <w:rsid w:val="00C318BF"/>
    <w:rsid w:val="00C358C4"/>
    <w:rsid w:val="00C377F5"/>
    <w:rsid w:val="00C37AAE"/>
    <w:rsid w:val="00C4706B"/>
    <w:rsid w:val="00C52C7B"/>
    <w:rsid w:val="00C61B0F"/>
    <w:rsid w:val="00C70EA7"/>
    <w:rsid w:val="00C7516E"/>
    <w:rsid w:val="00C94C37"/>
    <w:rsid w:val="00CD0D5A"/>
    <w:rsid w:val="00CE33ED"/>
    <w:rsid w:val="00CF6107"/>
    <w:rsid w:val="00D02494"/>
    <w:rsid w:val="00D24877"/>
    <w:rsid w:val="00D30CFD"/>
    <w:rsid w:val="00D520C1"/>
    <w:rsid w:val="00D5368D"/>
    <w:rsid w:val="00D557EA"/>
    <w:rsid w:val="00D75D42"/>
    <w:rsid w:val="00D934D0"/>
    <w:rsid w:val="00D94075"/>
    <w:rsid w:val="00D96003"/>
    <w:rsid w:val="00DA36ED"/>
    <w:rsid w:val="00DB4A84"/>
    <w:rsid w:val="00DC0F3C"/>
    <w:rsid w:val="00DC5836"/>
    <w:rsid w:val="00DC5B74"/>
    <w:rsid w:val="00DC6139"/>
    <w:rsid w:val="00DD0457"/>
    <w:rsid w:val="00DE34F1"/>
    <w:rsid w:val="00DF4942"/>
    <w:rsid w:val="00E1513E"/>
    <w:rsid w:val="00E22288"/>
    <w:rsid w:val="00E3089F"/>
    <w:rsid w:val="00E37452"/>
    <w:rsid w:val="00E47AD3"/>
    <w:rsid w:val="00E51396"/>
    <w:rsid w:val="00E60B9D"/>
    <w:rsid w:val="00E627B1"/>
    <w:rsid w:val="00E62B4C"/>
    <w:rsid w:val="00E67235"/>
    <w:rsid w:val="00E76669"/>
    <w:rsid w:val="00E9376C"/>
    <w:rsid w:val="00EA602C"/>
    <w:rsid w:val="00ED3691"/>
    <w:rsid w:val="00EF2713"/>
    <w:rsid w:val="00EF29D5"/>
    <w:rsid w:val="00EF35C7"/>
    <w:rsid w:val="00EF74E3"/>
    <w:rsid w:val="00F11C23"/>
    <w:rsid w:val="00F134B7"/>
    <w:rsid w:val="00F35753"/>
    <w:rsid w:val="00F4581D"/>
    <w:rsid w:val="00F55351"/>
    <w:rsid w:val="00F576CB"/>
    <w:rsid w:val="00F62542"/>
    <w:rsid w:val="00F70AA5"/>
    <w:rsid w:val="00F84A0B"/>
    <w:rsid w:val="00F93265"/>
    <w:rsid w:val="00FC01D7"/>
    <w:rsid w:val="00FC2940"/>
    <w:rsid w:val="00FC4715"/>
    <w:rsid w:val="00FD1226"/>
    <w:rsid w:val="00FD5F39"/>
    <w:rsid w:val="00FF2C42"/>
    <w:rsid w:val="00FF380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styleId="Notedebasdepage">
    <w:name w:val="footnote text"/>
    <w:basedOn w:val="Normal"/>
    <w:link w:val="NotedebasdepageCar"/>
    <w:uiPriority w:val="99"/>
    <w:unhideWhenUsed/>
    <w:rsid w:val="008F5A4F"/>
    <w:rPr>
      <w:sz w:val="20"/>
      <w:szCs w:val="20"/>
    </w:rPr>
  </w:style>
  <w:style w:type="character" w:customStyle="1" w:styleId="NotedebasdepageCar">
    <w:name w:val="Note de bas de page Car"/>
    <w:basedOn w:val="Policepardfaut"/>
    <w:link w:val="Notedebasdepage"/>
    <w:uiPriority w:val="99"/>
    <w:rsid w:val="008F5A4F"/>
    <w:rPr>
      <w:rFonts w:ascii="Times New Roman" w:eastAsia="Times New Roman" w:hAnsi="Times New Roman"/>
    </w:rPr>
  </w:style>
  <w:style w:type="character" w:styleId="Appelnotedebasdep">
    <w:name w:val="footnote reference"/>
    <w:basedOn w:val="Policepardfaut"/>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vision">
    <w:name w:val="Revision"/>
    <w:hidden/>
    <w:uiPriority w:val="99"/>
    <w:semiHidden/>
    <w:rsid w:val="00F62542"/>
    <w:rPr>
      <w:rFonts w:ascii="Times New Roman" w:eastAsia="Times New Roman" w:hAnsi="Times New Roman"/>
      <w:sz w:val="24"/>
      <w:szCs w:val="24"/>
    </w:rPr>
  </w:style>
  <w:style w:type="character" w:styleId="Lienhypertextesuivivisit">
    <w:name w:val="FollowedHyperlink"/>
    <w:basedOn w:val="Policepardfaut"/>
    <w:uiPriority w:val="99"/>
    <w:semiHidden/>
    <w:unhideWhenUsed/>
    <w:rsid w:val="00901502"/>
    <w:rPr>
      <w:color w:val="800080" w:themeColor="followedHyperlink"/>
      <w:u w:val="single"/>
    </w:rPr>
  </w:style>
  <w:style w:type="character" w:styleId="Mentionnonrsolue">
    <w:name w:val="Unresolved Mention"/>
    <w:basedOn w:val="Policepardfaut"/>
    <w:uiPriority w:val="99"/>
    <w:semiHidden/>
    <w:unhideWhenUsed/>
    <w:rsid w:val="004E7493"/>
    <w:rPr>
      <w:color w:val="605E5C"/>
      <w:shd w:val="clear" w:color="auto" w:fill="E1DFDD"/>
    </w:rPr>
  </w:style>
  <w:style w:type="character" w:styleId="Marquedecommentaire">
    <w:name w:val="annotation reference"/>
    <w:basedOn w:val="Policepardfaut"/>
    <w:uiPriority w:val="99"/>
    <w:semiHidden/>
    <w:unhideWhenUsed/>
    <w:rsid w:val="00DC6139"/>
    <w:rPr>
      <w:sz w:val="16"/>
      <w:szCs w:val="16"/>
    </w:rPr>
  </w:style>
  <w:style w:type="paragraph" w:styleId="Commentaire">
    <w:name w:val="annotation text"/>
    <w:basedOn w:val="Normal"/>
    <w:link w:val="CommentaireCar"/>
    <w:uiPriority w:val="99"/>
    <w:unhideWhenUsed/>
    <w:rsid w:val="00DC6139"/>
    <w:rPr>
      <w:sz w:val="20"/>
      <w:szCs w:val="20"/>
    </w:rPr>
  </w:style>
  <w:style w:type="character" w:customStyle="1" w:styleId="CommentaireCar">
    <w:name w:val="Commentaire Car"/>
    <w:basedOn w:val="Policepardfaut"/>
    <w:link w:val="Commentaire"/>
    <w:uiPriority w:val="99"/>
    <w:rsid w:val="00DC613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DC6139"/>
    <w:rPr>
      <w:b/>
      <w:bCs/>
    </w:rPr>
  </w:style>
  <w:style w:type="character" w:customStyle="1" w:styleId="ObjetducommentaireCar">
    <w:name w:val="Objet du commentaire Car"/>
    <w:basedOn w:val="CommentaireCar"/>
    <w:link w:val="Objetducommentaire"/>
    <w:uiPriority w:val="99"/>
    <w:semiHidden/>
    <w:rsid w:val="00DC6139"/>
    <w:rPr>
      <w:rFonts w:ascii="Times New Roman" w:eastAsia="Times New Roman" w:hAnsi="Times New Roman"/>
      <w:b/>
      <w:bCs/>
    </w:rPr>
  </w:style>
  <w:style w:type="table" w:customStyle="1" w:styleId="Grilledutableau1">
    <w:name w:val="Grille du tableau1"/>
    <w:basedOn w:val="TableauNormal"/>
    <w:next w:val="Grilledutableau"/>
    <w:uiPriority w:val="59"/>
    <w:rsid w:val="00DC61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Policepardfaut"/>
    <w:rsid w:val="00BD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4549">
      <w:bodyDiv w:val="1"/>
      <w:marLeft w:val="0"/>
      <w:marRight w:val="0"/>
      <w:marTop w:val="0"/>
      <w:marBottom w:val="0"/>
      <w:divBdr>
        <w:top w:val="none" w:sz="0" w:space="0" w:color="auto"/>
        <w:left w:val="none" w:sz="0" w:space="0" w:color="auto"/>
        <w:bottom w:val="none" w:sz="0" w:space="0" w:color="auto"/>
        <w:right w:val="none" w:sz="0" w:space="0" w:color="auto"/>
      </w:divBdr>
    </w:div>
    <w:div w:id="159975203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6.COM/12" TargetMode="External"/><Relationship Id="rId13" Type="http://schemas.openxmlformats.org/officeDocument/2006/relationships/hyperlink" Target="https://ich.unesco.org/fr/Decisions/8.GA/7" TargetMode="External"/><Relationship Id="rId18" Type="http://schemas.openxmlformats.org/officeDocument/2006/relationships/hyperlink" Target="https://ich.unesco.org/fr/projets/renforcement-des-capacits-pour-la-sauvegarde-du-patrimoine-culturel-immatriel-et-la-contribution-au-dveloppement-durable-00475?projectID=0047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ch.unesco.org/fr/projets/renforcer-les-capacits-aux-niveaux-national-et-local-pour-la-sauvegarde-du-patrimoine-culturel-immatriel-en-rpublique-unie-de-tanzanie-et-contribuer-au-dveloppement-durable-00481?projectID=00481" TargetMode="External"/><Relationship Id="rId7" Type="http://schemas.openxmlformats.org/officeDocument/2006/relationships/endnotes" Target="endnotes.xml"/><Relationship Id="rId12" Type="http://schemas.openxmlformats.org/officeDocument/2006/relationships/hyperlink" Target="https://ich.unesco.org/fr/Resolutions/3.GA/9" TargetMode="External"/><Relationship Id="rId17" Type="http://schemas.openxmlformats.org/officeDocument/2006/relationships/hyperlink" Target="https://ich.unesco.org/fr/projets/soutien-l-laboration-et-la-mise-en-oeuvre-d-activits-de-renforcement-des-capacits-pour-la-sauvegarde-du-patrimoine-culturel-immatriel-dans-les-situations-de-conflit-y-compris-les-situations-de-dplacement-forc-00474?projectID=00474" TargetMode="External"/><Relationship Id="rId25" Type="http://schemas.openxmlformats.org/officeDocument/2006/relationships/hyperlink" Target="https://ich.unesco.org/fr/decisions/17.COM/12" TargetMode="External"/><Relationship Id="rId2" Type="http://schemas.openxmlformats.org/officeDocument/2006/relationships/numbering" Target="numbering.xml"/><Relationship Id="rId16" Type="http://schemas.openxmlformats.org/officeDocument/2006/relationships/hyperlink" Target="https://ich.unesco.org/fr/projets/manuel-pratique-sur-les-rapports-priodiques-avec-un-outil-dauto-apprentissage-sur-le-cadre-global-des-rsultats-pour-la-mise-en-oeuvre-de-la-convention-pour-la-sauvegarde-du-patrimoine-culturel-immatriel-00484?projectID=00484" TargetMode="External"/><Relationship Id="rId20" Type="http://schemas.openxmlformats.org/officeDocument/2006/relationships/hyperlink" Target="https://ich.unesco.org/fr/projets/renforcement-des-capacits-nationales-pour-la-sauvegarde-du-patrimoine-culturel-immatriel-et-la-contribution-au-dveloppement-durable-au-kenya-00480?projectID=004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7.COM/20.1?dec=decisions&amp;ref_decision=7.COM" TargetMode="External"/><Relationship Id="rId24" Type="http://schemas.openxmlformats.org/officeDocument/2006/relationships/hyperlink" Target="https://ich.unesco.org/fr/projets/le-patrimoine-vivant-et-les-objectifs-de-dveloppement-durable-sauvegarde-du-patrimoine-culturel-immatriel-par-l-ducation-formelle-et-non-formelle-dans-la-rgion-asie-pacifique-et-en-afrique-00476?projectID=00476" TargetMode="External"/><Relationship Id="rId5" Type="http://schemas.openxmlformats.org/officeDocument/2006/relationships/webSettings" Target="webSettings.xml"/><Relationship Id="rId15" Type="http://schemas.openxmlformats.org/officeDocument/2006/relationships/hyperlink" Target="https://ich.unesco.org/fr/projets/renforcement-des-capacits-de-sauvegarde-du-patrimoine-culturel-immatriel-dans-les-contextes-de-catastrophe-00458?projectID=00458" TargetMode="External"/><Relationship Id="rId23" Type="http://schemas.openxmlformats.org/officeDocument/2006/relationships/hyperlink" Target="https://ich.unesco.org/fr/projets/apprendre-avec-le-patrimoine-culturel-immatriel-pour-un-avenir-durable-en-amrique-latine-et-dans-les-carabes-00473?projectID=00473" TargetMode="External"/><Relationship Id="rId28" Type="http://schemas.openxmlformats.org/officeDocument/2006/relationships/header" Target="header3.xml"/><Relationship Id="rId10" Type="http://schemas.openxmlformats.org/officeDocument/2006/relationships/hyperlink" Target="https://ich.unesco.org/fr/decisions/17.COM/12" TargetMode="External"/><Relationship Id="rId19" Type="http://schemas.openxmlformats.org/officeDocument/2006/relationships/hyperlink" Target="https://ich.unesco.org/fr/projets/renforcement-des-capacits-aux-niveaux-national-et-local-pour-la-sauvegarde-du-patrimoine-culturel-immatriel-en-dominique-00477?projectID=00477" TargetMode="External"/><Relationship Id="rId4" Type="http://schemas.openxmlformats.org/officeDocument/2006/relationships/settings" Target="settings.xml"/><Relationship Id="rId9" Type="http://schemas.openxmlformats.org/officeDocument/2006/relationships/hyperlink" Target="https://ich.unesco.org/doc/src/LHE-21-16.COM-12-FR.docx" TargetMode="External"/><Relationship Id="rId14" Type="http://schemas.openxmlformats.org/officeDocument/2006/relationships/hyperlink" Target="https://ich.unesco.org/doc/src/LHE-23-18.COM-INF.14_FR.docx" TargetMode="External"/><Relationship Id="rId22" Type="http://schemas.openxmlformats.org/officeDocument/2006/relationships/hyperlink" Target="https://ich.unesco.org/fr/projets/renforcement-des-capacites-de-preparation-des-dossiers-de-candidature-pour-les-listes-de-la-convention-de-2003-dans-les-petits-etats-insulaires-et-en-developpement-peid-des-caraibes-00502"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80868_fre/PDF/380868fre.pdf.mult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document_FR.dotx</Template>
  <TotalTime>258</TotalTime>
  <Pages>8</Pages>
  <Words>3612</Words>
  <Characters>19866</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18</cp:revision>
  <cp:lastPrinted>2023-09-20T16:37:00Z</cp:lastPrinted>
  <dcterms:created xsi:type="dcterms:W3CDTF">2023-11-02T12:01:00Z</dcterms:created>
  <dcterms:modified xsi:type="dcterms:W3CDTF">2023-11-06T20:47:00Z</dcterms:modified>
</cp:coreProperties>
</file>