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E36E" w14:textId="2C143DE3" w:rsidR="00EC6F8D" w:rsidRPr="005339C4" w:rsidRDefault="00EC6F8D" w:rsidP="00EC6F8D">
      <w:pPr>
        <w:spacing w:before="1440"/>
        <w:jc w:val="center"/>
        <w:rPr>
          <w:rFonts w:ascii="Arial" w:hAnsi="Arial" w:cs="Arial"/>
          <w:b/>
          <w:sz w:val="22"/>
          <w:szCs w:val="22"/>
        </w:rPr>
      </w:pPr>
      <w:r w:rsidRPr="005339C4">
        <w:rPr>
          <w:rFonts w:ascii="Arial" w:hAnsi="Arial" w:cs="Arial"/>
          <w:b/>
          <w:bCs/>
          <w:sz w:val="22"/>
          <w:szCs w:val="22"/>
          <w:lang w:val="fr"/>
        </w:rPr>
        <w:t>CONVENTION POUR LA SAUVEGARDE DU</w:t>
      </w:r>
      <w:r w:rsidRPr="005339C4">
        <w:rPr>
          <w:rFonts w:ascii="Arial" w:hAnsi="Arial" w:cs="Arial"/>
          <w:sz w:val="22"/>
          <w:szCs w:val="22"/>
          <w:lang w:val="fr"/>
        </w:rPr>
        <w:br/>
      </w:r>
      <w:r w:rsidRPr="005339C4">
        <w:rPr>
          <w:rFonts w:ascii="Arial" w:hAnsi="Arial" w:cs="Arial"/>
          <w:b/>
          <w:bCs/>
          <w:sz w:val="22"/>
          <w:szCs w:val="22"/>
          <w:lang w:val="fr"/>
        </w:rPr>
        <w:t>PATRIMOINE CULTUREL IMMATÉRIEL</w:t>
      </w:r>
    </w:p>
    <w:p w14:paraId="3F72B1D3" w14:textId="77777777" w:rsidR="00EC6F8D" w:rsidRPr="005339C4" w:rsidRDefault="00EC6F8D" w:rsidP="00EC6F8D">
      <w:pPr>
        <w:spacing w:before="1200"/>
        <w:jc w:val="center"/>
        <w:rPr>
          <w:rFonts w:ascii="Arial" w:hAnsi="Arial" w:cs="Arial"/>
          <w:b/>
          <w:sz w:val="22"/>
          <w:szCs w:val="22"/>
        </w:rPr>
      </w:pPr>
      <w:r w:rsidRPr="005339C4">
        <w:rPr>
          <w:rFonts w:ascii="Arial" w:hAnsi="Arial" w:cs="Arial"/>
          <w:b/>
          <w:bCs/>
          <w:sz w:val="22"/>
          <w:szCs w:val="22"/>
          <w:lang w:val="fr"/>
        </w:rPr>
        <w:t>COMITÉ INTERGOUVERNEMENTAL DE</w:t>
      </w:r>
      <w:r w:rsidRPr="005339C4">
        <w:rPr>
          <w:rFonts w:ascii="Arial" w:hAnsi="Arial" w:cs="Arial"/>
          <w:sz w:val="22"/>
          <w:szCs w:val="22"/>
          <w:lang w:val="fr"/>
        </w:rPr>
        <w:br/>
      </w:r>
      <w:r w:rsidRPr="005339C4">
        <w:rPr>
          <w:rFonts w:ascii="Arial" w:hAnsi="Arial" w:cs="Arial"/>
          <w:b/>
          <w:bCs/>
          <w:sz w:val="22"/>
          <w:szCs w:val="22"/>
          <w:lang w:val="fr"/>
        </w:rPr>
        <w:t>SAUVEGARDE DU PATRIMOINE CULTUREL IMMATÉRIEL</w:t>
      </w:r>
    </w:p>
    <w:p w14:paraId="2E1CD4B4" w14:textId="293940F9" w:rsidR="00EC6F8D" w:rsidRPr="005339C4" w:rsidRDefault="00245501" w:rsidP="001D14FE">
      <w:pPr>
        <w:spacing w:before="840"/>
        <w:jc w:val="center"/>
        <w:rPr>
          <w:rFonts w:ascii="Arial" w:hAnsi="Arial" w:cs="Arial"/>
          <w:b/>
          <w:sz w:val="22"/>
          <w:szCs w:val="22"/>
        </w:rPr>
      </w:pPr>
      <w:r w:rsidRPr="005339C4">
        <w:rPr>
          <w:rFonts w:ascii="Arial" w:hAnsi="Arial" w:cs="Arial"/>
          <w:b/>
          <w:bCs/>
          <w:sz w:val="22"/>
          <w:szCs w:val="22"/>
          <w:lang w:val="fr"/>
        </w:rPr>
        <w:t>Dix-huitième session</w:t>
      </w:r>
    </w:p>
    <w:p w14:paraId="1FD89575" w14:textId="084A1F6C" w:rsidR="00B2172B" w:rsidRPr="005339C4" w:rsidRDefault="00147A38" w:rsidP="00B2172B">
      <w:pPr>
        <w:jc w:val="center"/>
        <w:rPr>
          <w:rFonts w:ascii="Arial" w:hAnsi="Arial" w:cs="Arial"/>
          <w:b/>
          <w:sz w:val="22"/>
          <w:szCs w:val="22"/>
        </w:rPr>
      </w:pPr>
      <w:r w:rsidRPr="005339C4">
        <w:rPr>
          <w:rFonts w:ascii="Arial" w:hAnsi="Arial" w:cs="Arial"/>
          <w:b/>
          <w:bCs/>
          <w:sz w:val="22"/>
          <w:szCs w:val="22"/>
          <w:lang w:val="fr"/>
        </w:rPr>
        <w:t>Kasane, République du Botswana</w:t>
      </w:r>
    </w:p>
    <w:p w14:paraId="52EA6D50" w14:textId="584931CB" w:rsidR="00B2172B" w:rsidRPr="005339C4" w:rsidRDefault="00245501" w:rsidP="00B2172B">
      <w:pPr>
        <w:jc w:val="center"/>
        <w:rPr>
          <w:rFonts w:ascii="Arial" w:hAnsi="Arial" w:cs="Arial"/>
          <w:b/>
          <w:sz w:val="22"/>
          <w:szCs w:val="22"/>
        </w:rPr>
      </w:pPr>
      <w:r w:rsidRPr="005339C4">
        <w:rPr>
          <w:rFonts w:ascii="Arial" w:hAnsi="Arial" w:cs="Arial"/>
          <w:b/>
          <w:bCs/>
          <w:sz w:val="22"/>
          <w:szCs w:val="22"/>
          <w:lang w:val="fr"/>
        </w:rPr>
        <w:t>4 au 9 décembre 2023</w:t>
      </w:r>
    </w:p>
    <w:p w14:paraId="0365203A" w14:textId="49C4CF3F" w:rsidR="00EC6F8D" w:rsidRPr="005339C4" w:rsidRDefault="00EC6F8D" w:rsidP="00EC6F8D">
      <w:pPr>
        <w:pStyle w:val="Sansinterligne2"/>
        <w:spacing w:before="1200"/>
        <w:jc w:val="center"/>
        <w:rPr>
          <w:rFonts w:ascii="Arial" w:hAnsi="Arial" w:cs="Arial"/>
          <w:b/>
          <w:sz w:val="22"/>
          <w:szCs w:val="22"/>
        </w:rPr>
      </w:pPr>
      <w:r w:rsidRPr="005339C4">
        <w:rPr>
          <w:rFonts w:ascii="Arial" w:hAnsi="Arial" w:cs="Arial"/>
          <w:b/>
          <w:bCs/>
          <w:sz w:val="22"/>
          <w:szCs w:val="22"/>
          <w:u w:val="single"/>
          <w:lang w:val="fr"/>
        </w:rPr>
        <w:t>Point 14 de l</w:t>
      </w:r>
      <w:r w:rsidR="007D1B10">
        <w:rPr>
          <w:rFonts w:ascii="Arial" w:hAnsi="Arial" w:cs="Arial"/>
          <w:b/>
          <w:bCs/>
          <w:sz w:val="22"/>
          <w:szCs w:val="22"/>
          <w:u w:val="single"/>
          <w:lang w:val="fr"/>
        </w:rPr>
        <w:t>’</w:t>
      </w:r>
      <w:r w:rsidRPr="005339C4">
        <w:rPr>
          <w:rFonts w:ascii="Arial" w:hAnsi="Arial" w:cs="Arial"/>
          <w:b/>
          <w:bCs/>
          <w:sz w:val="22"/>
          <w:szCs w:val="22"/>
          <w:u w:val="single"/>
          <w:lang w:val="fr"/>
        </w:rPr>
        <w:t>ordre du jour provisoire</w:t>
      </w:r>
      <w:r w:rsidRPr="005339C4">
        <w:rPr>
          <w:rFonts w:ascii="Arial" w:hAnsi="Arial" w:cs="Arial"/>
          <w:b/>
          <w:bCs/>
          <w:sz w:val="22"/>
          <w:szCs w:val="22"/>
          <w:lang w:val="fr"/>
        </w:rPr>
        <w:t> :</w:t>
      </w:r>
    </w:p>
    <w:p w14:paraId="59920478" w14:textId="6DD01520" w:rsidR="004A2875" w:rsidRPr="005339C4" w:rsidRDefault="00C92B60" w:rsidP="004A2875">
      <w:pPr>
        <w:pStyle w:val="Sansinterligne2"/>
        <w:spacing w:after="960"/>
        <w:jc w:val="center"/>
        <w:rPr>
          <w:rFonts w:ascii="Arial" w:hAnsi="Arial" w:cs="Arial"/>
          <w:bCs/>
          <w:sz w:val="22"/>
          <w:szCs w:val="22"/>
        </w:rPr>
      </w:pPr>
      <w:r w:rsidRPr="005339C4">
        <w:rPr>
          <w:rFonts w:ascii="Arial" w:hAnsi="Arial" w:cs="Arial"/>
          <w:b/>
          <w:bCs/>
          <w:sz w:val="22"/>
          <w:szCs w:val="22"/>
          <w:lang w:val="fr"/>
        </w:rPr>
        <w:t xml:space="preserve">Projet de plan </w:t>
      </w:r>
      <w:r w:rsidR="00A21CC8" w:rsidRPr="005339C4">
        <w:rPr>
          <w:rFonts w:ascii="Arial" w:hAnsi="Arial" w:cs="Arial"/>
          <w:b/>
          <w:bCs/>
          <w:sz w:val="22"/>
          <w:szCs w:val="22"/>
          <w:lang w:val="fr"/>
        </w:rPr>
        <w:t>pour l</w:t>
      </w:r>
      <w:r w:rsidR="007D1B10">
        <w:rPr>
          <w:rFonts w:ascii="Arial" w:hAnsi="Arial" w:cs="Arial"/>
          <w:b/>
          <w:bCs/>
          <w:sz w:val="22"/>
          <w:szCs w:val="22"/>
          <w:lang w:val="fr"/>
        </w:rPr>
        <w:t>’</w:t>
      </w:r>
      <w:r w:rsidRPr="005339C4">
        <w:rPr>
          <w:rFonts w:ascii="Arial" w:hAnsi="Arial" w:cs="Arial"/>
          <w:b/>
          <w:bCs/>
          <w:sz w:val="22"/>
          <w:szCs w:val="22"/>
          <w:lang w:val="fr"/>
        </w:rPr>
        <w:t xml:space="preserve">utilisation des ressources du </w:t>
      </w:r>
      <w:r w:rsidRPr="005339C4">
        <w:rPr>
          <w:rFonts w:ascii="Arial" w:hAnsi="Arial" w:cs="Arial"/>
          <w:sz w:val="22"/>
          <w:szCs w:val="22"/>
          <w:lang w:val="fr"/>
        </w:rPr>
        <w:br/>
      </w:r>
      <w:r w:rsidRPr="005339C4">
        <w:rPr>
          <w:rFonts w:ascii="Arial" w:hAnsi="Arial" w:cs="Arial"/>
          <w:b/>
          <w:bCs/>
          <w:sz w:val="22"/>
          <w:szCs w:val="22"/>
          <w:lang w:val="fr"/>
        </w:rPr>
        <w:t>Fonds du patrimoine culturel immatériel en 2024 et 2025</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5339C4" w14:paraId="75AC6221" w14:textId="77777777" w:rsidTr="00EC6F8D">
        <w:trPr>
          <w:jc w:val="center"/>
        </w:trPr>
        <w:tc>
          <w:tcPr>
            <w:tcW w:w="5670" w:type="dxa"/>
            <w:vAlign w:val="center"/>
          </w:tcPr>
          <w:p w14:paraId="51C260A9" w14:textId="77777777" w:rsidR="00EC6F8D" w:rsidRPr="005339C4" w:rsidRDefault="00EC6F8D" w:rsidP="00CA56BB">
            <w:pPr>
              <w:pStyle w:val="Sansinterligne1"/>
              <w:spacing w:before="200" w:after="200"/>
              <w:jc w:val="center"/>
              <w:rPr>
                <w:rFonts w:ascii="Arial" w:hAnsi="Arial" w:cs="Arial"/>
                <w:b/>
                <w:sz w:val="22"/>
                <w:szCs w:val="22"/>
              </w:rPr>
            </w:pPr>
            <w:r w:rsidRPr="005339C4">
              <w:rPr>
                <w:rFonts w:ascii="Arial" w:hAnsi="Arial" w:cs="Arial"/>
                <w:b/>
                <w:bCs/>
                <w:sz w:val="22"/>
                <w:szCs w:val="22"/>
                <w:lang w:val="fr"/>
              </w:rPr>
              <w:t>Résumé</w:t>
            </w:r>
          </w:p>
          <w:p w14:paraId="442CDA84" w14:textId="7D7D64EF" w:rsidR="00C92B60" w:rsidRPr="005339C4" w:rsidRDefault="00C92B60" w:rsidP="00C92B60">
            <w:pPr>
              <w:pStyle w:val="Sansinterligne2"/>
              <w:spacing w:before="200" w:after="200"/>
              <w:jc w:val="both"/>
              <w:rPr>
                <w:rFonts w:ascii="Arial" w:hAnsi="Arial" w:cs="Arial"/>
                <w:b/>
                <w:sz w:val="22"/>
                <w:szCs w:val="22"/>
              </w:rPr>
            </w:pPr>
            <w:r w:rsidRPr="005339C4">
              <w:rPr>
                <w:rFonts w:ascii="Arial" w:hAnsi="Arial" w:cs="Arial"/>
                <w:sz w:val="22"/>
                <w:szCs w:val="22"/>
                <w:lang w:val="fr"/>
              </w:rPr>
              <w:t xml:space="preserve">La partie I </w:t>
            </w:r>
            <w:r w:rsidR="00A21CC8" w:rsidRPr="005339C4">
              <w:rPr>
                <w:rFonts w:ascii="Arial" w:hAnsi="Arial" w:cs="Arial"/>
                <w:sz w:val="22"/>
                <w:szCs w:val="22"/>
                <w:lang w:val="fr"/>
              </w:rPr>
              <w:t>de ce</w:t>
            </w:r>
            <w:r w:rsidRPr="005339C4">
              <w:rPr>
                <w:rFonts w:ascii="Arial" w:hAnsi="Arial" w:cs="Arial"/>
                <w:sz w:val="22"/>
                <w:szCs w:val="22"/>
                <w:lang w:val="fr"/>
              </w:rPr>
              <w:t xml:space="preserve"> document </w:t>
            </w:r>
            <w:r w:rsidR="00A21CC8" w:rsidRPr="005339C4">
              <w:rPr>
                <w:rFonts w:ascii="Arial" w:hAnsi="Arial" w:cs="Arial"/>
                <w:sz w:val="22"/>
                <w:szCs w:val="22"/>
                <w:lang w:val="fr"/>
              </w:rPr>
              <w:t>examine</w:t>
            </w:r>
            <w:r w:rsidRPr="005339C4">
              <w:rPr>
                <w:rFonts w:ascii="Arial" w:hAnsi="Arial" w:cs="Arial"/>
                <w:sz w:val="22"/>
                <w:szCs w:val="22"/>
                <w:lang w:val="fr"/>
              </w:rPr>
              <w:t xml:space="preserve"> l</w:t>
            </w:r>
            <w:r w:rsidR="007D1B10">
              <w:rPr>
                <w:rFonts w:ascii="Arial" w:hAnsi="Arial" w:cs="Arial"/>
                <w:sz w:val="22"/>
                <w:szCs w:val="22"/>
                <w:lang w:val="fr"/>
              </w:rPr>
              <w:t>’</w:t>
            </w:r>
            <w:r w:rsidRPr="005339C4">
              <w:rPr>
                <w:rFonts w:ascii="Arial" w:hAnsi="Arial" w:cs="Arial"/>
                <w:sz w:val="22"/>
                <w:szCs w:val="22"/>
                <w:lang w:val="fr"/>
              </w:rPr>
              <w:t xml:space="preserve">utilisation du Fonds du patrimoine culturel immatériel au cours de la période 2022-2023. La partie II </w:t>
            </w:r>
            <w:r w:rsidR="006B3D08" w:rsidRPr="005339C4">
              <w:rPr>
                <w:rFonts w:ascii="Arial" w:hAnsi="Arial" w:cs="Arial"/>
                <w:sz w:val="22"/>
                <w:szCs w:val="22"/>
                <w:lang w:val="fr"/>
              </w:rPr>
              <w:t>expose</w:t>
            </w:r>
            <w:r w:rsidRPr="005339C4">
              <w:rPr>
                <w:rFonts w:ascii="Arial" w:hAnsi="Arial" w:cs="Arial"/>
                <w:sz w:val="22"/>
                <w:szCs w:val="22"/>
                <w:lang w:val="fr"/>
              </w:rPr>
              <w:t xml:space="preserve"> </w:t>
            </w:r>
            <w:r w:rsidR="006B3D08" w:rsidRPr="005339C4">
              <w:rPr>
                <w:rFonts w:ascii="Arial" w:hAnsi="Arial" w:cs="Arial"/>
                <w:sz w:val="22"/>
                <w:szCs w:val="22"/>
                <w:lang w:val="fr"/>
              </w:rPr>
              <w:t>le</w:t>
            </w:r>
            <w:r w:rsidRPr="005339C4">
              <w:rPr>
                <w:rFonts w:ascii="Arial" w:hAnsi="Arial" w:cs="Arial"/>
                <w:sz w:val="22"/>
                <w:szCs w:val="22"/>
                <w:lang w:val="fr"/>
              </w:rPr>
              <w:t xml:space="preserve"> projet de plan d</w:t>
            </w:r>
            <w:r w:rsidR="007D1B10">
              <w:rPr>
                <w:rFonts w:ascii="Arial" w:hAnsi="Arial" w:cs="Arial"/>
                <w:sz w:val="22"/>
                <w:szCs w:val="22"/>
                <w:lang w:val="fr"/>
              </w:rPr>
              <w:t>’</w:t>
            </w:r>
            <w:r w:rsidRPr="005339C4">
              <w:rPr>
                <w:rFonts w:ascii="Arial" w:hAnsi="Arial" w:cs="Arial"/>
                <w:sz w:val="22"/>
                <w:szCs w:val="22"/>
                <w:lang w:val="fr"/>
              </w:rPr>
              <w:t xml:space="preserve">utilisation des ressources du Fonds du patrimoine culturel immatériel pour la période allant du 1er janvier 2024 au 31 décembre 2025 et </w:t>
            </w:r>
            <w:r w:rsidR="006B3D08" w:rsidRPr="005339C4">
              <w:rPr>
                <w:rFonts w:ascii="Arial" w:hAnsi="Arial" w:cs="Arial"/>
                <w:sz w:val="22"/>
                <w:szCs w:val="22"/>
                <w:lang w:val="fr"/>
              </w:rPr>
              <w:t xml:space="preserve">pour </w:t>
            </w:r>
            <w:r w:rsidRPr="005339C4">
              <w:rPr>
                <w:rFonts w:ascii="Arial" w:hAnsi="Arial" w:cs="Arial"/>
                <w:sz w:val="22"/>
                <w:szCs w:val="22"/>
                <w:lang w:val="fr"/>
              </w:rPr>
              <w:t>le premier semestre 2026</w:t>
            </w:r>
            <w:r w:rsidR="006B3D08" w:rsidRPr="005339C4">
              <w:rPr>
                <w:rFonts w:ascii="Arial" w:hAnsi="Arial" w:cs="Arial"/>
                <w:sz w:val="22"/>
                <w:szCs w:val="22"/>
                <w:lang w:val="fr"/>
              </w:rPr>
              <w:t>.</w:t>
            </w:r>
            <w:r w:rsidRPr="005339C4">
              <w:rPr>
                <w:rFonts w:ascii="Arial" w:hAnsi="Arial" w:cs="Arial"/>
                <w:sz w:val="22"/>
                <w:szCs w:val="22"/>
                <w:lang w:val="fr"/>
              </w:rPr>
              <w:t xml:space="preserve"> </w:t>
            </w:r>
            <w:r w:rsidR="006B3D08" w:rsidRPr="005339C4">
              <w:rPr>
                <w:rFonts w:ascii="Arial" w:hAnsi="Arial" w:cs="Arial"/>
                <w:sz w:val="22"/>
                <w:szCs w:val="22"/>
                <w:lang w:val="fr"/>
              </w:rPr>
              <w:t>Ce projet sera soumis à l</w:t>
            </w:r>
            <w:r w:rsidR="007D1B10">
              <w:rPr>
                <w:rFonts w:ascii="Arial" w:hAnsi="Arial" w:cs="Arial"/>
                <w:sz w:val="22"/>
                <w:szCs w:val="22"/>
                <w:lang w:val="fr"/>
              </w:rPr>
              <w:t>’</w:t>
            </w:r>
            <w:r w:rsidR="006B3D08" w:rsidRPr="005339C4">
              <w:rPr>
                <w:rFonts w:ascii="Arial" w:hAnsi="Arial" w:cs="Arial"/>
                <w:sz w:val="22"/>
                <w:szCs w:val="22"/>
                <w:lang w:val="fr"/>
              </w:rPr>
              <w:t>approbation de</w:t>
            </w:r>
            <w:r w:rsidRPr="005339C4">
              <w:rPr>
                <w:rFonts w:ascii="Arial" w:hAnsi="Arial" w:cs="Arial"/>
                <w:sz w:val="22"/>
                <w:szCs w:val="22"/>
                <w:lang w:val="fr"/>
              </w:rPr>
              <w:t xml:space="preserve"> l</w:t>
            </w:r>
            <w:r w:rsidR="007D1B10">
              <w:rPr>
                <w:rFonts w:ascii="Arial" w:hAnsi="Arial" w:cs="Arial"/>
                <w:sz w:val="22"/>
                <w:szCs w:val="22"/>
                <w:lang w:val="fr"/>
              </w:rPr>
              <w:t>’</w:t>
            </w:r>
            <w:r w:rsidRPr="005339C4">
              <w:rPr>
                <w:rFonts w:ascii="Arial" w:hAnsi="Arial" w:cs="Arial"/>
                <w:sz w:val="22"/>
                <w:szCs w:val="22"/>
                <w:lang w:val="fr"/>
              </w:rPr>
              <w:t>Assemblée générale.</w:t>
            </w:r>
          </w:p>
          <w:p w14:paraId="290310E8" w14:textId="51F913B0" w:rsidR="00EC6F8D" w:rsidRPr="005339C4" w:rsidRDefault="00EC6F8D" w:rsidP="00CA56BB">
            <w:pPr>
              <w:pStyle w:val="Sansinterligne2"/>
              <w:spacing w:before="200" w:after="200"/>
              <w:jc w:val="both"/>
              <w:rPr>
                <w:rFonts w:ascii="Arial" w:hAnsi="Arial" w:cs="Arial"/>
                <w:b/>
                <w:sz w:val="22"/>
                <w:szCs w:val="22"/>
              </w:rPr>
            </w:pPr>
            <w:r w:rsidRPr="005339C4">
              <w:rPr>
                <w:rFonts w:ascii="Arial" w:hAnsi="Arial" w:cs="Arial"/>
                <w:b/>
                <w:bCs/>
                <w:sz w:val="22"/>
                <w:szCs w:val="22"/>
                <w:lang w:val="fr"/>
              </w:rPr>
              <w:t xml:space="preserve">Décision requise : </w:t>
            </w:r>
            <w:r w:rsidRPr="005339C4">
              <w:rPr>
                <w:rFonts w:ascii="Arial" w:hAnsi="Arial" w:cs="Arial"/>
                <w:sz w:val="22"/>
                <w:szCs w:val="22"/>
                <w:lang w:val="fr"/>
              </w:rPr>
              <w:t>paragraphe 31</w:t>
            </w:r>
          </w:p>
        </w:tc>
      </w:tr>
    </w:tbl>
    <w:p w14:paraId="713D819F" w14:textId="77777777" w:rsidR="004A2875" w:rsidRPr="005339C4" w:rsidRDefault="00655736" w:rsidP="004A2875">
      <w:pPr>
        <w:pStyle w:val="ListParagraph"/>
        <w:keepLines/>
        <w:numPr>
          <w:ilvl w:val="0"/>
          <w:numId w:val="13"/>
        </w:numPr>
        <w:spacing w:after="240"/>
        <w:ind w:left="567" w:hanging="567"/>
        <w:contextualSpacing w:val="0"/>
        <w:rPr>
          <w:rFonts w:ascii="Arial" w:hAnsi="Arial" w:cs="Arial"/>
          <w:b/>
          <w:snapToGrid w:val="0"/>
          <w:sz w:val="22"/>
          <w:szCs w:val="22"/>
        </w:rPr>
      </w:pPr>
      <w:r w:rsidRPr="005339C4">
        <w:rPr>
          <w:lang w:val="fr"/>
        </w:rPr>
        <w:br w:type="page"/>
      </w:r>
    </w:p>
    <w:p w14:paraId="6C62585F" w14:textId="1FBD00B9" w:rsidR="00F70CC5" w:rsidRPr="005339C4" w:rsidRDefault="00FD4BC8" w:rsidP="00F70CC5">
      <w:pPr>
        <w:pStyle w:val="COMPara"/>
        <w:numPr>
          <w:ilvl w:val="0"/>
          <w:numId w:val="0"/>
        </w:numPr>
        <w:spacing w:before="240"/>
        <w:jc w:val="both"/>
        <w:rPr>
          <w:b/>
          <w:bCs/>
        </w:rPr>
      </w:pPr>
      <w:bookmarkStart w:id="0" w:name="_Hlk124351255"/>
      <w:r w:rsidRPr="005339C4">
        <w:rPr>
          <w:b/>
          <w:bCs/>
          <w:lang w:val="fr"/>
        </w:rPr>
        <w:lastRenderedPageBreak/>
        <w:t>Contexte</w:t>
      </w:r>
    </w:p>
    <w:bookmarkEnd w:id="0"/>
    <w:p w14:paraId="33FC296F" w14:textId="5E715676" w:rsidR="00F833D2" w:rsidRPr="005339C4" w:rsidRDefault="00F833D2" w:rsidP="00F833D2">
      <w:pPr>
        <w:pStyle w:val="COMPara"/>
        <w:ind w:left="567" w:hanging="567"/>
        <w:jc w:val="both"/>
        <w:rPr>
          <w:lang w:val="fr-FR"/>
        </w:rPr>
      </w:pPr>
      <w:r w:rsidRPr="005339C4">
        <w:rPr>
          <w:lang w:val="fr"/>
        </w:rPr>
        <w:t>L</w:t>
      </w:r>
      <w:r w:rsidR="007D1B10">
        <w:rPr>
          <w:lang w:val="fr"/>
        </w:rPr>
        <w:t>’</w:t>
      </w:r>
      <w:r w:rsidRPr="005339C4">
        <w:rPr>
          <w:lang w:val="fr"/>
        </w:rPr>
        <w:t>article 7(c) de la Convention demande au Comité de « préparer et soumettre à l</w:t>
      </w:r>
      <w:r w:rsidR="007D1B10">
        <w:rPr>
          <w:lang w:val="fr"/>
        </w:rPr>
        <w:t>’</w:t>
      </w:r>
      <w:r w:rsidRPr="005339C4">
        <w:rPr>
          <w:lang w:val="fr"/>
        </w:rPr>
        <w:t>approbation de l</w:t>
      </w:r>
      <w:r w:rsidR="007D1B10">
        <w:rPr>
          <w:lang w:val="fr"/>
        </w:rPr>
        <w:t>’</w:t>
      </w:r>
      <w:r w:rsidRPr="005339C4">
        <w:rPr>
          <w:lang w:val="fr"/>
        </w:rPr>
        <w:t>Assemblée générale un projet d</w:t>
      </w:r>
      <w:r w:rsidR="007D1B10">
        <w:rPr>
          <w:lang w:val="fr"/>
        </w:rPr>
        <w:t>’</w:t>
      </w:r>
      <w:r w:rsidRPr="005339C4">
        <w:rPr>
          <w:lang w:val="fr"/>
        </w:rPr>
        <w:t xml:space="preserve">utilisation des ressources du [Compte spécial] </w:t>
      </w:r>
      <w:r w:rsidR="006B3D08" w:rsidRPr="005339C4">
        <w:rPr>
          <w:lang w:val="fr"/>
        </w:rPr>
        <w:t>pour le</w:t>
      </w:r>
      <w:r w:rsidRPr="005339C4">
        <w:rPr>
          <w:lang w:val="fr"/>
        </w:rPr>
        <w:t xml:space="preserve"> Fonds [du patrimoine culturel immatériel] » (ci-après « le Fonds »). L</w:t>
      </w:r>
      <w:r w:rsidR="007D1B10">
        <w:rPr>
          <w:lang w:val="fr"/>
        </w:rPr>
        <w:t>’</w:t>
      </w:r>
      <w:r w:rsidRPr="005339C4">
        <w:rPr>
          <w:lang w:val="fr"/>
        </w:rPr>
        <w:t>article 25.4 de la Convention prévoit en outre que l</w:t>
      </w:r>
      <w:r w:rsidR="007D1B10">
        <w:rPr>
          <w:lang w:val="fr"/>
        </w:rPr>
        <w:t>’</w:t>
      </w:r>
      <w:r w:rsidRPr="005339C4">
        <w:rPr>
          <w:lang w:val="fr"/>
        </w:rPr>
        <w:t>utilisation des ressources par le Comité « est décidée sur la base des orientations de l</w:t>
      </w:r>
      <w:r w:rsidR="007D1B10">
        <w:rPr>
          <w:lang w:val="fr"/>
        </w:rPr>
        <w:t>’</w:t>
      </w:r>
      <w:r w:rsidRPr="005339C4">
        <w:rPr>
          <w:lang w:val="fr"/>
        </w:rPr>
        <w:t xml:space="preserve">Assemblée générale ». Ces </w:t>
      </w:r>
      <w:r w:rsidR="006B3D08" w:rsidRPr="005339C4">
        <w:rPr>
          <w:lang w:val="fr"/>
        </w:rPr>
        <w:t>orientations</w:t>
      </w:r>
      <w:r w:rsidRPr="005339C4">
        <w:rPr>
          <w:lang w:val="fr"/>
        </w:rPr>
        <w:t xml:space="preserve"> ont été adoptées par l</w:t>
      </w:r>
      <w:r w:rsidR="007D1B10">
        <w:rPr>
          <w:lang w:val="fr"/>
        </w:rPr>
        <w:t>’</w:t>
      </w:r>
      <w:r w:rsidRPr="005339C4">
        <w:rPr>
          <w:lang w:val="fr"/>
        </w:rPr>
        <w:t xml:space="preserve">Assemblée générale des États parties lors de sa deuxième session en 2008 et figurent au chapitre II.1 des </w:t>
      </w:r>
      <w:hyperlink r:id="rId8" w:history="1">
        <w:r w:rsidRPr="005339C4">
          <w:rPr>
            <w:rStyle w:val="Hyperlink"/>
            <w:lang w:val="fr"/>
          </w:rPr>
          <w:t>Directives opérationnelles</w:t>
        </w:r>
      </w:hyperlink>
      <w:r w:rsidRPr="005339C4">
        <w:rPr>
          <w:lang w:val="fr"/>
        </w:rPr>
        <w:t xml:space="preserve"> pour la mise en œuvre de la Convention. Le projet de plan proposé en annexe au présent document a été préparé en conformité avec ces </w:t>
      </w:r>
      <w:r w:rsidR="006B3D08" w:rsidRPr="005339C4">
        <w:rPr>
          <w:lang w:val="fr"/>
        </w:rPr>
        <w:t>orientations</w:t>
      </w:r>
      <w:r w:rsidRPr="005339C4">
        <w:rPr>
          <w:lang w:val="fr"/>
        </w:rPr>
        <w:t xml:space="preserve"> sur la base du plan 2022-2023 (document </w:t>
      </w:r>
      <w:hyperlink r:id="rId9" w:history="1">
        <w:r w:rsidRPr="005339C4">
          <w:rPr>
            <w:rStyle w:val="Hyperlink"/>
            <w:lang w:val="fr"/>
          </w:rPr>
          <w:t>LHE/22/9.GA/10</w:t>
        </w:r>
      </w:hyperlink>
      <w:r w:rsidRPr="005339C4">
        <w:rPr>
          <w:lang w:val="fr"/>
        </w:rPr>
        <w:t>).</w:t>
      </w:r>
    </w:p>
    <w:p w14:paraId="492C7C4B" w14:textId="0A75AFF1" w:rsidR="00F833D2" w:rsidRPr="005339C4" w:rsidRDefault="00F833D2" w:rsidP="00F833D2">
      <w:pPr>
        <w:pStyle w:val="COMPara"/>
        <w:ind w:left="567" w:hanging="567"/>
        <w:jc w:val="both"/>
        <w:rPr>
          <w:lang w:val="fr-FR"/>
        </w:rPr>
      </w:pPr>
      <w:r w:rsidRPr="005339C4">
        <w:rPr>
          <w:lang w:val="fr"/>
        </w:rPr>
        <w:t>L</w:t>
      </w:r>
      <w:r w:rsidR="007D1B10">
        <w:rPr>
          <w:lang w:val="fr"/>
        </w:rPr>
        <w:t>’</w:t>
      </w:r>
      <w:r w:rsidRPr="005339C4">
        <w:rPr>
          <w:lang w:val="fr"/>
        </w:rPr>
        <w:t>Assemblée générale des États parties à la Convention se réunit en session ordinaire les années paires, environ six mois après le début de l</w:t>
      </w:r>
      <w:r w:rsidR="007D1B10">
        <w:rPr>
          <w:lang w:val="fr"/>
        </w:rPr>
        <w:t>’</w:t>
      </w:r>
      <w:r w:rsidRPr="005339C4">
        <w:rPr>
          <w:lang w:val="fr"/>
        </w:rPr>
        <w:t>exercice financier de l</w:t>
      </w:r>
      <w:r w:rsidR="007D1B10">
        <w:rPr>
          <w:lang w:val="fr"/>
        </w:rPr>
        <w:t>’</w:t>
      </w:r>
      <w:r w:rsidRPr="005339C4">
        <w:rPr>
          <w:lang w:val="fr"/>
        </w:rPr>
        <w:t>UNESCO. Lors de sa dixième session, à la mi-2024, l</w:t>
      </w:r>
      <w:r w:rsidR="007D1B10">
        <w:rPr>
          <w:lang w:val="fr"/>
        </w:rPr>
        <w:t>’</w:t>
      </w:r>
      <w:r w:rsidRPr="005339C4">
        <w:rPr>
          <w:lang w:val="fr"/>
        </w:rPr>
        <w:t>Assemblée générale sera donc invitée à approuver un projet de plan d</w:t>
      </w:r>
      <w:r w:rsidR="007D1B10">
        <w:rPr>
          <w:lang w:val="fr"/>
        </w:rPr>
        <w:t>’</w:t>
      </w:r>
      <w:r w:rsidRPr="005339C4">
        <w:rPr>
          <w:lang w:val="fr"/>
        </w:rPr>
        <w:t>utilisation des ressources du Fonds couvrant vingt-quatre mois, du 1er janvier 2024 au 31 décembre 2025, et, à titre provisoire, les six premiers mois de l</w:t>
      </w:r>
      <w:r w:rsidR="007D1B10">
        <w:rPr>
          <w:lang w:val="fr"/>
        </w:rPr>
        <w:t>’</w:t>
      </w:r>
      <w:r w:rsidRPr="005339C4">
        <w:rPr>
          <w:lang w:val="fr"/>
        </w:rPr>
        <w:t>exercice</w:t>
      </w:r>
      <w:r w:rsidR="00824845" w:rsidRPr="005339C4">
        <w:rPr>
          <w:lang w:val="fr"/>
        </w:rPr>
        <w:t xml:space="preserve"> financier</w:t>
      </w:r>
      <w:r w:rsidRPr="005339C4">
        <w:rPr>
          <w:lang w:val="fr"/>
        </w:rPr>
        <w:t xml:space="preserve"> suivant, </w:t>
      </w:r>
      <w:r w:rsidR="00824845" w:rsidRPr="005339C4">
        <w:rPr>
          <w:lang w:val="fr"/>
        </w:rPr>
        <w:t>soit</w:t>
      </w:r>
      <w:r w:rsidRPr="005339C4">
        <w:rPr>
          <w:lang w:val="fr"/>
        </w:rPr>
        <w:t xml:space="preserve"> du 1er janvier 2026 au 30 juin 2026, précédant la onzième session de l</w:t>
      </w:r>
      <w:r w:rsidR="007D1B10">
        <w:rPr>
          <w:lang w:val="fr"/>
        </w:rPr>
        <w:t>’</w:t>
      </w:r>
      <w:r w:rsidRPr="005339C4">
        <w:rPr>
          <w:lang w:val="fr"/>
        </w:rPr>
        <w:t>Assemblée générale. Le budget prévisionnel pour le premier semestre 2024 qui a été adopté par la neuvième session de l</w:t>
      </w:r>
      <w:r w:rsidR="007D1B10">
        <w:rPr>
          <w:lang w:val="fr"/>
        </w:rPr>
        <w:t>’</w:t>
      </w:r>
      <w:r w:rsidRPr="005339C4">
        <w:rPr>
          <w:lang w:val="fr"/>
        </w:rPr>
        <w:t xml:space="preserve">Assemblée générale (Résolution </w:t>
      </w:r>
      <w:hyperlink r:id="rId10" w:history="1">
        <w:r w:rsidRPr="005339C4">
          <w:rPr>
            <w:rStyle w:val="Hyperlink"/>
            <w:lang w:val="fr"/>
          </w:rPr>
          <w:t>9.GA 10</w:t>
        </w:r>
      </w:hyperlink>
      <w:r w:rsidRPr="005339C4">
        <w:rPr>
          <w:lang w:val="fr"/>
        </w:rPr>
        <w:t>) sera à son tour remplacé par le présent plan une fois qu</w:t>
      </w:r>
      <w:r w:rsidR="007D1B10">
        <w:rPr>
          <w:lang w:val="fr"/>
        </w:rPr>
        <w:t>’</w:t>
      </w:r>
      <w:r w:rsidRPr="005339C4">
        <w:rPr>
          <w:lang w:val="fr"/>
        </w:rPr>
        <w:t>il aura été adopté par la dixième session de l</w:t>
      </w:r>
      <w:r w:rsidR="007D1B10">
        <w:rPr>
          <w:lang w:val="fr"/>
        </w:rPr>
        <w:t>’</w:t>
      </w:r>
      <w:r w:rsidRPr="005339C4">
        <w:rPr>
          <w:lang w:val="fr"/>
        </w:rPr>
        <w:t>Assemblée générale.</w:t>
      </w:r>
      <w:r w:rsidR="005E3454" w:rsidRPr="005339C4">
        <w:rPr>
          <w:lang w:val="fr"/>
        </w:rPr>
        <w:t xml:space="preserve"> </w:t>
      </w:r>
    </w:p>
    <w:p w14:paraId="1FF0AD14" w14:textId="5C8FFC0F" w:rsidR="00F833D2" w:rsidRPr="005339C4" w:rsidRDefault="00F833D2" w:rsidP="00F833D2">
      <w:pPr>
        <w:pStyle w:val="COMPara"/>
        <w:ind w:left="567" w:hanging="567"/>
        <w:jc w:val="both"/>
        <w:rPr>
          <w:lang w:val="fr-FR"/>
        </w:rPr>
      </w:pPr>
      <w:r w:rsidRPr="005339C4">
        <w:rPr>
          <w:lang w:val="fr"/>
        </w:rPr>
        <w:t>Le montant total des fonds disponibles pour la prochaine période financière ne sera connu qu</w:t>
      </w:r>
      <w:r w:rsidR="007D1B10">
        <w:rPr>
          <w:lang w:val="fr"/>
        </w:rPr>
        <w:t>’</w:t>
      </w:r>
      <w:r w:rsidRPr="005339C4">
        <w:rPr>
          <w:lang w:val="fr"/>
        </w:rPr>
        <w:t xml:space="preserve">au début de 2024, après la clôture des comptes de 2023. Le budget présenté dans le projet de plan (Annexe) est donc exprimé en pourcentage du montant total qui sera disponible. Le document qui sera soumis à </w:t>
      </w:r>
      <w:r w:rsidR="006C7400" w:rsidRPr="005339C4">
        <w:rPr>
          <w:lang w:val="fr"/>
        </w:rPr>
        <w:t>l</w:t>
      </w:r>
      <w:r w:rsidR="007D1B10">
        <w:rPr>
          <w:lang w:val="fr"/>
        </w:rPr>
        <w:t>’</w:t>
      </w:r>
      <w:r w:rsidRPr="005339C4">
        <w:rPr>
          <w:lang w:val="fr"/>
        </w:rPr>
        <w:t>Assemblée générale précisera les montants alloués à chaque objectif. Comme c</w:t>
      </w:r>
      <w:r w:rsidR="007D1B10">
        <w:rPr>
          <w:lang w:val="fr"/>
        </w:rPr>
        <w:t>’</w:t>
      </w:r>
      <w:r w:rsidRPr="005339C4">
        <w:rPr>
          <w:lang w:val="fr"/>
        </w:rPr>
        <w:t xml:space="preserve">était le cas dans le plan actuel, le Comité </w:t>
      </w:r>
      <w:r w:rsidR="00824845" w:rsidRPr="005339C4">
        <w:rPr>
          <w:lang w:val="fr"/>
        </w:rPr>
        <w:t>souhaitera peut-être</w:t>
      </w:r>
      <w:r w:rsidRPr="005339C4">
        <w:rPr>
          <w:lang w:val="fr"/>
        </w:rPr>
        <w:t xml:space="preserve"> proposer d</w:t>
      </w:r>
      <w:r w:rsidR="007D1B10">
        <w:rPr>
          <w:lang w:val="fr"/>
        </w:rPr>
        <w:t>’</w:t>
      </w:r>
      <w:r w:rsidRPr="005339C4">
        <w:rPr>
          <w:lang w:val="fr"/>
        </w:rPr>
        <w:t xml:space="preserve">allouer provisoirement au premier semestre 2026 un quart du montant établi pour la période de deux ans allant du 1er janvier 2024 au 31 décembre 2025. Il est donc proposé </w:t>
      </w:r>
      <w:r w:rsidR="00824845" w:rsidRPr="005339C4">
        <w:rPr>
          <w:lang w:val="fr"/>
        </w:rPr>
        <w:t>au</w:t>
      </w:r>
      <w:r w:rsidRPr="005339C4">
        <w:rPr>
          <w:lang w:val="fr"/>
        </w:rPr>
        <w:t xml:space="preserve"> Comité </w:t>
      </w:r>
      <w:r w:rsidR="00824845" w:rsidRPr="005339C4">
        <w:rPr>
          <w:lang w:val="fr"/>
        </w:rPr>
        <w:t xml:space="preserve">de </w:t>
      </w:r>
      <w:r w:rsidRPr="005339C4">
        <w:rPr>
          <w:lang w:val="fr"/>
        </w:rPr>
        <w:t>soumett</w:t>
      </w:r>
      <w:r w:rsidR="00824845" w:rsidRPr="005339C4">
        <w:rPr>
          <w:lang w:val="fr"/>
        </w:rPr>
        <w:t>r</w:t>
      </w:r>
      <w:r w:rsidRPr="005339C4">
        <w:rPr>
          <w:lang w:val="fr"/>
        </w:rPr>
        <w:t>e à l</w:t>
      </w:r>
      <w:r w:rsidR="007D1B10">
        <w:rPr>
          <w:lang w:val="fr"/>
        </w:rPr>
        <w:t>’</w:t>
      </w:r>
      <w:r w:rsidRPr="005339C4">
        <w:rPr>
          <w:lang w:val="fr"/>
        </w:rPr>
        <w:t xml:space="preserve">Assemblée générale un plan de dépenses </w:t>
      </w:r>
      <w:r w:rsidR="00824845" w:rsidRPr="005339C4">
        <w:rPr>
          <w:lang w:val="fr"/>
        </w:rPr>
        <w:t>fondé</w:t>
      </w:r>
      <w:r w:rsidRPr="005339C4">
        <w:rPr>
          <w:lang w:val="fr"/>
        </w:rPr>
        <w:t xml:space="preserve"> sur le montant total des fonds non </w:t>
      </w:r>
      <w:r w:rsidR="00824845" w:rsidRPr="005339C4">
        <w:rPr>
          <w:lang w:val="fr"/>
        </w:rPr>
        <w:t>restreints</w:t>
      </w:r>
      <w:r w:rsidRPr="005339C4">
        <w:rPr>
          <w:lang w:val="fr"/>
        </w:rPr>
        <w:t xml:space="preserve"> et </w:t>
      </w:r>
      <w:r w:rsidR="00824845" w:rsidRPr="005339C4">
        <w:rPr>
          <w:lang w:val="fr"/>
        </w:rPr>
        <w:t>inutilisés</w:t>
      </w:r>
      <w:r w:rsidRPr="005339C4">
        <w:rPr>
          <w:lang w:val="fr"/>
        </w:rPr>
        <w:t xml:space="preserve"> disponibles au 31 décembre 2023, qui est estimé à environ 7 millions </w:t>
      </w:r>
      <w:r w:rsidR="00D8632C" w:rsidRPr="005339C4">
        <w:rPr>
          <w:lang w:val="fr"/>
        </w:rPr>
        <w:t>de dollars des États-Unis</w:t>
      </w:r>
      <w:r w:rsidRPr="005339C4">
        <w:rPr>
          <w:rStyle w:val="FootnoteReference"/>
          <w:lang w:val="fr"/>
        </w:rPr>
        <w:footnoteReference w:id="1"/>
      </w:r>
      <w:r w:rsidR="0015494B" w:rsidRPr="005339C4">
        <w:rPr>
          <w:lang w:val="fr"/>
        </w:rPr>
        <w:t>.</w:t>
      </w:r>
    </w:p>
    <w:p w14:paraId="6F2C8B5D" w14:textId="49660210" w:rsidR="00F833D2" w:rsidRPr="005339C4" w:rsidRDefault="00F833D2" w:rsidP="00F833D2">
      <w:pPr>
        <w:pStyle w:val="COMPara"/>
        <w:ind w:left="567" w:hanging="567"/>
        <w:jc w:val="both"/>
        <w:rPr>
          <w:lang w:val="fr-FR"/>
        </w:rPr>
      </w:pPr>
      <w:r w:rsidRPr="005339C4">
        <w:rPr>
          <w:lang w:val="fr"/>
        </w:rPr>
        <w:t xml:space="preserve">Le présent document </w:t>
      </w:r>
      <w:r w:rsidR="00D8632C" w:rsidRPr="005339C4">
        <w:rPr>
          <w:lang w:val="fr"/>
        </w:rPr>
        <w:t xml:space="preserve">expose </w:t>
      </w:r>
      <w:r w:rsidRPr="005339C4">
        <w:rPr>
          <w:lang w:val="fr"/>
        </w:rPr>
        <w:t>tout d</w:t>
      </w:r>
      <w:r w:rsidR="007D1B10">
        <w:rPr>
          <w:lang w:val="fr"/>
        </w:rPr>
        <w:t>’</w:t>
      </w:r>
      <w:r w:rsidRPr="005339C4">
        <w:rPr>
          <w:lang w:val="fr"/>
        </w:rPr>
        <w:t xml:space="preserve">abord un aperçu de la situation du Fonds et des tendances actuelles (partie A). Dans la deuxième partie (partie B), le document présente </w:t>
      </w:r>
      <w:r w:rsidR="00D8632C" w:rsidRPr="005339C4">
        <w:rPr>
          <w:lang w:val="fr"/>
        </w:rPr>
        <w:t>le</w:t>
      </w:r>
      <w:r w:rsidRPr="005339C4">
        <w:rPr>
          <w:lang w:val="fr"/>
        </w:rPr>
        <w:t>-projet de plan d</w:t>
      </w:r>
      <w:r w:rsidR="007D1B10">
        <w:rPr>
          <w:lang w:val="fr"/>
        </w:rPr>
        <w:t>’</w:t>
      </w:r>
      <w:r w:rsidRPr="005339C4">
        <w:rPr>
          <w:lang w:val="fr"/>
        </w:rPr>
        <w:t>utilisation des ressources du Fonds pour la période 2024-2025.</w:t>
      </w:r>
    </w:p>
    <w:p w14:paraId="12BBB621" w14:textId="4D1D3753" w:rsidR="00F833D2" w:rsidRPr="005339C4" w:rsidRDefault="00F833D2" w:rsidP="00A43082">
      <w:pPr>
        <w:pStyle w:val="COMPara"/>
        <w:numPr>
          <w:ilvl w:val="0"/>
          <w:numId w:val="21"/>
        </w:numPr>
        <w:ind w:left="567" w:hanging="567"/>
        <w:rPr>
          <w:b/>
          <w:bCs/>
        </w:rPr>
      </w:pPr>
      <w:r w:rsidRPr="005339C4">
        <w:rPr>
          <w:b/>
          <w:bCs/>
          <w:lang w:val="fr"/>
        </w:rPr>
        <w:t xml:space="preserve">SITUATION ET TENDANCES </w:t>
      </w:r>
    </w:p>
    <w:p w14:paraId="2332E480" w14:textId="1C966688" w:rsidR="00F833D2" w:rsidRPr="005339C4" w:rsidRDefault="001B13CC" w:rsidP="001B13CC">
      <w:pPr>
        <w:pStyle w:val="COMPara"/>
        <w:ind w:left="567" w:hanging="567"/>
        <w:jc w:val="both"/>
        <w:rPr>
          <w:lang w:val="fr-FR"/>
        </w:rPr>
      </w:pPr>
      <w:r w:rsidRPr="005339C4">
        <w:rPr>
          <w:lang w:val="fr"/>
        </w:rPr>
        <w:t xml:space="preserve">Sur la base du rapport financier figurant dans le document </w:t>
      </w:r>
      <w:bookmarkStart w:id="2" w:name="_Hlk146881626"/>
      <w:r w:rsidR="00351B46" w:rsidRPr="005339C4">
        <w:rPr>
          <w:lang w:val="fr"/>
        </w:rPr>
        <w:fldChar w:fldCharType="begin"/>
      </w:r>
      <w:r w:rsidR="005339C4" w:rsidRPr="005339C4">
        <w:rPr>
          <w:lang w:val="fr"/>
        </w:rPr>
        <w:instrText>HYPERLINK "https://ich.unesco.org/doc/src/LHE-23-18.COM-INF.14_FR.docx"</w:instrText>
      </w:r>
      <w:r w:rsidR="00351B46" w:rsidRPr="005339C4">
        <w:rPr>
          <w:lang w:val="fr"/>
        </w:rPr>
      </w:r>
      <w:r w:rsidR="00351B46" w:rsidRPr="005339C4">
        <w:rPr>
          <w:lang w:val="fr"/>
        </w:rPr>
        <w:fldChar w:fldCharType="separate"/>
      </w:r>
      <w:r w:rsidRPr="005339C4">
        <w:rPr>
          <w:rStyle w:val="Hyperlink"/>
          <w:lang w:val="fr"/>
        </w:rPr>
        <w:t xml:space="preserve">LHE/23/18.COM/INF.14 </w:t>
      </w:r>
      <w:bookmarkEnd w:id="2"/>
      <w:r w:rsidR="00351B46" w:rsidRPr="005339C4">
        <w:rPr>
          <w:lang w:val="fr"/>
        </w:rPr>
        <w:fldChar w:fldCharType="end"/>
      </w:r>
      <w:r w:rsidR="00351B46" w:rsidRPr="005339C4">
        <w:rPr>
          <w:lang w:val="fr"/>
        </w:rPr>
        <w:t>pour</w:t>
      </w:r>
      <w:r w:rsidRPr="005339C4">
        <w:rPr>
          <w:lang w:val="fr"/>
        </w:rPr>
        <w:t xml:space="preserve"> la période du 1er janvier 2022 au 30 juin 2023 et en suivant l</w:t>
      </w:r>
      <w:r w:rsidR="007D1B10">
        <w:rPr>
          <w:lang w:val="fr"/>
        </w:rPr>
        <w:t>’</w:t>
      </w:r>
      <w:r w:rsidRPr="005339C4">
        <w:rPr>
          <w:lang w:val="fr"/>
        </w:rPr>
        <w:t xml:space="preserve">analyse des tendances </w:t>
      </w:r>
      <w:r w:rsidR="00294EE9" w:rsidRPr="005339C4">
        <w:rPr>
          <w:lang w:val="fr"/>
        </w:rPr>
        <w:t>exposée</w:t>
      </w:r>
      <w:r w:rsidRPr="005339C4">
        <w:rPr>
          <w:lang w:val="fr"/>
        </w:rPr>
        <w:t xml:space="preserve"> dans le document </w:t>
      </w:r>
      <w:hyperlink r:id="rId11" w:history="1">
        <w:r w:rsidRPr="005339C4">
          <w:rPr>
            <w:rStyle w:val="Hyperlink"/>
            <w:lang w:val="fr"/>
          </w:rPr>
          <w:t>LHE/21/16.COM/13</w:t>
        </w:r>
      </w:hyperlink>
      <w:r w:rsidRPr="005339C4">
        <w:rPr>
          <w:lang w:val="fr"/>
        </w:rPr>
        <w:t xml:space="preserve"> la présente section décrit l</w:t>
      </w:r>
      <w:r w:rsidR="007D1B10">
        <w:rPr>
          <w:lang w:val="fr"/>
        </w:rPr>
        <w:t>’</w:t>
      </w:r>
      <w:r w:rsidRPr="005339C4">
        <w:rPr>
          <w:lang w:val="fr"/>
        </w:rPr>
        <w:t>évolution des recettes et des dépenses du Fonds jusqu</w:t>
      </w:r>
      <w:r w:rsidR="007D1B10">
        <w:rPr>
          <w:lang w:val="fr"/>
        </w:rPr>
        <w:t>’</w:t>
      </w:r>
      <w:r w:rsidRPr="005339C4">
        <w:rPr>
          <w:lang w:val="fr"/>
        </w:rPr>
        <w:t>au 30 juin 2023.</w:t>
      </w:r>
    </w:p>
    <w:p w14:paraId="1316E82E" w14:textId="245F3E41" w:rsidR="007E791D" w:rsidRPr="005339C4" w:rsidRDefault="007E791D" w:rsidP="007634E6">
      <w:pPr>
        <w:pStyle w:val="COMPara"/>
        <w:ind w:left="567" w:hanging="567"/>
        <w:jc w:val="both"/>
        <w:rPr>
          <w:lang w:val="fr-FR"/>
        </w:rPr>
      </w:pPr>
      <w:r w:rsidRPr="005339C4">
        <w:rPr>
          <w:lang w:val="fr"/>
        </w:rPr>
        <w:t>Par rapport à la même période de l</w:t>
      </w:r>
      <w:r w:rsidR="007D1B10">
        <w:rPr>
          <w:lang w:val="fr"/>
        </w:rPr>
        <w:t>’</w:t>
      </w:r>
      <w:r w:rsidRPr="005339C4">
        <w:rPr>
          <w:lang w:val="fr"/>
        </w:rPr>
        <w:t xml:space="preserve">exercice </w:t>
      </w:r>
      <w:r w:rsidR="00F6648F" w:rsidRPr="005339C4">
        <w:rPr>
          <w:lang w:val="fr"/>
        </w:rPr>
        <w:t xml:space="preserve">biennal </w:t>
      </w:r>
      <w:r w:rsidRPr="005339C4">
        <w:rPr>
          <w:lang w:val="fr"/>
        </w:rPr>
        <w:t xml:space="preserve">précédent, les </w:t>
      </w:r>
      <w:r w:rsidRPr="005339C4">
        <w:rPr>
          <w:b/>
          <w:bCs/>
          <w:lang w:val="fr"/>
        </w:rPr>
        <w:t xml:space="preserve">recettes </w:t>
      </w:r>
      <w:r w:rsidRPr="005339C4">
        <w:rPr>
          <w:lang w:val="fr"/>
        </w:rPr>
        <w:t>totales de la période considérée sont restées relativement inchangées, augmentant légèrement de 2</w:t>
      </w:r>
      <w:r w:rsidR="0015494B" w:rsidRPr="005339C4">
        <w:rPr>
          <w:lang w:val="fr"/>
        </w:rPr>
        <w:t> </w:t>
      </w:r>
      <w:r w:rsidRPr="005339C4">
        <w:rPr>
          <w:lang w:val="fr"/>
        </w:rPr>
        <w:t>%. Alors qu</w:t>
      </w:r>
      <w:r w:rsidR="007D1B10">
        <w:rPr>
          <w:lang w:val="fr"/>
        </w:rPr>
        <w:t>’</w:t>
      </w:r>
      <w:r w:rsidRPr="005339C4">
        <w:rPr>
          <w:lang w:val="fr"/>
        </w:rPr>
        <w:t xml:space="preserve">une augmentation a été observée pour les intérêts crédités au Fonds (de </w:t>
      </w:r>
      <w:r w:rsidRPr="005339C4">
        <w:rPr>
          <w:rStyle w:val="ui-provider"/>
          <w:lang w:val="fr"/>
        </w:rPr>
        <w:t>184</w:t>
      </w:r>
      <w:r w:rsidR="005C772C" w:rsidRPr="005339C4">
        <w:rPr>
          <w:rStyle w:val="ui-provider"/>
          <w:lang w:val="fr"/>
        </w:rPr>
        <w:t> </w:t>
      </w:r>
      <w:r w:rsidRPr="005339C4">
        <w:rPr>
          <w:rStyle w:val="ui-provider"/>
          <w:lang w:val="fr"/>
        </w:rPr>
        <w:t>853 </w:t>
      </w:r>
      <w:r w:rsidR="00F6648F" w:rsidRPr="005339C4">
        <w:rPr>
          <w:rStyle w:val="ui-provider"/>
          <w:lang w:val="fr"/>
        </w:rPr>
        <w:t>dollars des États-Unis</w:t>
      </w:r>
      <w:r w:rsidRPr="005339C4">
        <w:rPr>
          <w:rStyle w:val="ui-provider"/>
          <w:lang w:val="fr"/>
        </w:rPr>
        <w:t xml:space="preserve"> à 471 598 </w:t>
      </w:r>
      <w:r w:rsidR="00F6648F" w:rsidRPr="005339C4">
        <w:rPr>
          <w:rStyle w:val="ui-provider"/>
          <w:lang w:val="fr"/>
        </w:rPr>
        <w:t>dollars des États-Unis</w:t>
      </w:r>
      <w:r w:rsidRPr="005339C4">
        <w:rPr>
          <w:rStyle w:val="ui-provider"/>
          <w:lang w:val="fr"/>
        </w:rPr>
        <w:t xml:space="preserve">), les contributions volontaires </w:t>
      </w:r>
      <w:r w:rsidRPr="005339C4">
        <w:rPr>
          <w:rFonts w:asciiTheme="minorBidi" w:hAnsiTheme="minorBidi"/>
          <w:lang w:val="fr"/>
        </w:rPr>
        <w:t>(de 430 019  </w:t>
      </w:r>
      <w:r w:rsidR="005C772C" w:rsidRPr="005339C4">
        <w:rPr>
          <w:rStyle w:val="ui-provider"/>
          <w:lang w:val="fr"/>
        </w:rPr>
        <w:t>dollars des États-Unis</w:t>
      </w:r>
      <w:r w:rsidR="005C772C" w:rsidRPr="005339C4" w:rsidDel="005C772C">
        <w:rPr>
          <w:rFonts w:asciiTheme="minorBidi" w:hAnsiTheme="minorBidi"/>
          <w:lang w:val="fr"/>
        </w:rPr>
        <w:t xml:space="preserve"> </w:t>
      </w:r>
      <w:r w:rsidRPr="005339C4">
        <w:rPr>
          <w:rFonts w:asciiTheme="minorBidi" w:hAnsiTheme="minorBidi"/>
          <w:lang w:val="fr"/>
        </w:rPr>
        <w:t>à 541 684 </w:t>
      </w:r>
      <w:r w:rsidR="005C772C" w:rsidRPr="005339C4">
        <w:rPr>
          <w:rStyle w:val="ui-provider"/>
          <w:lang w:val="fr"/>
        </w:rPr>
        <w:t>dollars des États-Unis</w:t>
      </w:r>
      <w:r w:rsidRPr="005339C4">
        <w:rPr>
          <w:rFonts w:asciiTheme="minorBidi" w:hAnsiTheme="minorBidi"/>
          <w:lang w:val="fr"/>
        </w:rPr>
        <w:t xml:space="preserve">), et, dans une moindre mesure, pour les contributions </w:t>
      </w:r>
      <w:r w:rsidR="00F6648F" w:rsidRPr="005339C4">
        <w:rPr>
          <w:rFonts w:asciiTheme="minorBidi" w:hAnsiTheme="minorBidi"/>
          <w:lang w:val="fr"/>
        </w:rPr>
        <w:t>volontaires mises en recouvrement</w:t>
      </w:r>
      <w:r w:rsidRPr="005339C4">
        <w:rPr>
          <w:rFonts w:asciiTheme="minorBidi" w:hAnsiTheme="minorBidi"/>
          <w:lang w:val="fr"/>
        </w:rPr>
        <w:t xml:space="preserve"> (de 3 800 602 </w:t>
      </w:r>
      <w:r w:rsidR="00F6648F" w:rsidRPr="005339C4">
        <w:rPr>
          <w:rFonts w:asciiTheme="minorBidi" w:hAnsiTheme="minorBidi"/>
          <w:lang w:val="fr"/>
        </w:rPr>
        <w:t>dollars des États-Unis</w:t>
      </w:r>
      <w:r w:rsidRPr="005339C4">
        <w:rPr>
          <w:rFonts w:asciiTheme="minorBidi" w:hAnsiTheme="minorBidi"/>
          <w:lang w:val="fr"/>
        </w:rPr>
        <w:t xml:space="preserve"> à 3 956 410 </w:t>
      </w:r>
      <w:r w:rsidR="00F6648F" w:rsidRPr="005339C4">
        <w:rPr>
          <w:rFonts w:asciiTheme="minorBidi" w:hAnsiTheme="minorBidi"/>
          <w:lang w:val="fr"/>
        </w:rPr>
        <w:t>dollars des États-Unis</w:t>
      </w:r>
      <w:r w:rsidRPr="005339C4">
        <w:rPr>
          <w:rFonts w:asciiTheme="minorBidi" w:hAnsiTheme="minorBidi"/>
          <w:lang w:val="fr"/>
        </w:rPr>
        <w:t>)</w:t>
      </w:r>
      <w:r w:rsidRPr="005339C4">
        <w:rPr>
          <w:rStyle w:val="ui-provider"/>
          <w:lang w:val="fr"/>
        </w:rPr>
        <w:t xml:space="preserve">, les contributions volontaires supplémentaires ont diminué, représentant un montant total de 330 249 </w:t>
      </w:r>
      <w:r w:rsidR="00F6648F" w:rsidRPr="005339C4">
        <w:rPr>
          <w:rStyle w:val="ui-provider"/>
          <w:lang w:val="fr"/>
        </w:rPr>
        <w:t>dollars des États-Unis</w:t>
      </w:r>
      <w:r w:rsidRPr="005339C4">
        <w:rPr>
          <w:rStyle w:val="ui-provider"/>
          <w:lang w:val="fr"/>
        </w:rPr>
        <w:t xml:space="preserve"> (contre 757 268 </w:t>
      </w:r>
      <w:r w:rsidR="00F6648F" w:rsidRPr="005339C4">
        <w:rPr>
          <w:rStyle w:val="ui-provider"/>
          <w:lang w:val="fr"/>
        </w:rPr>
        <w:t>dollars des États-Unis</w:t>
      </w:r>
      <w:r w:rsidRPr="005339C4">
        <w:rPr>
          <w:rStyle w:val="ui-provider"/>
          <w:lang w:val="fr"/>
        </w:rPr>
        <w:t xml:space="preserve"> au cours de l</w:t>
      </w:r>
      <w:r w:rsidR="007D1B10">
        <w:rPr>
          <w:rStyle w:val="ui-provider"/>
          <w:lang w:val="fr"/>
        </w:rPr>
        <w:t>’</w:t>
      </w:r>
      <w:r w:rsidRPr="005339C4">
        <w:rPr>
          <w:rStyle w:val="ui-provider"/>
          <w:lang w:val="fr"/>
        </w:rPr>
        <w:t>exercice</w:t>
      </w:r>
      <w:r w:rsidR="00F6648F" w:rsidRPr="005339C4">
        <w:rPr>
          <w:rStyle w:val="ui-provider"/>
          <w:lang w:val="fr"/>
        </w:rPr>
        <w:t xml:space="preserve"> biennal</w:t>
      </w:r>
      <w:r w:rsidRPr="005339C4">
        <w:rPr>
          <w:rStyle w:val="ui-provider"/>
          <w:lang w:val="fr"/>
        </w:rPr>
        <w:t xml:space="preserve"> précédent pour la même période)</w:t>
      </w:r>
      <w:r w:rsidRPr="005339C4">
        <w:rPr>
          <w:lang w:val="fr"/>
        </w:rPr>
        <w:t>.</w:t>
      </w:r>
    </w:p>
    <w:p w14:paraId="642D30BD" w14:textId="740DD363" w:rsidR="002C6A2C" w:rsidRPr="005339C4" w:rsidRDefault="00AB133E" w:rsidP="007634E6">
      <w:pPr>
        <w:pStyle w:val="COMPara"/>
        <w:ind w:left="567" w:hanging="567"/>
        <w:jc w:val="both"/>
        <w:rPr>
          <w:lang w:val="fr-FR"/>
        </w:rPr>
      </w:pPr>
      <w:r w:rsidRPr="005339C4">
        <w:rPr>
          <w:lang w:val="fr"/>
        </w:rPr>
        <w:t xml:space="preserve">Le taux de </w:t>
      </w:r>
      <w:r w:rsidRPr="005339C4">
        <w:rPr>
          <w:b/>
          <w:bCs/>
          <w:lang w:val="fr"/>
        </w:rPr>
        <w:t>dépenses</w:t>
      </w:r>
      <w:r w:rsidRPr="005339C4">
        <w:rPr>
          <w:lang w:val="fr"/>
        </w:rPr>
        <w:t xml:space="preserve"> du dernier plan approuvé par l</w:t>
      </w:r>
      <w:r w:rsidR="007D1B10">
        <w:rPr>
          <w:lang w:val="fr"/>
        </w:rPr>
        <w:t>’</w:t>
      </w:r>
      <w:r w:rsidRPr="005339C4">
        <w:rPr>
          <w:lang w:val="fr"/>
        </w:rPr>
        <w:t>Assemblée générale est en augmentation, atteignant 60,4 % au 30 juin 2023, alors qu</w:t>
      </w:r>
      <w:r w:rsidR="007D1B10">
        <w:rPr>
          <w:lang w:val="fr"/>
        </w:rPr>
        <w:t>’</w:t>
      </w:r>
      <w:r w:rsidRPr="005339C4">
        <w:rPr>
          <w:lang w:val="fr"/>
        </w:rPr>
        <w:t>il reste encore six mois à l</w:t>
      </w:r>
      <w:r w:rsidR="007D1B10">
        <w:rPr>
          <w:lang w:val="fr"/>
        </w:rPr>
        <w:t>’</w:t>
      </w:r>
      <w:r w:rsidRPr="005339C4">
        <w:rPr>
          <w:lang w:val="fr"/>
        </w:rPr>
        <w:t>exercice biennal en cours. Selon les dernières prévisions, le taux de dépenses à la fin de l</w:t>
      </w:r>
      <w:r w:rsidR="007D1B10">
        <w:rPr>
          <w:lang w:val="fr"/>
        </w:rPr>
        <w:t>’</w:t>
      </w:r>
      <w:r w:rsidRPr="005339C4">
        <w:rPr>
          <w:lang w:val="fr"/>
        </w:rPr>
        <w:t xml:space="preserve">exercice </w:t>
      </w:r>
      <w:r w:rsidRPr="005339C4">
        <w:rPr>
          <w:lang w:val="fr"/>
        </w:rPr>
        <w:lastRenderedPageBreak/>
        <w:t>biennal devrait atteindre 82 %, ce qui représenterait le taux de dépenses le plus élevé du Fonds depuis 2010</w:t>
      </w:r>
      <w:r w:rsidR="006325AE" w:rsidRPr="005339C4">
        <w:rPr>
          <w:lang w:val="fr"/>
        </w:rPr>
        <w:t xml:space="preserve"> </w:t>
      </w:r>
      <w:r w:rsidRPr="005339C4">
        <w:rPr>
          <w:lang w:val="fr"/>
        </w:rPr>
        <w:t>(</w:t>
      </w:r>
      <w:r w:rsidR="0015494B" w:rsidRPr="005339C4">
        <w:rPr>
          <w:lang w:val="fr"/>
        </w:rPr>
        <w:t>4</w:t>
      </w:r>
      <w:r w:rsidR="006325AE" w:rsidRPr="005339C4">
        <w:rPr>
          <w:lang w:val="fr"/>
        </w:rPr>
        <w:t>8</w:t>
      </w:r>
      <w:r w:rsidRPr="005339C4">
        <w:rPr>
          <w:lang w:val="fr"/>
        </w:rPr>
        <w:t xml:space="preserve"> % en moyenne entre </w:t>
      </w:r>
      <w:r w:rsidR="005C772C" w:rsidRPr="005339C4">
        <w:rPr>
          <w:lang w:val="fr"/>
        </w:rPr>
        <w:t xml:space="preserve">2012 </w:t>
      </w:r>
      <w:r w:rsidRPr="005339C4">
        <w:rPr>
          <w:lang w:val="fr"/>
        </w:rPr>
        <w:t>et 2021) et dépasserait, en termes nominaux, le niveau de dépenses atteint avant la pandémie de COVID-19 (</w:t>
      </w:r>
      <w:r w:rsidR="006325AE" w:rsidRPr="005339C4">
        <w:rPr>
          <w:lang w:val="fr"/>
        </w:rPr>
        <w:t>5</w:t>
      </w:r>
      <w:r w:rsidRPr="005339C4">
        <w:rPr>
          <w:lang w:val="fr"/>
        </w:rPr>
        <w:t>,</w:t>
      </w:r>
      <w:r w:rsidR="006325AE" w:rsidRPr="005339C4">
        <w:rPr>
          <w:lang w:val="fr"/>
        </w:rPr>
        <w:t>4</w:t>
      </w:r>
      <w:r w:rsidRPr="005339C4">
        <w:rPr>
          <w:lang w:val="fr"/>
        </w:rPr>
        <w:t xml:space="preserve"> millions  </w:t>
      </w:r>
      <w:r w:rsidR="006325AE" w:rsidRPr="005339C4">
        <w:rPr>
          <w:lang w:val="fr"/>
        </w:rPr>
        <w:t>dollars des États-Unis</w:t>
      </w:r>
      <w:r w:rsidRPr="005339C4">
        <w:rPr>
          <w:lang w:val="fr"/>
        </w:rPr>
        <w:t xml:space="preserve"> dépensés pendant l</w:t>
      </w:r>
      <w:r w:rsidR="007D1B10">
        <w:rPr>
          <w:lang w:val="fr"/>
        </w:rPr>
        <w:t>’</w:t>
      </w:r>
      <w:r w:rsidRPr="005339C4">
        <w:rPr>
          <w:lang w:val="fr"/>
        </w:rPr>
        <w:t>ensemble de l</w:t>
      </w:r>
      <w:r w:rsidR="007D1B10">
        <w:rPr>
          <w:lang w:val="fr"/>
        </w:rPr>
        <w:t>’</w:t>
      </w:r>
      <w:r w:rsidRPr="005339C4">
        <w:rPr>
          <w:lang w:val="fr"/>
        </w:rPr>
        <w:t>exercice biennal 2018-2019 contre 5,3</w:t>
      </w:r>
      <w:r w:rsidR="00155A73" w:rsidRPr="005339C4">
        <w:rPr>
          <w:lang w:val="fr"/>
        </w:rPr>
        <w:t> </w:t>
      </w:r>
      <w:r w:rsidRPr="005339C4">
        <w:rPr>
          <w:lang w:val="fr"/>
        </w:rPr>
        <w:t>millions </w:t>
      </w:r>
      <w:r w:rsidR="006325AE" w:rsidRPr="005339C4">
        <w:rPr>
          <w:lang w:val="fr"/>
        </w:rPr>
        <w:t>dollars des États-Unis</w:t>
      </w:r>
      <w:r w:rsidRPr="005339C4">
        <w:rPr>
          <w:lang w:val="fr"/>
        </w:rPr>
        <w:t xml:space="preserve"> dépensés au cours des dix-huit premiers mois de l</w:t>
      </w:r>
      <w:r w:rsidR="007D1B10">
        <w:rPr>
          <w:lang w:val="fr"/>
        </w:rPr>
        <w:t>’</w:t>
      </w:r>
      <w:r w:rsidRPr="005339C4">
        <w:rPr>
          <w:lang w:val="fr"/>
        </w:rPr>
        <w:t xml:space="preserve">exercice biennal actuel). </w:t>
      </w:r>
    </w:p>
    <w:p w14:paraId="20BCF26F" w14:textId="55147978" w:rsidR="00CA4EB3" w:rsidRPr="005339C4" w:rsidRDefault="00F12274" w:rsidP="00CA4EB3">
      <w:pPr>
        <w:pStyle w:val="COMPara"/>
        <w:ind w:left="567" w:hanging="567"/>
        <w:jc w:val="both"/>
        <w:rPr>
          <w:bCs/>
          <w:lang w:val="fr-FR"/>
        </w:rPr>
      </w:pPr>
      <w:r w:rsidRPr="005339C4">
        <w:rPr>
          <w:lang w:val="fr"/>
        </w:rPr>
        <w:t>Le graphique ci-dessous (Figure 1) montre que les dépenses ont en effet dépassé, pour la première fois</w:t>
      </w:r>
      <w:r w:rsidR="00AE346D" w:rsidRPr="005339C4">
        <w:rPr>
          <w:lang w:val="fr"/>
        </w:rPr>
        <w:t xml:space="preserve"> au cours </w:t>
      </w:r>
      <w:r w:rsidR="001D5112" w:rsidRPr="005339C4">
        <w:rPr>
          <w:lang w:val="fr"/>
        </w:rPr>
        <w:t>d</w:t>
      </w:r>
      <w:r w:rsidR="007D1B10">
        <w:rPr>
          <w:lang w:val="fr"/>
        </w:rPr>
        <w:t>’</w:t>
      </w:r>
      <w:r w:rsidR="001D5112" w:rsidRPr="005339C4">
        <w:rPr>
          <w:lang w:val="fr"/>
        </w:rPr>
        <w:t xml:space="preserve">une période de </w:t>
      </w:r>
      <w:r w:rsidR="00AE346D" w:rsidRPr="005339C4">
        <w:rPr>
          <w:lang w:val="fr"/>
        </w:rPr>
        <w:t>dix-huit mois</w:t>
      </w:r>
      <w:r w:rsidRPr="005339C4">
        <w:rPr>
          <w:lang w:val="fr"/>
        </w:rPr>
        <w:t>, le montant de 5,2 millions </w:t>
      </w:r>
      <w:r w:rsidR="00AE346D" w:rsidRPr="005339C4">
        <w:rPr>
          <w:lang w:val="fr"/>
        </w:rPr>
        <w:t xml:space="preserve">dollars des États-Unis </w:t>
      </w:r>
      <w:r w:rsidRPr="005339C4">
        <w:rPr>
          <w:lang w:val="fr"/>
        </w:rPr>
        <w:t>pour la période allant du 1er janvier 2022 au 30 juin 2023, alors que les contributions obligatoires</w:t>
      </w:r>
      <w:r w:rsidR="00AE346D" w:rsidRPr="005339C4">
        <w:rPr>
          <w:lang w:val="fr"/>
        </w:rPr>
        <w:t xml:space="preserve"> mises en recouvrement</w:t>
      </w:r>
      <w:r w:rsidRPr="005339C4">
        <w:rPr>
          <w:lang w:val="fr"/>
        </w:rPr>
        <w:t xml:space="preserve"> pour 2022 </w:t>
      </w:r>
      <w:r w:rsidR="001D5112" w:rsidRPr="005339C4">
        <w:rPr>
          <w:lang w:val="fr"/>
        </w:rPr>
        <w:t xml:space="preserve">– </w:t>
      </w:r>
      <w:r w:rsidRPr="005339C4">
        <w:rPr>
          <w:lang w:val="fr"/>
        </w:rPr>
        <w:t>2023,</w:t>
      </w:r>
      <w:r w:rsidR="001D5112" w:rsidRPr="005339C4">
        <w:rPr>
          <w:lang w:val="fr"/>
        </w:rPr>
        <w:t xml:space="preserve"> </w:t>
      </w:r>
      <w:r w:rsidRPr="005339C4">
        <w:rPr>
          <w:lang w:val="fr"/>
        </w:rPr>
        <w:t xml:space="preserve">la plus grande source de revenus du Fonds (75 % du revenu total pendant la période </w:t>
      </w:r>
      <w:r w:rsidR="00AE346D" w:rsidRPr="005339C4">
        <w:rPr>
          <w:lang w:val="fr"/>
        </w:rPr>
        <w:t>considérée</w:t>
      </w:r>
      <w:r w:rsidRPr="005339C4">
        <w:rPr>
          <w:lang w:val="fr"/>
        </w:rPr>
        <w:t>), représentent 3,96</w:t>
      </w:r>
      <w:r w:rsidR="00155A73" w:rsidRPr="005339C4">
        <w:rPr>
          <w:lang w:val="fr"/>
        </w:rPr>
        <w:t> </w:t>
      </w:r>
      <w:r w:rsidRPr="005339C4">
        <w:rPr>
          <w:lang w:val="fr"/>
        </w:rPr>
        <w:t>millions </w:t>
      </w:r>
      <w:r w:rsidR="00AE346D" w:rsidRPr="005339C4">
        <w:rPr>
          <w:lang w:val="fr"/>
        </w:rPr>
        <w:t>dollars des États-Unis</w:t>
      </w:r>
      <w:r w:rsidRPr="005339C4">
        <w:rPr>
          <w:lang w:val="fr"/>
        </w:rPr>
        <w:t>. L</w:t>
      </w:r>
      <w:r w:rsidR="007D1B10">
        <w:rPr>
          <w:lang w:val="fr"/>
        </w:rPr>
        <w:t>’</w:t>
      </w:r>
      <w:r w:rsidRPr="005339C4">
        <w:rPr>
          <w:lang w:val="fr"/>
        </w:rPr>
        <w:t>augmentation des dépenses témoigne de l</w:t>
      </w:r>
      <w:r w:rsidR="007D1B10">
        <w:rPr>
          <w:lang w:val="fr"/>
        </w:rPr>
        <w:t>’</w:t>
      </w:r>
      <w:r w:rsidRPr="005339C4">
        <w:rPr>
          <w:lang w:val="fr"/>
        </w:rPr>
        <w:t xml:space="preserve">amélioration de la capacité des États parties à demander une assistance internationale (voir le document </w:t>
      </w:r>
      <w:hyperlink r:id="rId12" w:history="1">
        <w:r w:rsidRPr="005339C4">
          <w:rPr>
            <w:rStyle w:val="Hyperlink"/>
            <w:lang w:val="fr"/>
          </w:rPr>
          <w:t>LHE/23/18.COM/10</w:t>
        </w:r>
      </w:hyperlink>
      <w:r w:rsidRPr="005339C4">
        <w:rPr>
          <w:lang w:val="fr"/>
        </w:rPr>
        <w:t xml:space="preserve">) et du Secrétariat à répondre aux besoins croissants des États parties (voir les documents </w:t>
      </w:r>
      <w:hyperlink r:id="rId13" w:history="1">
        <w:r w:rsidRPr="005339C4">
          <w:rPr>
            <w:rStyle w:val="Hyperlink"/>
            <w:lang w:val="fr"/>
          </w:rPr>
          <w:t>LHE/23/18.COM/INF.14</w:t>
        </w:r>
      </w:hyperlink>
      <w:r w:rsidRPr="005339C4">
        <w:rPr>
          <w:lang w:val="fr"/>
        </w:rPr>
        <w:t xml:space="preserve"> et </w:t>
      </w:r>
      <w:hyperlink r:id="rId14" w:history="1">
        <w:r w:rsidRPr="005339C4">
          <w:rPr>
            <w:rStyle w:val="Hyperlink"/>
            <w:lang w:val="fr"/>
          </w:rPr>
          <w:t>LHE/23/18.COM/5</w:t>
        </w:r>
      </w:hyperlink>
      <w:r w:rsidRPr="005339C4">
        <w:rPr>
          <w:sz w:val="20"/>
          <w:szCs w:val="20"/>
          <w:lang w:val="fr"/>
        </w:rPr>
        <w:t>)</w:t>
      </w:r>
      <w:r w:rsidRPr="005339C4">
        <w:rPr>
          <w:lang w:val="fr"/>
        </w:rPr>
        <w:t>. En conséquence, le budget global approuvé devrait diminuer pour l</w:t>
      </w:r>
      <w:r w:rsidR="007D1B10">
        <w:rPr>
          <w:lang w:val="fr"/>
        </w:rPr>
        <w:t>’</w:t>
      </w:r>
      <w:r w:rsidRPr="005339C4">
        <w:rPr>
          <w:lang w:val="fr"/>
        </w:rPr>
        <w:t xml:space="preserve">exercice biennal du 42 C/5 (2024-2025), de 8,73 millions </w:t>
      </w:r>
      <w:r w:rsidR="00AE346D" w:rsidRPr="005339C4">
        <w:rPr>
          <w:lang w:val="fr"/>
        </w:rPr>
        <w:t>dollars des États-Unis</w:t>
      </w:r>
      <w:r w:rsidRPr="005339C4">
        <w:rPr>
          <w:lang w:val="fr"/>
        </w:rPr>
        <w:t xml:space="preserve"> (</w:t>
      </w:r>
      <w:r w:rsidR="00AE346D" w:rsidRPr="005339C4">
        <w:rPr>
          <w:lang w:val="fr"/>
        </w:rPr>
        <w:t>R</w:t>
      </w:r>
      <w:r w:rsidRPr="005339C4">
        <w:rPr>
          <w:lang w:val="fr"/>
        </w:rPr>
        <w:t xml:space="preserve">ésolution </w:t>
      </w:r>
      <w:hyperlink r:id="rId15" w:history="1">
        <w:r w:rsidRPr="005339C4">
          <w:rPr>
            <w:rStyle w:val="Hyperlink"/>
            <w:lang w:val="fr"/>
          </w:rPr>
          <w:t>9.GA 10</w:t>
        </w:r>
      </w:hyperlink>
      <w:r w:rsidRPr="005339C4">
        <w:rPr>
          <w:lang w:val="fr"/>
        </w:rPr>
        <w:t xml:space="preserve">) à 7 millions </w:t>
      </w:r>
      <w:r w:rsidR="00AE346D" w:rsidRPr="005339C4">
        <w:rPr>
          <w:lang w:val="fr"/>
        </w:rPr>
        <w:t>dollars des États-Unis</w:t>
      </w:r>
      <w:r w:rsidRPr="005339C4">
        <w:rPr>
          <w:lang w:val="fr"/>
        </w:rPr>
        <w:t>. Bien q</w:t>
      </w:r>
      <w:r w:rsidR="00AE346D" w:rsidRPr="005339C4">
        <w:rPr>
          <w:lang w:val="fr"/>
        </w:rPr>
        <w:t>ue cela ne soit pas</w:t>
      </w:r>
      <w:r w:rsidRPr="005339C4">
        <w:rPr>
          <w:lang w:val="fr"/>
        </w:rPr>
        <w:t xml:space="preserve"> critique à ce stade</w:t>
      </w:r>
      <w:r w:rsidR="00AE346D" w:rsidRPr="005339C4">
        <w:rPr>
          <w:lang w:val="fr"/>
        </w:rPr>
        <w:t>, il convient de noter que si le niveau des dépenses est maintenu à un niveau aussi élevé (c</w:t>
      </w:r>
      <w:r w:rsidR="007D1B10">
        <w:rPr>
          <w:lang w:val="fr"/>
        </w:rPr>
        <w:t>’</w:t>
      </w:r>
      <w:r w:rsidR="00AE346D" w:rsidRPr="005339C4">
        <w:rPr>
          <w:lang w:val="fr"/>
        </w:rPr>
        <w:t xml:space="preserve">est-à-dire supérieur au niveau des contributions obligatoires mises en recouvrement reçues au cours de chaque exercice biennal), </w:t>
      </w:r>
      <w:r w:rsidRPr="005339C4">
        <w:rPr>
          <w:lang w:val="fr"/>
        </w:rPr>
        <w:t xml:space="preserve">le budget approuvé </w:t>
      </w:r>
      <w:r w:rsidR="00AE346D" w:rsidRPr="005339C4">
        <w:rPr>
          <w:lang w:val="fr"/>
        </w:rPr>
        <w:t xml:space="preserve">devrait diminuer </w:t>
      </w:r>
      <w:r w:rsidRPr="005339C4">
        <w:rPr>
          <w:lang w:val="fr"/>
        </w:rPr>
        <w:t>au cours des exercices</w:t>
      </w:r>
      <w:r w:rsidR="00AE346D" w:rsidRPr="005339C4">
        <w:rPr>
          <w:lang w:val="fr"/>
        </w:rPr>
        <w:t xml:space="preserve"> biennaux à venir</w:t>
      </w:r>
      <w:r w:rsidRPr="005339C4">
        <w:rPr>
          <w:lang w:val="fr"/>
        </w:rPr>
        <w:t>.</w:t>
      </w:r>
    </w:p>
    <w:p w14:paraId="47DE0D69" w14:textId="2CB7C2E7" w:rsidR="00F12274" w:rsidRPr="005339C4" w:rsidRDefault="00CA4EB3" w:rsidP="003F1C31">
      <w:pPr>
        <w:pStyle w:val="COMPara"/>
        <w:numPr>
          <w:ilvl w:val="0"/>
          <w:numId w:val="0"/>
        </w:numPr>
        <w:ind w:left="567"/>
        <w:jc w:val="both"/>
        <w:rPr>
          <w:bCs/>
          <w:lang w:val="fr-FR"/>
        </w:rPr>
      </w:pPr>
      <w:r w:rsidRPr="005339C4">
        <w:rPr>
          <w:noProof/>
          <w:lang w:val="fr"/>
        </w:rPr>
        <w:drawing>
          <wp:inline distT="0" distB="0" distL="0" distR="0" wp14:anchorId="2A159972" wp14:editId="181902A9">
            <wp:extent cx="5742000" cy="3279628"/>
            <wp:effectExtent l="0" t="0" r="0" b="0"/>
            <wp:docPr id="4993863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42000" cy="3279628"/>
                    </a:xfrm>
                    <a:prstGeom prst="rect">
                      <a:avLst/>
                    </a:prstGeom>
                    <a:noFill/>
                  </pic:spPr>
                </pic:pic>
              </a:graphicData>
            </a:graphic>
          </wp:inline>
        </w:drawing>
      </w:r>
    </w:p>
    <w:p w14:paraId="28ECE739" w14:textId="1813333C" w:rsidR="00772D5E" w:rsidRPr="005339C4" w:rsidRDefault="00772D5E" w:rsidP="00CA4EB3">
      <w:pPr>
        <w:pStyle w:val="COMPara"/>
        <w:numPr>
          <w:ilvl w:val="0"/>
          <w:numId w:val="0"/>
        </w:numPr>
        <w:ind w:left="567"/>
        <w:jc w:val="both"/>
        <w:rPr>
          <w:bCs/>
        </w:rPr>
      </w:pPr>
      <w:r w:rsidRPr="005339C4">
        <w:rPr>
          <w:noProof/>
          <w:sz w:val="24"/>
          <w:szCs w:val="24"/>
          <w:lang w:val="fr"/>
        </w:rPr>
        <mc:AlternateContent>
          <mc:Choice Requires="wps">
            <w:drawing>
              <wp:inline distT="0" distB="0" distL="0" distR="0" wp14:anchorId="33A144C9" wp14:editId="4CD8B181">
                <wp:extent cx="5756275" cy="241300"/>
                <wp:effectExtent l="0" t="0" r="0" b="0"/>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275" cy="24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5AA25B" w14:textId="77777777" w:rsidR="00772D5E" w:rsidRDefault="00772D5E" w:rsidP="00772D5E">
                            <w:pPr>
                              <w:spacing w:after="120"/>
                              <w:ind w:right="201"/>
                              <w:rPr>
                                <w:rFonts w:ascii="Arial" w:hAnsi="Arial" w:cs="Arial"/>
                                <w:sz w:val="16"/>
                                <w:szCs w:val="16"/>
                              </w:rPr>
                            </w:pPr>
                            <w:r>
                              <w:rPr>
                                <w:rFonts w:ascii="Arial" w:hAnsi="Arial" w:cs="Arial"/>
                                <w:b/>
                                <w:bCs/>
                                <w:sz w:val="16"/>
                                <w:szCs w:val="16"/>
                                <w:lang w:val="fr"/>
                              </w:rPr>
                              <w:t xml:space="preserve">Figure 1 : </w:t>
                            </w:r>
                            <w:r>
                              <w:rPr>
                                <w:rFonts w:ascii="Arial" w:hAnsi="Arial" w:cs="Arial"/>
                                <w:sz w:val="16"/>
                                <w:szCs w:val="16"/>
                                <w:lang w:val="fr"/>
                              </w:rPr>
                              <w:t>Évolution des dépenses du Fonds</w:t>
                            </w:r>
                            <w:r>
                              <w:rPr>
                                <w:rFonts w:ascii="Arial" w:hAnsi="Arial" w:cs="Arial"/>
                                <w:b/>
                                <w:bCs/>
                                <w:sz w:val="16"/>
                                <w:szCs w:val="16"/>
                                <w:lang w:val="fr"/>
                              </w:rPr>
                              <w:t xml:space="preserve"> </w:t>
                            </w:r>
                          </w:p>
                        </w:txbxContent>
                      </wps:txbx>
                      <wps:bodyPr rot="0" vert="horz" wrap="square" lIns="91440" tIns="45720" rIns="91440" bIns="45720" anchor="t" anchorCtr="0" upright="1">
                        <a:noAutofit/>
                      </wps:bodyPr>
                    </wps:wsp>
                  </a:graphicData>
                </a:graphic>
              </wp:inline>
            </w:drawing>
          </mc:Choice>
          <mc:Fallback>
            <w:pict>
              <v:shapetype w14:anchorId="33A144C9" id="_x0000_t202" coordsize="21600,21600" o:spt="202" path="m,l,21600r21600,l21600,xe">
                <v:stroke joinstyle="miter"/>
                <v:path gradientshapeok="t" o:connecttype="rect"/>
              </v:shapetype>
              <v:shape id="Zone de texte 10" o:spid="_x0000_s1026" type="#_x0000_t202" style="width:453.25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" stroked="f">
                <v:textbox>
                  <w:txbxContent>
                    <w:p w14:paraId="085AA25B" w14:textId="77777777" w:rsidR="00772D5E" w:rsidRDefault="00772D5E" w:rsidP="00772D5E">
                      <w:pPr>
                        <w:spacing w:after="120"/>
                        <w:ind w:right="201"/>
                        <w:rPr>
                          <w:rFonts w:ascii="Arial" w:hAnsi="Arial" w:cs="Arial"/>
                          <w:sz w:val="16"/>
                          <w:szCs w:val="16"/>
                        </w:rPr>
                      </w:pPr>
                      <w:r>
                        <w:rPr>
                          <w:rFonts w:ascii="Arial" w:hAnsi="Arial" w:cs="Arial"/>
                          <w:b/>
                          <w:bCs/>
                          <w:sz w:val="16"/>
                          <w:szCs w:val="16"/>
                          <w:lang w:val="fr"/>
                        </w:rPr>
                        <w:t xml:space="preserve">Figure 1 : </w:t>
                      </w:r>
                      <w:r>
                        <w:rPr>
                          <w:rFonts w:ascii="Arial" w:hAnsi="Arial" w:cs="Arial"/>
                          <w:sz w:val="16"/>
                          <w:szCs w:val="16"/>
                          <w:lang w:val="fr"/>
                        </w:rPr>
                        <w:t>Évolution des dépenses du Fonds</w:t>
                      </w:r>
                      <w:r>
                        <w:rPr>
                          <w:rFonts w:ascii="Arial" w:hAnsi="Arial" w:cs="Arial"/>
                          <w:b/>
                          <w:bCs/>
                          <w:sz w:val="16"/>
                          <w:szCs w:val="16"/>
                          <w:lang w:val="fr"/>
                        </w:rPr>
                        <w:t xml:space="preserve"> </w:t>
                      </w:r>
                    </w:p>
                  </w:txbxContent>
                </v:textbox>
                <w10:anchorlock/>
              </v:shape>
            </w:pict>
          </mc:Fallback>
        </mc:AlternateContent>
      </w:r>
    </w:p>
    <w:p w14:paraId="223A6BE5" w14:textId="13B7DA74" w:rsidR="005B6F10" w:rsidRPr="005339C4" w:rsidRDefault="005B6F10" w:rsidP="005B6F10">
      <w:pPr>
        <w:pStyle w:val="COMPara"/>
        <w:ind w:left="567" w:hanging="567"/>
        <w:jc w:val="both"/>
        <w:rPr>
          <w:lang w:val="fr-FR"/>
        </w:rPr>
      </w:pPr>
      <w:r w:rsidRPr="005339C4">
        <w:rPr>
          <w:lang w:val="fr"/>
        </w:rPr>
        <w:t xml:space="preserve">Il convient de rappeler que le </w:t>
      </w:r>
      <w:r w:rsidRPr="005339C4">
        <w:rPr>
          <w:b/>
          <w:bCs/>
          <w:lang w:val="fr"/>
        </w:rPr>
        <w:t>paiement des contributions</w:t>
      </w:r>
      <w:r w:rsidRPr="005339C4">
        <w:rPr>
          <w:lang w:val="fr"/>
        </w:rPr>
        <w:t xml:space="preserve"> est une obligation qui incombe à tous les États parties ayant ratifié la Convention, conformément à l</w:t>
      </w:r>
      <w:r w:rsidR="007D1B10">
        <w:rPr>
          <w:lang w:val="fr"/>
        </w:rPr>
        <w:t>’</w:t>
      </w:r>
      <w:r w:rsidRPr="005339C4">
        <w:rPr>
          <w:lang w:val="fr"/>
        </w:rPr>
        <w:t>article 26 de la Convention. Étant donné que les États parties exercent des droits et profitent d</w:t>
      </w:r>
      <w:r w:rsidR="007D1B10">
        <w:rPr>
          <w:lang w:val="fr"/>
        </w:rPr>
        <w:t>’</w:t>
      </w:r>
      <w:r w:rsidRPr="005339C4">
        <w:rPr>
          <w:lang w:val="fr"/>
        </w:rPr>
        <w:t>avantages qui leur sont conférés dans le cadre de la Convention, on s</w:t>
      </w:r>
      <w:r w:rsidR="007D1B10">
        <w:rPr>
          <w:lang w:val="fr"/>
        </w:rPr>
        <w:t>’</w:t>
      </w:r>
      <w:r w:rsidRPr="005339C4">
        <w:rPr>
          <w:lang w:val="fr"/>
        </w:rPr>
        <w:t>attend aussi à ce qu</w:t>
      </w:r>
      <w:r w:rsidR="007D1B10">
        <w:rPr>
          <w:lang w:val="fr"/>
        </w:rPr>
        <w:t>’</w:t>
      </w:r>
      <w:r w:rsidRPr="005339C4">
        <w:rPr>
          <w:lang w:val="fr"/>
        </w:rPr>
        <w:t>ils respectent leurs engagements en retour</w:t>
      </w:r>
      <w:r w:rsidR="00F94E20" w:rsidRPr="005339C4">
        <w:rPr>
          <w:lang w:val="fr"/>
        </w:rPr>
        <w:t>.</w:t>
      </w:r>
      <w:r w:rsidRPr="005339C4">
        <w:rPr>
          <w:lang w:val="fr"/>
        </w:rPr>
        <w:t xml:space="preserve"> Comme indiqué dans plusieurs documents statutaires (le plus récent étant le document </w:t>
      </w:r>
      <w:hyperlink r:id="rId17" w:history="1">
        <w:r w:rsidRPr="005339C4">
          <w:rPr>
            <w:rStyle w:val="Hyperlink"/>
            <w:lang w:val="fr"/>
          </w:rPr>
          <w:t>LHE/22/9.GA/10</w:t>
        </w:r>
      </w:hyperlink>
      <w:r w:rsidRPr="005339C4">
        <w:rPr>
          <w:lang w:val="fr"/>
        </w:rPr>
        <w:t>), l</w:t>
      </w:r>
      <w:r w:rsidR="007D1B10">
        <w:rPr>
          <w:lang w:val="fr"/>
        </w:rPr>
        <w:t>’</w:t>
      </w:r>
      <w:r w:rsidRPr="005339C4">
        <w:rPr>
          <w:lang w:val="fr"/>
        </w:rPr>
        <w:t xml:space="preserve">insuffisance de fonds disponibles </w:t>
      </w:r>
      <w:r w:rsidR="00F94E20" w:rsidRPr="005339C4">
        <w:rPr>
          <w:lang w:val="fr"/>
        </w:rPr>
        <w:t>causée par des</w:t>
      </w:r>
      <w:r w:rsidRPr="005339C4">
        <w:rPr>
          <w:lang w:val="fr"/>
        </w:rPr>
        <w:t xml:space="preserve"> retards de paiement des contributions</w:t>
      </w:r>
      <w:r w:rsidR="00F94E20" w:rsidRPr="005339C4">
        <w:rPr>
          <w:lang w:val="fr"/>
        </w:rPr>
        <w:t xml:space="preserve"> mises en recouvrement</w:t>
      </w:r>
      <w:r w:rsidRPr="005339C4">
        <w:rPr>
          <w:lang w:val="fr"/>
        </w:rPr>
        <w:t xml:space="preserve"> pourrait retarder et donc compromettre la mise en œuvre des activités prévues dans le budget.</w:t>
      </w:r>
    </w:p>
    <w:p w14:paraId="10EA0792" w14:textId="0AED29D0" w:rsidR="005B6F10" w:rsidRPr="005339C4" w:rsidRDefault="005B6F10" w:rsidP="00257AF7">
      <w:pPr>
        <w:pStyle w:val="COMPara"/>
        <w:spacing w:after="480"/>
        <w:ind w:left="562" w:hanging="562"/>
        <w:jc w:val="both"/>
        <w:rPr>
          <w:lang w:val="fr-FR"/>
        </w:rPr>
      </w:pPr>
      <w:r w:rsidRPr="005339C4">
        <w:rPr>
          <w:lang w:val="fr"/>
        </w:rPr>
        <w:t xml:space="preserve">En ce qui concerne les </w:t>
      </w:r>
      <w:r w:rsidRPr="005339C4">
        <w:rPr>
          <w:b/>
          <w:bCs/>
          <w:lang w:val="fr"/>
        </w:rPr>
        <w:t>contributions obligatoires mises en recouvrement</w:t>
      </w:r>
      <w:r w:rsidRPr="005339C4">
        <w:rPr>
          <w:lang w:val="fr"/>
        </w:rPr>
        <w:t xml:space="preserve"> que doivent verser les États parties conformément à l</w:t>
      </w:r>
      <w:r w:rsidR="007D1B10">
        <w:rPr>
          <w:lang w:val="fr"/>
        </w:rPr>
        <w:t>’</w:t>
      </w:r>
      <w:r w:rsidRPr="005339C4">
        <w:rPr>
          <w:lang w:val="fr"/>
        </w:rPr>
        <w:t xml:space="preserve">article 26.1 de la Convention, </w:t>
      </w:r>
      <w:r w:rsidR="00931594" w:rsidRPr="005339C4">
        <w:rPr>
          <w:lang w:val="fr"/>
        </w:rPr>
        <w:t xml:space="preserve">en moyenne, au cours de </w:t>
      </w:r>
      <w:r w:rsidR="000F3FDC" w:rsidRPr="005339C4">
        <w:rPr>
          <w:lang w:val="fr"/>
        </w:rPr>
        <w:t>onze</w:t>
      </w:r>
      <w:r w:rsidR="00931594" w:rsidRPr="005339C4">
        <w:rPr>
          <w:lang w:val="fr"/>
        </w:rPr>
        <w:t xml:space="preserve"> dernières années (2012-2022), le niveau des contribution impayées à la fin de chaque année représente </w:t>
      </w:r>
      <w:r w:rsidRPr="005339C4">
        <w:rPr>
          <w:lang w:val="fr"/>
        </w:rPr>
        <w:t xml:space="preserve">environ 19 % du montant </w:t>
      </w:r>
      <w:r w:rsidR="00931594" w:rsidRPr="005339C4">
        <w:rPr>
          <w:lang w:val="fr"/>
        </w:rPr>
        <w:t xml:space="preserve">annuel </w:t>
      </w:r>
      <w:r w:rsidRPr="005339C4">
        <w:rPr>
          <w:lang w:val="fr"/>
        </w:rPr>
        <w:t xml:space="preserve">mis en recouvrement. </w:t>
      </w:r>
      <w:r w:rsidRPr="005339C4">
        <w:rPr>
          <w:lang w:val="fr-FR"/>
        </w:rPr>
        <w:t xml:space="preserve">À la fin de la période </w:t>
      </w:r>
      <w:r w:rsidR="00E263E6" w:rsidRPr="005339C4">
        <w:rPr>
          <w:lang w:val="fr-FR"/>
        </w:rPr>
        <w:t xml:space="preserve">considérée </w:t>
      </w:r>
      <w:r w:rsidRPr="005339C4">
        <w:rPr>
          <w:lang w:val="fr-FR"/>
        </w:rPr>
        <w:t>couverte par le présent document, les contributions impayées représentent 1,52</w:t>
      </w:r>
      <w:r w:rsidR="00155A73" w:rsidRPr="005339C4">
        <w:rPr>
          <w:lang w:val="fr-FR"/>
        </w:rPr>
        <w:t> </w:t>
      </w:r>
      <w:r w:rsidRPr="005339C4">
        <w:rPr>
          <w:lang w:val="fr-FR"/>
        </w:rPr>
        <w:t xml:space="preserve">million </w:t>
      </w:r>
      <w:r w:rsidR="00257AF7" w:rsidRPr="005339C4">
        <w:rPr>
          <w:lang w:val="fr-FR"/>
        </w:rPr>
        <w:t xml:space="preserve">dollars des États-Unis </w:t>
      </w:r>
      <w:r w:rsidRPr="005339C4">
        <w:rPr>
          <w:lang w:val="fr"/>
        </w:rPr>
        <w:t xml:space="preserve">(contre 1,40 million </w:t>
      </w:r>
      <w:r w:rsidR="00257AF7" w:rsidRPr="005339C4">
        <w:rPr>
          <w:lang w:val="fr"/>
        </w:rPr>
        <w:t>dollars des États-Unis</w:t>
      </w:r>
      <w:r w:rsidRPr="005339C4">
        <w:rPr>
          <w:lang w:val="fr"/>
        </w:rPr>
        <w:t xml:space="preserve"> au 30 juin 2021), dont 256 418 </w:t>
      </w:r>
      <w:r w:rsidR="00257AF7" w:rsidRPr="005339C4">
        <w:rPr>
          <w:lang w:val="fr"/>
        </w:rPr>
        <w:t>dollars des États-Unis</w:t>
      </w:r>
      <w:r w:rsidRPr="005339C4">
        <w:rPr>
          <w:lang w:val="fr"/>
        </w:rPr>
        <w:t xml:space="preserve"> correspondent à des contributions impayées des années précédentes. Au 30 juin 2023, 105 États parties (60 % des États parties liés par l</w:t>
      </w:r>
      <w:r w:rsidR="007D1B10">
        <w:rPr>
          <w:lang w:val="fr"/>
        </w:rPr>
        <w:t>’</w:t>
      </w:r>
      <w:r w:rsidRPr="005339C4">
        <w:rPr>
          <w:lang w:val="fr"/>
        </w:rPr>
        <w:t>article 26.1) n</w:t>
      </w:r>
      <w:r w:rsidR="007D1B10">
        <w:rPr>
          <w:lang w:val="fr"/>
        </w:rPr>
        <w:t>’</w:t>
      </w:r>
      <w:r w:rsidRPr="005339C4">
        <w:rPr>
          <w:lang w:val="fr"/>
        </w:rPr>
        <w:t xml:space="preserve">ont pas encore </w:t>
      </w:r>
      <w:r w:rsidR="00E263E6" w:rsidRPr="005339C4">
        <w:rPr>
          <w:lang w:val="fr"/>
        </w:rPr>
        <w:t>payé la totalité</w:t>
      </w:r>
      <w:r w:rsidRPr="005339C4">
        <w:rPr>
          <w:lang w:val="fr"/>
        </w:rPr>
        <w:t xml:space="preserve"> de leurs contributions pour 2022</w:t>
      </w:r>
      <w:r w:rsidR="001D5112" w:rsidRPr="005339C4">
        <w:rPr>
          <w:lang w:val="fr"/>
        </w:rPr>
        <w:t xml:space="preserve"> </w:t>
      </w:r>
      <w:r w:rsidR="001D5112" w:rsidRPr="005339C4">
        <w:rPr>
          <w:lang w:val="fr-FR"/>
        </w:rPr>
        <w:t xml:space="preserve">– </w:t>
      </w:r>
      <w:r w:rsidRPr="005339C4">
        <w:rPr>
          <w:lang w:val="fr"/>
        </w:rPr>
        <w:t>2023. Parmi eux, 35 États parties (</w:t>
      </w:r>
      <w:r w:rsidR="00931594" w:rsidRPr="005339C4">
        <w:rPr>
          <w:lang w:val="fr"/>
        </w:rPr>
        <w:t xml:space="preserve">20 </w:t>
      </w:r>
      <w:r w:rsidRPr="005339C4">
        <w:rPr>
          <w:lang w:val="fr"/>
        </w:rPr>
        <w:t>% des États parties liés par l</w:t>
      </w:r>
      <w:r w:rsidR="007D1B10">
        <w:rPr>
          <w:lang w:val="fr"/>
        </w:rPr>
        <w:t>’</w:t>
      </w:r>
      <w:r w:rsidRPr="005339C4">
        <w:rPr>
          <w:lang w:val="fr"/>
        </w:rPr>
        <w:t>article 26.1) n</w:t>
      </w:r>
      <w:r w:rsidR="007D1B10">
        <w:rPr>
          <w:lang w:val="fr"/>
        </w:rPr>
        <w:t>’</w:t>
      </w:r>
      <w:r w:rsidRPr="005339C4">
        <w:rPr>
          <w:lang w:val="fr"/>
        </w:rPr>
        <w:t>ont pas non plus payé leur contribution pour 2021 et</w:t>
      </w:r>
      <w:r w:rsidR="00E263E6" w:rsidRPr="005339C4">
        <w:rPr>
          <w:lang w:val="fr"/>
        </w:rPr>
        <w:t xml:space="preserve"> pour</w:t>
      </w:r>
      <w:r w:rsidRPr="005339C4">
        <w:rPr>
          <w:lang w:val="fr"/>
        </w:rPr>
        <w:t xml:space="preserve"> les années précédentes (</w:t>
      </w:r>
      <w:r w:rsidR="00AC2D48" w:rsidRPr="005339C4">
        <w:rPr>
          <w:lang w:val="fr"/>
        </w:rPr>
        <w:t>voir</w:t>
      </w:r>
      <w:r w:rsidRPr="005339C4">
        <w:rPr>
          <w:lang w:val="fr"/>
        </w:rPr>
        <w:t xml:space="preserve"> </w:t>
      </w:r>
      <w:hyperlink r:id="rId18" w:history="1">
        <w:r w:rsidRPr="005339C4">
          <w:rPr>
            <w:rStyle w:val="Hyperlink"/>
            <w:lang w:val="fr"/>
          </w:rPr>
          <w:t>État des contributions mises en recouvrement au 30 juin 2023</w:t>
        </w:r>
      </w:hyperlink>
      <w:r w:rsidRPr="005339C4">
        <w:rPr>
          <w:lang w:val="fr"/>
        </w:rPr>
        <w:t>).</w:t>
      </w:r>
      <w:r w:rsidRPr="005339C4">
        <w:rPr>
          <w:rStyle w:val="FootnoteReference"/>
          <w:lang w:val="fr"/>
        </w:rPr>
        <w:footnoteReference w:id="2"/>
      </w:r>
    </w:p>
    <w:p w14:paraId="5AA7400D" w14:textId="73F18CC9" w:rsidR="00772D5E" w:rsidRPr="005339C4" w:rsidRDefault="00CA4EB3" w:rsidP="005339C4">
      <w:pPr>
        <w:pStyle w:val="COMPara"/>
        <w:numPr>
          <w:ilvl w:val="0"/>
          <w:numId w:val="0"/>
        </w:numPr>
        <w:spacing w:before="240"/>
        <w:ind w:left="562"/>
        <w:jc w:val="both"/>
      </w:pPr>
      <w:r w:rsidRPr="005339C4">
        <w:rPr>
          <w:noProof/>
        </w:rPr>
        <w:drawing>
          <wp:inline distT="0" distB="0" distL="0" distR="0" wp14:anchorId="11975497" wp14:editId="304C3C94">
            <wp:extent cx="5756400" cy="2451357"/>
            <wp:effectExtent l="0" t="0" r="0" b="6350"/>
            <wp:docPr id="208747294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6400" cy="2451357"/>
                    </a:xfrm>
                    <a:prstGeom prst="rect">
                      <a:avLst/>
                    </a:prstGeom>
                    <a:noFill/>
                  </pic:spPr>
                </pic:pic>
              </a:graphicData>
            </a:graphic>
          </wp:inline>
        </w:drawing>
      </w:r>
      <w:r w:rsidR="005B6F10" w:rsidRPr="005339C4">
        <w:rPr>
          <w:noProof/>
          <w:lang w:val="fr"/>
        </w:rPr>
        <mc:AlternateContent>
          <mc:Choice Requires="wps">
            <w:drawing>
              <wp:inline distT="0" distB="0" distL="0" distR="0" wp14:anchorId="2B8DBB43" wp14:editId="14601B6B">
                <wp:extent cx="5756275" cy="241540"/>
                <wp:effectExtent l="0" t="0" r="0" b="6350"/>
                <wp:docPr id="111969680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275" cy="241540"/>
                        </a:xfrm>
                        <a:prstGeom prst="rect">
                          <a:avLst/>
                        </a:prstGeom>
                        <a:solidFill>
                          <a:srgbClr val="FFFFFF"/>
                        </a:solidFill>
                        <a:ln w="9525">
                          <a:noFill/>
                          <a:miter lim="800000"/>
                          <a:headEnd/>
                          <a:tailEnd/>
                        </a:ln>
                      </wps:spPr>
                      <wps:txbx>
                        <w:txbxContent>
                          <w:p w14:paraId="5D5118B3" w14:textId="4199FE96" w:rsidR="00772D5E" w:rsidRPr="000B21E2" w:rsidRDefault="00772D5E" w:rsidP="00337D62">
                            <w:pPr>
                              <w:ind w:right="201"/>
                              <w:rPr>
                                <w:rFonts w:ascii="Arial" w:hAnsi="Arial" w:cs="Arial"/>
                                <w:sz w:val="16"/>
                                <w:szCs w:val="16"/>
                              </w:rPr>
                            </w:pPr>
                            <w:r>
                              <w:rPr>
                                <w:rFonts w:ascii="Arial" w:hAnsi="Arial" w:cs="Arial"/>
                                <w:b/>
                                <w:bCs/>
                                <w:sz w:val="16"/>
                                <w:szCs w:val="16"/>
                                <w:lang w:val="fr"/>
                              </w:rPr>
                              <w:t xml:space="preserve">Figure 2 : </w:t>
                            </w:r>
                            <w:r>
                              <w:rPr>
                                <w:rFonts w:ascii="Arial" w:hAnsi="Arial" w:cs="Arial"/>
                                <w:sz w:val="16"/>
                                <w:szCs w:val="16"/>
                                <w:lang w:val="fr"/>
                              </w:rPr>
                              <w:t>Évolution des contributions obligatoires mises en recouvrement</w:t>
                            </w:r>
                          </w:p>
                        </w:txbxContent>
                      </wps:txbx>
                      <wps:bodyPr rot="0" vert="horz" wrap="square" lIns="91440" tIns="45720" rIns="91440" bIns="45720" anchor="t" anchorCtr="0">
                        <a:noAutofit/>
                      </wps:bodyPr>
                    </wps:wsp>
                  </a:graphicData>
                </a:graphic>
              </wp:inline>
            </w:drawing>
          </mc:Choice>
          <mc:Fallback>
            <w:pict>
              <v:shape w14:anchorId="2B8DBB43" id="Zone de texte 2" o:spid="_x0000_s1027" type="#_x0000_t202" style="width:453.25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" stroked="f">
                <v:textbox>
                  <w:txbxContent>
                    <w:p w14:paraId="5D5118B3" w14:textId="4199FE96" w:rsidR="00772D5E" w:rsidRPr="000B21E2" w:rsidRDefault="00772D5E" w:rsidP="00337D62">
                      <w:pPr>
                        <w:ind w:right="201"/>
                        <w:rPr>
                          <w:rFonts w:ascii="Arial" w:hAnsi="Arial" w:cs="Arial"/>
                          <w:sz w:val="16"/>
                          <w:szCs w:val="16"/>
                        </w:rPr>
                      </w:pPr>
                      <w:r>
                        <w:rPr>
                          <w:rFonts w:ascii="Arial" w:hAnsi="Arial" w:cs="Arial"/>
                          <w:b/>
                          <w:bCs/>
                          <w:sz w:val="16"/>
                          <w:szCs w:val="16"/>
                          <w:lang w:val="fr"/>
                        </w:rPr>
                        <w:t xml:space="preserve">Figure 2 : </w:t>
                      </w:r>
                      <w:r>
                        <w:rPr>
                          <w:rFonts w:ascii="Arial" w:hAnsi="Arial" w:cs="Arial"/>
                          <w:sz w:val="16"/>
                          <w:szCs w:val="16"/>
                          <w:lang w:val="fr"/>
                        </w:rPr>
                        <w:t>Évolution des contributions obligatoires mises en recouvrement</w:t>
                      </w:r>
                    </w:p>
                  </w:txbxContent>
                </v:textbox>
                <w10:anchorlock/>
              </v:shape>
            </w:pict>
          </mc:Fallback>
        </mc:AlternateContent>
      </w:r>
    </w:p>
    <w:p w14:paraId="434F2957" w14:textId="4E4E6E81" w:rsidR="00FB399E" w:rsidRPr="005339C4" w:rsidRDefault="00FB399E" w:rsidP="00FB399E">
      <w:pPr>
        <w:pStyle w:val="COMPara"/>
        <w:ind w:left="562" w:hanging="562"/>
        <w:jc w:val="both"/>
        <w:rPr>
          <w:lang w:val="fr-FR"/>
        </w:rPr>
      </w:pPr>
      <w:r w:rsidRPr="005339C4">
        <w:rPr>
          <w:lang w:val="fr"/>
        </w:rPr>
        <w:t xml:space="preserve">Le paiement des </w:t>
      </w:r>
      <w:r w:rsidRPr="005339C4">
        <w:rPr>
          <w:b/>
          <w:bCs/>
          <w:lang w:val="fr"/>
        </w:rPr>
        <w:t xml:space="preserve">contributions volontaires mises en recouvrement </w:t>
      </w:r>
      <w:r w:rsidRPr="005339C4">
        <w:rPr>
          <w:lang w:val="fr"/>
        </w:rPr>
        <w:t>par les États parties conformément à l</w:t>
      </w:r>
      <w:r w:rsidR="007D1B10">
        <w:rPr>
          <w:lang w:val="fr"/>
        </w:rPr>
        <w:t>’</w:t>
      </w:r>
      <w:r w:rsidRPr="005339C4">
        <w:rPr>
          <w:lang w:val="fr"/>
        </w:rPr>
        <w:t>article 26.2 de la Convention, pour les 18 mois de l</w:t>
      </w:r>
      <w:r w:rsidR="007D1B10">
        <w:rPr>
          <w:lang w:val="fr"/>
        </w:rPr>
        <w:t>’</w:t>
      </w:r>
      <w:r w:rsidRPr="005339C4">
        <w:rPr>
          <w:lang w:val="fr"/>
        </w:rPr>
        <w:t>exercice biennal 2022</w:t>
      </w:r>
      <w:r w:rsidR="001D5112" w:rsidRPr="005339C4">
        <w:rPr>
          <w:lang w:val="fr"/>
        </w:rPr>
        <w:t xml:space="preserve"> </w:t>
      </w:r>
      <w:r w:rsidR="001D5112" w:rsidRPr="005339C4">
        <w:rPr>
          <w:lang w:val="fr-FR"/>
        </w:rPr>
        <w:t xml:space="preserve">– </w:t>
      </w:r>
      <w:r w:rsidRPr="005339C4">
        <w:rPr>
          <w:lang w:val="fr"/>
        </w:rPr>
        <w:t>2023</w:t>
      </w:r>
      <w:r w:rsidR="00931594" w:rsidRPr="005339C4">
        <w:rPr>
          <w:lang w:val="fr"/>
        </w:rPr>
        <w:t xml:space="preserve"> représente </w:t>
      </w:r>
      <w:r w:rsidRPr="005339C4">
        <w:rPr>
          <w:lang w:val="fr"/>
        </w:rPr>
        <w:t>92 %</w:t>
      </w:r>
      <w:r w:rsidR="00931594" w:rsidRPr="005339C4">
        <w:rPr>
          <w:lang w:val="fr"/>
        </w:rPr>
        <w:t xml:space="preserve"> du montant mis en recouvrement</w:t>
      </w:r>
      <w:r w:rsidRPr="005339C4">
        <w:rPr>
          <w:lang w:val="fr"/>
        </w:rPr>
        <w:t xml:space="preserve">, ce qui est </w:t>
      </w:r>
      <w:r w:rsidR="00931594" w:rsidRPr="005339C4">
        <w:rPr>
          <w:lang w:val="fr"/>
        </w:rPr>
        <w:t>plus élevé qu</w:t>
      </w:r>
      <w:r w:rsidR="007D1B10">
        <w:rPr>
          <w:lang w:val="fr"/>
        </w:rPr>
        <w:t>’</w:t>
      </w:r>
      <w:r w:rsidR="00931594" w:rsidRPr="005339C4">
        <w:rPr>
          <w:lang w:val="fr"/>
        </w:rPr>
        <w:t xml:space="preserve">au cours des </w:t>
      </w:r>
      <w:r w:rsidRPr="005339C4">
        <w:rPr>
          <w:lang w:val="fr"/>
        </w:rPr>
        <w:t xml:space="preserve">exercices </w:t>
      </w:r>
      <w:r w:rsidR="00AC2D48" w:rsidRPr="005339C4">
        <w:rPr>
          <w:lang w:val="fr"/>
        </w:rPr>
        <w:t xml:space="preserve">biennaux </w:t>
      </w:r>
      <w:r w:rsidRPr="005339C4">
        <w:rPr>
          <w:lang w:val="fr"/>
        </w:rPr>
        <w:t>précédents (83 % en moyenne</w:t>
      </w:r>
      <w:r w:rsidR="00931594" w:rsidRPr="005339C4">
        <w:rPr>
          <w:lang w:val="fr"/>
        </w:rPr>
        <w:t xml:space="preserve"> de 2012-2021</w:t>
      </w:r>
      <w:r w:rsidRPr="005339C4">
        <w:rPr>
          <w:lang w:val="fr"/>
        </w:rPr>
        <w:t xml:space="preserve">), </w:t>
      </w:r>
      <w:r w:rsidR="001D5112" w:rsidRPr="005339C4">
        <w:rPr>
          <w:lang w:val="fr"/>
        </w:rPr>
        <w:t xml:space="preserve">à </w:t>
      </w:r>
      <w:r w:rsidRPr="005339C4">
        <w:rPr>
          <w:lang w:val="fr"/>
        </w:rPr>
        <w:t xml:space="preserve">six mois </w:t>
      </w:r>
      <w:r w:rsidR="001D5112" w:rsidRPr="005339C4">
        <w:rPr>
          <w:lang w:val="fr"/>
        </w:rPr>
        <w:t>de l</w:t>
      </w:r>
      <w:r w:rsidRPr="005339C4">
        <w:rPr>
          <w:lang w:val="fr"/>
        </w:rPr>
        <w:t xml:space="preserve">a fin </w:t>
      </w:r>
      <w:r w:rsidR="00931594" w:rsidRPr="005339C4">
        <w:rPr>
          <w:lang w:val="fr"/>
        </w:rPr>
        <w:t>de l</w:t>
      </w:r>
      <w:r w:rsidR="007D1B10">
        <w:rPr>
          <w:lang w:val="fr"/>
        </w:rPr>
        <w:t>’</w:t>
      </w:r>
      <w:r w:rsidR="00931594" w:rsidRPr="005339C4">
        <w:rPr>
          <w:lang w:val="fr"/>
        </w:rPr>
        <w:t>exercice biennal</w:t>
      </w:r>
      <w:r w:rsidRPr="005339C4">
        <w:rPr>
          <w:lang w:val="fr"/>
        </w:rPr>
        <w:t>.</w:t>
      </w:r>
    </w:p>
    <w:p w14:paraId="77E62258" w14:textId="581E982B" w:rsidR="006823E0" w:rsidRPr="005339C4" w:rsidRDefault="00044353" w:rsidP="007E791D">
      <w:pPr>
        <w:pStyle w:val="COMPara"/>
        <w:ind w:left="567" w:hanging="567"/>
        <w:jc w:val="both"/>
        <w:rPr>
          <w:lang w:val="fr-FR"/>
        </w:rPr>
      </w:pPr>
      <w:r w:rsidRPr="005339C4">
        <w:rPr>
          <w:lang w:val="fr"/>
        </w:rPr>
        <w:t xml:space="preserve">Au cours de la période </w:t>
      </w:r>
      <w:r w:rsidR="00AC2D48" w:rsidRPr="005339C4">
        <w:rPr>
          <w:lang w:val="fr"/>
        </w:rPr>
        <w:t>considérée</w:t>
      </w:r>
      <w:r w:rsidRPr="005339C4">
        <w:rPr>
          <w:lang w:val="fr"/>
        </w:rPr>
        <w:t xml:space="preserve">, les États parties ont fait un usage </w:t>
      </w:r>
      <w:r w:rsidR="00AC2D48" w:rsidRPr="005339C4">
        <w:rPr>
          <w:lang w:val="fr"/>
        </w:rPr>
        <w:t>significativement</w:t>
      </w:r>
      <w:r w:rsidRPr="005339C4">
        <w:rPr>
          <w:lang w:val="fr"/>
        </w:rPr>
        <w:t xml:space="preserve"> plus important des </w:t>
      </w:r>
      <w:r w:rsidRPr="005339C4">
        <w:rPr>
          <w:b/>
          <w:bCs/>
          <w:lang w:val="fr"/>
        </w:rPr>
        <w:t>mécanismes d</w:t>
      </w:r>
      <w:r w:rsidR="007D1B10">
        <w:rPr>
          <w:b/>
          <w:bCs/>
          <w:lang w:val="fr"/>
        </w:rPr>
        <w:t>’</w:t>
      </w:r>
      <w:r w:rsidRPr="005339C4">
        <w:rPr>
          <w:b/>
          <w:bCs/>
          <w:lang w:val="fr"/>
        </w:rPr>
        <w:t>assistance internationale</w:t>
      </w:r>
      <w:r w:rsidRPr="005339C4">
        <w:rPr>
          <w:lang w:val="fr"/>
        </w:rPr>
        <w:t>.</w:t>
      </w:r>
      <w:r w:rsidRPr="005339C4">
        <w:rPr>
          <w:b/>
          <w:bCs/>
          <w:lang w:val="fr"/>
        </w:rPr>
        <w:t xml:space="preserve"> </w:t>
      </w:r>
      <w:r w:rsidR="00AC2D48" w:rsidRPr="005339C4">
        <w:rPr>
          <w:lang w:val="fr"/>
        </w:rPr>
        <w:t>La figure</w:t>
      </w:r>
      <w:r w:rsidRPr="005339C4">
        <w:rPr>
          <w:lang w:val="fr"/>
        </w:rPr>
        <w:t xml:space="preserve"> 3 (ci-</w:t>
      </w:r>
      <w:r w:rsidR="00AC2D48" w:rsidRPr="005339C4">
        <w:rPr>
          <w:lang w:val="fr"/>
        </w:rPr>
        <w:t>dessous</w:t>
      </w:r>
      <w:r w:rsidRPr="005339C4">
        <w:rPr>
          <w:lang w:val="fr"/>
        </w:rPr>
        <w:t>) montre une augmentation de l</w:t>
      </w:r>
      <w:r w:rsidR="007D1B10">
        <w:rPr>
          <w:lang w:val="fr"/>
        </w:rPr>
        <w:t>’</w:t>
      </w:r>
      <w:r w:rsidRPr="005339C4">
        <w:rPr>
          <w:lang w:val="fr"/>
        </w:rPr>
        <w:t xml:space="preserve">utilisation des fonds </w:t>
      </w:r>
      <w:r w:rsidR="00AC2D48" w:rsidRPr="005339C4">
        <w:rPr>
          <w:lang w:val="fr"/>
        </w:rPr>
        <w:t>dédiés</w:t>
      </w:r>
      <w:r w:rsidRPr="005339C4">
        <w:rPr>
          <w:lang w:val="fr"/>
        </w:rPr>
        <w:t xml:space="preserve"> aux mécanismes d</w:t>
      </w:r>
      <w:r w:rsidR="007D1B10">
        <w:rPr>
          <w:lang w:val="fr"/>
        </w:rPr>
        <w:t>’</w:t>
      </w:r>
      <w:r w:rsidRPr="005339C4">
        <w:rPr>
          <w:lang w:val="fr"/>
        </w:rPr>
        <w:t>assistance internationale, correspondant aux lignes budgétaires 1, 1.1 et 2. Le</w:t>
      </w:r>
      <w:r w:rsidR="001E49CB" w:rsidRPr="005339C4">
        <w:rPr>
          <w:lang w:val="fr"/>
        </w:rPr>
        <w:t>s</w:t>
      </w:r>
      <w:r w:rsidRPr="005339C4">
        <w:rPr>
          <w:lang w:val="fr"/>
        </w:rPr>
        <w:t xml:space="preserve"> taux de dépense</w:t>
      </w:r>
      <w:r w:rsidR="001E49CB" w:rsidRPr="005339C4">
        <w:rPr>
          <w:lang w:val="fr"/>
        </w:rPr>
        <w:t>s</w:t>
      </w:r>
      <w:r w:rsidRPr="005339C4">
        <w:rPr>
          <w:lang w:val="fr"/>
        </w:rPr>
        <w:t xml:space="preserve"> au titre de ces trois lignes budgétaires </w:t>
      </w:r>
      <w:r w:rsidR="001E49CB" w:rsidRPr="005339C4">
        <w:rPr>
          <w:lang w:val="fr"/>
        </w:rPr>
        <w:t xml:space="preserve">ont </w:t>
      </w:r>
      <w:r w:rsidRPr="005339C4">
        <w:rPr>
          <w:lang w:val="fr"/>
        </w:rPr>
        <w:t>atteint 56 %</w:t>
      </w:r>
      <w:r w:rsidR="00AC2D48" w:rsidRPr="005339C4">
        <w:rPr>
          <w:lang w:val="fr"/>
        </w:rPr>
        <w:t>, alors qu</w:t>
      </w:r>
      <w:r w:rsidR="007D1B10">
        <w:rPr>
          <w:lang w:val="fr"/>
        </w:rPr>
        <w:t>’</w:t>
      </w:r>
      <w:r w:rsidR="00AC2D48" w:rsidRPr="005339C4">
        <w:rPr>
          <w:lang w:val="fr"/>
        </w:rPr>
        <w:t xml:space="preserve">il reste </w:t>
      </w:r>
      <w:r w:rsidRPr="005339C4">
        <w:rPr>
          <w:lang w:val="fr"/>
        </w:rPr>
        <w:t xml:space="preserve">six mois </w:t>
      </w:r>
      <w:r w:rsidR="00AC2D48" w:rsidRPr="005339C4">
        <w:rPr>
          <w:lang w:val="fr"/>
        </w:rPr>
        <w:t>dans</w:t>
      </w:r>
      <w:r w:rsidRPr="005339C4">
        <w:rPr>
          <w:lang w:val="fr"/>
        </w:rPr>
        <w:t xml:space="preserve"> l</w:t>
      </w:r>
      <w:r w:rsidR="007D1B10">
        <w:rPr>
          <w:lang w:val="fr"/>
        </w:rPr>
        <w:t>’</w:t>
      </w:r>
      <w:r w:rsidRPr="005339C4">
        <w:rPr>
          <w:lang w:val="fr"/>
        </w:rPr>
        <w:t xml:space="preserve">exercice </w:t>
      </w:r>
      <w:r w:rsidR="00AC2D48" w:rsidRPr="005339C4">
        <w:rPr>
          <w:lang w:val="fr"/>
        </w:rPr>
        <w:t xml:space="preserve">biennal </w:t>
      </w:r>
      <w:r w:rsidRPr="005339C4">
        <w:rPr>
          <w:lang w:val="fr"/>
        </w:rPr>
        <w:t>actuel (contre 44 % pour l</w:t>
      </w:r>
      <w:r w:rsidR="007D1B10">
        <w:rPr>
          <w:lang w:val="fr"/>
        </w:rPr>
        <w:t>’</w:t>
      </w:r>
      <w:r w:rsidRPr="005339C4">
        <w:rPr>
          <w:lang w:val="fr"/>
        </w:rPr>
        <w:t>ensemble de l</w:t>
      </w:r>
      <w:r w:rsidR="007D1B10">
        <w:rPr>
          <w:lang w:val="fr"/>
        </w:rPr>
        <w:t>’</w:t>
      </w:r>
      <w:r w:rsidRPr="005339C4">
        <w:rPr>
          <w:lang w:val="fr"/>
        </w:rPr>
        <w:t xml:space="preserve">exercice </w:t>
      </w:r>
      <w:r w:rsidR="00AC2D48" w:rsidRPr="005339C4">
        <w:rPr>
          <w:lang w:val="fr"/>
        </w:rPr>
        <w:t xml:space="preserve">biennal </w:t>
      </w:r>
      <w:r w:rsidRPr="005339C4">
        <w:rPr>
          <w:lang w:val="fr"/>
        </w:rPr>
        <w:t>2020-2021). Cela est en grande partie imputable à : a) l</w:t>
      </w:r>
      <w:r w:rsidR="007D1B10">
        <w:rPr>
          <w:lang w:val="fr"/>
        </w:rPr>
        <w:t>’</w:t>
      </w:r>
      <w:r w:rsidRPr="005339C4">
        <w:rPr>
          <w:lang w:val="fr"/>
        </w:rPr>
        <w:t>augmentation du nombre de demandes d</w:t>
      </w:r>
      <w:r w:rsidR="007D1B10">
        <w:rPr>
          <w:lang w:val="fr"/>
        </w:rPr>
        <w:t>’</w:t>
      </w:r>
      <w:r w:rsidRPr="005339C4">
        <w:rPr>
          <w:lang w:val="fr"/>
        </w:rPr>
        <w:t>assistance internationale approuvées par le Comité et son Bureau (vingt-cinq demandes approuvées au cours de la période considérée contre douze pour la période du 1er janvier 2020 au 30 juin 2021) ; b) le travail en amont du Secrétariat notamment en apportant un soutien technique aux États parties au cours du processus d</w:t>
      </w:r>
      <w:r w:rsidR="007D1B10">
        <w:rPr>
          <w:lang w:val="fr"/>
        </w:rPr>
        <w:t>’</w:t>
      </w:r>
      <w:r w:rsidRPr="005339C4">
        <w:rPr>
          <w:lang w:val="fr"/>
        </w:rPr>
        <w:t xml:space="preserve">élaboration (toutes les demandes examinées par le Bureau depuis janvier 2022 ont été approuvées) ; c) </w:t>
      </w:r>
      <w:r w:rsidR="0081193F" w:rsidRPr="005339C4">
        <w:rPr>
          <w:lang w:val="fr"/>
        </w:rPr>
        <w:t>l</w:t>
      </w:r>
      <w:r w:rsidR="007D1B10">
        <w:rPr>
          <w:lang w:val="fr"/>
        </w:rPr>
        <w:t>’</w:t>
      </w:r>
      <w:r w:rsidR="0081193F" w:rsidRPr="005339C4">
        <w:rPr>
          <w:lang w:val="fr"/>
        </w:rPr>
        <w:t>utilisation</w:t>
      </w:r>
      <w:r w:rsidRPr="005339C4">
        <w:rPr>
          <w:lang w:val="fr"/>
        </w:rPr>
        <w:t xml:space="preserve"> accru</w:t>
      </w:r>
      <w:r w:rsidR="0081193F" w:rsidRPr="005339C4">
        <w:rPr>
          <w:lang w:val="fr"/>
        </w:rPr>
        <w:t>e</w:t>
      </w:r>
      <w:r w:rsidRPr="005339C4">
        <w:rPr>
          <w:lang w:val="fr"/>
        </w:rPr>
        <w:t xml:space="preserve"> </w:t>
      </w:r>
      <w:r w:rsidR="0081193F" w:rsidRPr="005339C4">
        <w:rPr>
          <w:lang w:val="fr"/>
        </w:rPr>
        <w:t>de</w:t>
      </w:r>
      <w:r w:rsidRPr="005339C4">
        <w:rPr>
          <w:lang w:val="fr"/>
        </w:rPr>
        <w:t xml:space="preserve"> l</w:t>
      </w:r>
      <w:r w:rsidR="007D1B10">
        <w:rPr>
          <w:lang w:val="fr"/>
        </w:rPr>
        <w:t>’</w:t>
      </w:r>
      <w:r w:rsidRPr="005339C4">
        <w:rPr>
          <w:lang w:val="fr"/>
        </w:rPr>
        <w:t xml:space="preserve">assistance technique par les États parties pour élaborer et réviser leurs demandes (neuf États parties ont </w:t>
      </w:r>
      <w:r w:rsidR="0081193F" w:rsidRPr="005339C4">
        <w:rPr>
          <w:lang w:val="fr"/>
        </w:rPr>
        <w:t>reçu</w:t>
      </w:r>
      <w:r w:rsidRPr="005339C4">
        <w:rPr>
          <w:lang w:val="fr"/>
        </w:rPr>
        <w:t xml:space="preserve"> </w:t>
      </w:r>
      <w:r w:rsidR="0081193F" w:rsidRPr="005339C4">
        <w:rPr>
          <w:lang w:val="fr"/>
        </w:rPr>
        <w:t>le</w:t>
      </w:r>
      <w:r w:rsidRPr="005339C4">
        <w:rPr>
          <w:lang w:val="fr"/>
        </w:rPr>
        <w:t xml:space="preserve"> soutien d</w:t>
      </w:r>
      <w:r w:rsidR="007D1B10">
        <w:rPr>
          <w:lang w:val="fr"/>
        </w:rPr>
        <w:t>’</w:t>
      </w:r>
      <w:r w:rsidRPr="005339C4">
        <w:rPr>
          <w:lang w:val="fr"/>
        </w:rPr>
        <w:t>experts au cours de la période considérée, contre trois pour la période du 1er janvier 2020 au 30 juin 2021) ; et d) le lancement d</w:t>
      </w:r>
      <w:r w:rsidR="007D1B10">
        <w:rPr>
          <w:lang w:val="fr"/>
        </w:rPr>
        <w:t>’</w:t>
      </w:r>
      <w:r w:rsidRPr="005339C4">
        <w:rPr>
          <w:lang w:val="fr"/>
        </w:rPr>
        <w:t>actions visant à promouvoir l</w:t>
      </w:r>
      <w:r w:rsidR="007D1B10">
        <w:rPr>
          <w:lang w:val="fr"/>
        </w:rPr>
        <w:t>’</w:t>
      </w:r>
      <w:r w:rsidRPr="005339C4">
        <w:rPr>
          <w:lang w:val="fr"/>
        </w:rPr>
        <w:t>objectif des mécanismes d</w:t>
      </w:r>
      <w:r w:rsidR="007D1B10">
        <w:rPr>
          <w:lang w:val="fr"/>
        </w:rPr>
        <w:t>’</w:t>
      </w:r>
      <w:r w:rsidRPr="005339C4">
        <w:rPr>
          <w:lang w:val="fr"/>
        </w:rPr>
        <w:t>assistance internationale, tels qu</w:t>
      </w:r>
      <w:r w:rsidR="007D1B10">
        <w:rPr>
          <w:lang w:val="fr"/>
        </w:rPr>
        <w:t>’</w:t>
      </w:r>
      <w:r w:rsidRPr="005339C4">
        <w:rPr>
          <w:lang w:val="fr"/>
        </w:rPr>
        <w:t>un guide en anglais et en français et une série de sessions d</w:t>
      </w:r>
      <w:r w:rsidR="007D1B10">
        <w:rPr>
          <w:lang w:val="fr"/>
        </w:rPr>
        <w:t>’</w:t>
      </w:r>
      <w:r w:rsidRPr="005339C4">
        <w:rPr>
          <w:lang w:val="fr"/>
        </w:rPr>
        <w:t xml:space="preserve">information en ligne pour sensibiliser les parties prenantes (voir le document </w:t>
      </w:r>
      <w:hyperlink r:id="rId20" w:history="1">
        <w:r w:rsidRPr="005339C4">
          <w:rPr>
            <w:rStyle w:val="Hyperlink"/>
            <w:lang w:val="fr"/>
          </w:rPr>
          <w:t>LHE/23/18.COM/INF.14</w:t>
        </w:r>
      </w:hyperlink>
      <w:r w:rsidRPr="005339C4">
        <w:rPr>
          <w:lang w:val="fr"/>
        </w:rPr>
        <w:t>). Un rapport détaillé sur l</w:t>
      </w:r>
      <w:r w:rsidR="007D1B10">
        <w:rPr>
          <w:lang w:val="fr"/>
        </w:rPr>
        <w:t>’</w:t>
      </w:r>
      <w:r w:rsidRPr="005339C4">
        <w:rPr>
          <w:lang w:val="fr"/>
        </w:rPr>
        <w:t>état d</w:t>
      </w:r>
      <w:r w:rsidR="007D1B10">
        <w:rPr>
          <w:lang w:val="fr"/>
        </w:rPr>
        <w:t>’</w:t>
      </w:r>
      <w:r w:rsidRPr="005339C4">
        <w:rPr>
          <w:lang w:val="fr"/>
        </w:rPr>
        <w:t>avancement de la mise en œuvre des mécanismes d</w:t>
      </w:r>
      <w:r w:rsidR="007D1B10">
        <w:rPr>
          <w:lang w:val="fr"/>
        </w:rPr>
        <w:t>’</w:t>
      </w:r>
      <w:r w:rsidRPr="005339C4">
        <w:rPr>
          <w:lang w:val="fr"/>
        </w:rPr>
        <w:t xml:space="preserve">assistance internationale </w:t>
      </w:r>
      <w:r w:rsidR="0081193F" w:rsidRPr="005339C4">
        <w:rPr>
          <w:lang w:val="fr"/>
        </w:rPr>
        <w:t xml:space="preserve">est disponible </w:t>
      </w:r>
      <w:r w:rsidRPr="005339C4">
        <w:rPr>
          <w:lang w:val="fr"/>
        </w:rPr>
        <w:t xml:space="preserve">dans le document </w:t>
      </w:r>
      <w:hyperlink r:id="rId21" w:history="1">
        <w:r w:rsidRPr="005339C4">
          <w:rPr>
            <w:rStyle w:val="Hyperlink"/>
            <w:lang w:val="fr"/>
          </w:rPr>
          <w:t>LHE/23/18.COM/10</w:t>
        </w:r>
      </w:hyperlink>
      <w:r w:rsidRPr="005339C4">
        <w:rPr>
          <w:lang w:val="fr"/>
        </w:rPr>
        <w:t>.</w:t>
      </w:r>
    </w:p>
    <w:p w14:paraId="43DA9005" w14:textId="159A806C" w:rsidR="00CA4EB3" w:rsidRPr="005339C4" w:rsidRDefault="00CA4EB3" w:rsidP="003F1C31">
      <w:pPr>
        <w:pStyle w:val="COMPara"/>
        <w:numPr>
          <w:ilvl w:val="0"/>
          <w:numId w:val="0"/>
        </w:numPr>
        <w:ind w:left="567"/>
        <w:jc w:val="both"/>
        <w:rPr>
          <w:lang w:val="fr-FR"/>
        </w:rPr>
      </w:pPr>
      <w:r w:rsidRPr="005339C4">
        <w:rPr>
          <w:noProof/>
          <w:lang w:val="fr-FR"/>
        </w:rPr>
        <w:drawing>
          <wp:inline distT="0" distB="0" distL="0" distR="0" wp14:anchorId="27B72366" wp14:editId="0557E5D6">
            <wp:extent cx="5716800" cy="2631876"/>
            <wp:effectExtent l="0" t="0" r="0" b="0"/>
            <wp:docPr id="135535086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16800" cy="2631876"/>
                    </a:xfrm>
                    <a:prstGeom prst="rect">
                      <a:avLst/>
                    </a:prstGeom>
                    <a:noFill/>
                  </pic:spPr>
                </pic:pic>
              </a:graphicData>
            </a:graphic>
          </wp:inline>
        </w:drawing>
      </w:r>
    </w:p>
    <w:p w14:paraId="6414565A" w14:textId="0FC78DFB" w:rsidR="00E409E3" w:rsidRPr="005339C4" w:rsidRDefault="00A1042B" w:rsidP="003F1C31">
      <w:pPr>
        <w:pStyle w:val="COMPara"/>
        <w:numPr>
          <w:ilvl w:val="0"/>
          <w:numId w:val="0"/>
        </w:numPr>
        <w:tabs>
          <w:tab w:val="left" w:pos="567"/>
        </w:tabs>
        <w:ind w:left="567"/>
      </w:pPr>
      <w:r w:rsidRPr="005339C4">
        <w:rPr>
          <w:noProof/>
          <w:lang w:val="fr"/>
        </w:rPr>
        <mc:AlternateContent>
          <mc:Choice Requires="wps">
            <w:drawing>
              <wp:inline distT="0" distB="0" distL="0" distR="0" wp14:anchorId="759E88E8" wp14:editId="2F781CD7">
                <wp:extent cx="5127432" cy="1404620"/>
                <wp:effectExtent l="0" t="0" r="0" b="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7432" cy="1404620"/>
                        </a:xfrm>
                        <a:prstGeom prst="rect">
                          <a:avLst/>
                        </a:prstGeom>
                        <a:solidFill>
                          <a:srgbClr val="FFFFFF"/>
                        </a:solidFill>
                        <a:ln w="9525">
                          <a:noFill/>
                          <a:miter lim="800000"/>
                          <a:headEnd/>
                          <a:tailEnd/>
                        </a:ln>
                      </wps:spPr>
                      <wps:txbx>
                        <w:txbxContent>
                          <w:p w14:paraId="609AAEAB" w14:textId="4DEED95D" w:rsidR="00A1042B" w:rsidRPr="000B21E2" w:rsidRDefault="00A1042B" w:rsidP="00A1042B">
                            <w:pPr>
                              <w:spacing w:after="120"/>
                              <w:ind w:right="198"/>
                              <w:rPr>
                                <w:rFonts w:ascii="Arial" w:hAnsi="Arial" w:cs="Arial"/>
                                <w:sz w:val="16"/>
                                <w:szCs w:val="16"/>
                              </w:rPr>
                            </w:pPr>
                            <w:r>
                              <w:rPr>
                                <w:rFonts w:ascii="Arial" w:hAnsi="Arial"/>
                                <w:b/>
                                <w:bCs/>
                                <w:sz w:val="16"/>
                                <w:lang w:val="fr"/>
                              </w:rPr>
                              <w:t xml:space="preserve">Figure 3 : </w:t>
                            </w:r>
                            <w:r>
                              <w:rPr>
                                <w:rFonts w:ascii="Arial" w:hAnsi="Arial"/>
                                <w:sz w:val="16"/>
                                <w:lang w:val="fr"/>
                              </w:rPr>
                              <w:t>Taux de dépense pour l</w:t>
                            </w:r>
                            <w:r w:rsidR="006C7400">
                              <w:rPr>
                                <w:rFonts w:ascii="Arial" w:hAnsi="Arial" w:hint="eastAsia"/>
                                <w:sz w:val="16"/>
                                <w:lang w:val="fr"/>
                              </w:rPr>
                              <w:t>’</w:t>
                            </w:r>
                            <w:r>
                              <w:rPr>
                                <w:rFonts w:ascii="Arial" w:hAnsi="Arial"/>
                                <w:sz w:val="16"/>
                                <w:lang w:val="fr"/>
                              </w:rPr>
                              <w:t>assistance internationale et préparatoire</w:t>
                            </w:r>
                          </w:p>
                        </w:txbxContent>
                      </wps:txbx>
                      <wps:bodyPr rot="0" vert="horz" wrap="square" lIns="91440" tIns="45720" rIns="91440" bIns="45720" anchor="t" anchorCtr="0">
                        <a:spAutoFit/>
                      </wps:bodyPr>
                    </wps:wsp>
                  </a:graphicData>
                </a:graphic>
              </wp:inline>
            </w:drawing>
          </mc:Choice>
          <mc:Fallback>
            <w:pict>
              <v:shapetype w14:anchorId="759E88E8" id="_x0000_t202" coordsize="21600,21600" o:spt="202" path="m,l,21600r21600,l21600,xe">
                <v:stroke joinstyle="miter"/>
                <v:path gradientshapeok="t" o:connecttype="rect"/>
              </v:shapetype>
              <v:shape id="Text Box 7" o:spid="_x0000_s1028" type="#_x0000_t202" style="width:403.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" stroked="f">
                <v:textbox style="mso-fit-shape-to-text:t">
                  <w:txbxContent>
                    <w:p w14:paraId="609AAEAB" w14:textId="4DEED95D" w:rsidR="00A1042B" w:rsidRPr="000B21E2" w:rsidRDefault="00A1042B" w:rsidP="00A1042B">
                      <w:pPr>
                        <w:spacing w:after="120"/>
                        <w:ind w:right="198"/>
                        <w:rPr>
                          <w:rFonts w:ascii="Arial" w:hAnsi="Arial" w:cs="Arial"/>
                          <w:sz w:val="16"/>
                          <w:szCs w:val="16"/>
                        </w:rPr>
                      </w:pPr>
                      <w:r>
                        <w:rPr>
                          <w:rFonts w:ascii="Arial" w:hAnsi="Arial"/>
                          <w:b/>
                          <w:bCs/>
                          <w:sz w:val="16"/>
                          <w:lang w:val="fr"/>
                        </w:rPr>
                        <w:t xml:space="preserve">Figure 3 : </w:t>
                      </w:r>
                      <w:r>
                        <w:rPr>
                          <w:rFonts w:ascii="Arial" w:hAnsi="Arial"/>
                          <w:sz w:val="16"/>
                          <w:lang w:val="fr"/>
                        </w:rPr>
                        <w:t>Taux de dépense pour l</w:t>
                      </w:r>
                      <w:r w:rsidR="006C7400">
                        <w:rPr>
                          <w:rFonts w:ascii="Arial" w:hAnsi="Arial" w:hint="eastAsia"/>
                          <w:sz w:val="16"/>
                          <w:lang w:val="fr"/>
                        </w:rPr>
                        <w:t>’</w:t>
                      </w:r>
                      <w:r>
                        <w:rPr>
                          <w:rFonts w:ascii="Arial" w:hAnsi="Arial"/>
                          <w:sz w:val="16"/>
                          <w:lang w:val="fr"/>
                        </w:rPr>
                        <w:t>assistance internationale et préparatoire</w:t>
                      </w:r>
                    </w:p>
                  </w:txbxContent>
                </v:textbox>
                <w10:anchorlock/>
              </v:shape>
            </w:pict>
          </mc:Fallback>
        </mc:AlternateContent>
      </w:r>
    </w:p>
    <w:p w14:paraId="781BE90F" w14:textId="7BFEBD5B" w:rsidR="00F833D2" w:rsidRPr="005339C4" w:rsidRDefault="00F833D2" w:rsidP="005339C4">
      <w:pPr>
        <w:pStyle w:val="COMPara"/>
        <w:numPr>
          <w:ilvl w:val="0"/>
          <w:numId w:val="21"/>
        </w:numPr>
        <w:spacing w:before="240"/>
        <w:ind w:left="567" w:hanging="567"/>
        <w:jc w:val="both"/>
        <w:rPr>
          <w:b/>
          <w:bCs/>
          <w:lang w:val="fr-FR"/>
        </w:rPr>
      </w:pPr>
      <w:r w:rsidRPr="005339C4">
        <w:rPr>
          <w:b/>
          <w:bCs/>
          <w:lang w:val="fr"/>
        </w:rPr>
        <w:t>PROJET DE PLAN D</w:t>
      </w:r>
      <w:r w:rsidR="007D1B10">
        <w:rPr>
          <w:b/>
          <w:bCs/>
          <w:lang w:val="fr"/>
        </w:rPr>
        <w:t>’</w:t>
      </w:r>
      <w:r w:rsidRPr="005339C4">
        <w:rPr>
          <w:b/>
          <w:bCs/>
          <w:lang w:val="fr"/>
        </w:rPr>
        <w:t>UTILISATION DES RESSOURCES DU FONDS DU PATRIMOINE CULTUREL IMMATÉRIEL POUR LA PÉRIODE 2024-2025</w:t>
      </w:r>
    </w:p>
    <w:p w14:paraId="32EE613A" w14:textId="0CD74AC1" w:rsidR="009D3FCD" w:rsidRPr="005339C4" w:rsidRDefault="007874E5" w:rsidP="004905B0">
      <w:pPr>
        <w:pStyle w:val="COMPara"/>
        <w:ind w:left="567" w:hanging="567"/>
        <w:jc w:val="both"/>
        <w:rPr>
          <w:lang w:val="fr-FR"/>
        </w:rPr>
      </w:pPr>
      <w:r w:rsidRPr="005339C4">
        <w:rPr>
          <w:lang w:val="fr"/>
        </w:rPr>
        <w:t>Le projet de plan proposé ci-dessous est basé sur un budget total estimé à environ 7</w:t>
      </w:r>
      <w:r w:rsidR="001E49CB" w:rsidRPr="005339C4">
        <w:rPr>
          <w:lang w:val="fr"/>
        </w:rPr>
        <w:t xml:space="preserve"> </w:t>
      </w:r>
      <w:r w:rsidRPr="005339C4">
        <w:rPr>
          <w:lang w:val="fr"/>
        </w:rPr>
        <w:t xml:space="preserve">millions </w:t>
      </w:r>
      <w:r w:rsidR="0081193F" w:rsidRPr="005339C4">
        <w:rPr>
          <w:lang w:val="fr"/>
        </w:rPr>
        <w:t>de dollars des États-Unis</w:t>
      </w:r>
      <w:r w:rsidRPr="005339C4">
        <w:rPr>
          <w:lang w:val="fr"/>
        </w:rPr>
        <w:t>, ce qui correspond au montant prévu comme disponible au 31 décembre 2023. En comparaison, le budget disponible pour l</w:t>
      </w:r>
      <w:r w:rsidR="007D1B10">
        <w:rPr>
          <w:lang w:val="fr"/>
        </w:rPr>
        <w:t>’</w:t>
      </w:r>
      <w:r w:rsidRPr="005339C4">
        <w:rPr>
          <w:lang w:val="fr"/>
        </w:rPr>
        <w:t xml:space="preserve">exercice biennal </w:t>
      </w:r>
      <w:r w:rsidR="0081193F" w:rsidRPr="005339C4">
        <w:rPr>
          <w:lang w:val="fr"/>
        </w:rPr>
        <w:t>actuel</w:t>
      </w:r>
      <w:r w:rsidRPr="005339C4">
        <w:rPr>
          <w:lang w:val="fr"/>
        </w:rPr>
        <w:t xml:space="preserve"> (2022-2023) approuvé par la neuvième session de l</w:t>
      </w:r>
      <w:r w:rsidR="007D1B10">
        <w:rPr>
          <w:lang w:val="fr"/>
        </w:rPr>
        <w:t>’</w:t>
      </w:r>
      <w:r w:rsidRPr="005339C4">
        <w:rPr>
          <w:lang w:val="fr"/>
        </w:rPr>
        <w:t>Assemblée générale s</w:t>
      </w:r>
      <w:r w:rsidR="007D1B10">
        <w:rPr>
          <w:lang w:val="fr"/>
        </w:rPr>
        <w:t>’</w:t>
      </w:r>
      <w:r w:rsidRPr="005339C4">
        <w:rPr>
          <w:lang w:val="fr"/>
        </w:rPr>
        <w:t>élevait à</w:t>
      </w:r>
      <w:r w:rsidR="0081193F" w:rsidRPr="005339C4">
        <w:rPr>
          <w:lang w:val="fr"/>
        </w:rPr>
        <w:t xml:space="preserve"> un montant de</w:t>
      </w:r>
      <w:r w:rsidRPr="005339C4">
        <w:rPr>
          <w:lang w:val="fr"/>
        </w:rPr>
        <w:t xml:space="preserve"> 8,73 millions </w:t>
      </w:r>
      <w:r w:rsidR="0081193F" w:rsidRPr="005339C4">
        <w:rPr>
          <w:lang w:val="fr"/>
        </w:rPr>
        <w:t>de dollars des États-Unis</w:t>
      </w:r>
      <w:bookmarkStart w:id="3" w:name="_Hlk147502296"/>
      <w:r w:rsidR="0081193F" w:rsidRPr="005339C4">
        <w:rPr>
          <w:lang w:val="fr"/>
        </w:rPr>
        <w:t xml:space="preserve"> </w:t>
      </w:r>
      <w:r w:rsidRPr="005339C4">
        <w:rPr>
          <w:lang w:val="fr"/>
        </w:rPr>
        <w:t xml:space="preserve">(Résolution </w:t>
      </w:r>
      <w:hyperlink r:id="rId23" w:history="1">
        <w:r w:rsidRPr="005339C4">
          <w:rPr>
            <w:rStyle w:val="Hyperlink"/>
            <w:lang w:val="fr"/>
          </w:rPr>
          <w:t>9.GA 10</w:t>
        </w:r>
      </w:hyperlink>
      <w:bookmarkEnd w:id="3"/>
      <w:r w:rsidRPr="005339C4">
        <w:rPr>
          <w:lang w:val="fr"/>
        </w:rPr>
        <w:t xml:space="preserve">). </w:t>
      </w:r>
    </w:p>
    <w:p w14:paraId="0775E37A" w14:textId="1AF8C6A4" w:rsidR="009D3FCD" w:rsidRPr="005339C4" w:rsidRDefault="007874E5" w:rsidP="007874E5">
      <w:pPr>
        <w:pStyle w:val="COMPara"/>
        <w:ind w:left="567" w:hanging="567"/>
        <w:jc w:val="both"/>
        <w:rPr>
          <w:lang w:val="fr-FR"/>
        </w:rPr>
      </w:pPr>
      <w:r w:rsidRPr="005339C4">
        <w:rPr>
          <w:lang w:val="fr"/>
        </w:rPr>
        <w:t>La proposition d</w:t>
      </w:r>
      <w:r w:rsidR="007D1B10">
        <w:rPr>
          <w:lang w:val="fr"/>
        </w:rPr>
        <w:t>’</w:t>
      </w:r>
      <w:r w:rsidRPr="005339C4">
        <w:rPr>
          <w:lang w:val="fr"/>
        </w:rPr>
        <w:t>allocation de fonds pour le 42</w:t>
      </w:r>
      <w:r w:rsidRPr="005339C4">
        <w:rPr>
          <w:b/>
          <w:bCs/>
          <w:lang w:val="fr"/>
        </w:rPr>
        <w:t xml:space="preserve"> </w:t>
      </w:r>
      <w:r w:rsidRPr="005339C4">
        <w:rPr>
          <w:lang w:val="fr"/>
        </w:rPr>
        <w:t xml:space="preserve">C/5 </w:t>
      </w:r>
      <w:bookmarkStart w:id="4" w:name="_Hlk100226655"/>
      <w:r w:rsidRPr="005339C4">
        <w:rPr>
          <w:lang w:val="fr"/>
        </w:rPr>
        <w:t xml:space="preserve">(2024-2025) </w:t>
      </w:r>
      <w:bookmarkEnd w:id="4"/>
      <w:r w:rsidRPr="005339C4">
        <w:rPr>
          <w:lang w:val="fr"/>
        </w:rPr>
        <w:t>suit la structure basée sur les lignes budgétaires, qui a été utilisée pour les exercices équivalents précédents. Ces lignes budgétaires peuvent être divisées en trois catégories, à savoir les dépenses liées : a) à l</w:t>
      </w:r>
      <w:r w:rsidR="007D1B10">
        <w:rPr>
          <w:lang w:val="fr"/>
        </w:rPr>
        <w:t>’</w:t>
      </w:r>
      <w:r w:rsidRPr="005339C4">
        <w:rPr>
          <w:lang w:val="fr"/>
        </w:rPr>
        <w:t>assistance internationale ; b) aux « </w:t>
      </w:r>
      <w:r w:rsidR="001E49CB" w:rsidRPr="005339C4">
        <w:rPr>
          <w:lang w:val="fr"/>
        </w:rPr>
        <w:t>a</w:t>
      </w:r>
      <w:r w:rsidRPr="005339C4">
        <w:rPr>
          <w:lang w:val="fr"/>
        </w:rPr>
        <w:t>utres fonctions du Comité » au sens de l</w:t>
      </w:r>
      <w:r w:rsidR="007D1B10">
        <w:rPr>
          <w:lang w:val="fr"/>
        </w:rPr>
        <w:t>’</w:t>
      </w:r>
      <w:r w:rsidRPr="005339C4">
        <w:rPr>
          <w:lang w:val="fr"/>
        </w:rPr>
        <w:t xml:space="preserve">article 7 de la Convention ; et c) à la participation aux réunions des organes directeurs et aux services consultatifs du Comité. Toutefois, quelques ajustements sont proposés entre les différentes lignes budgétaires, </w:t>
      </w:r>
      <w:r w:rsidR="0081193F" w:rsidRPr="005339C4">
        <w:rPr>
          <w:lang w:val="fr"/>
        </w:rPr>
        <w:t>comme décrits dans les paragraphes ci-dessous</w:t>
      </w:r>
      <w:r w:rsidR="00F00BE2" w:rsidRPr="005339C4">
        <w:rPr>
          <w:lang w:val="fr"/>
        </w:rPr>
        <w:t>.</w:t>
      </w:r>
    </w:p>
    <w:p w14:paraId="7F9843F4" w14:textId="77777777" w:rsidR="00370E80" w:rsidRPr="005339C4" w:rsidRDefault="00370E80" w:rsidP="002B4891">
      <w:pPr>
        <w:pStyle w:val="GAPara"/>
        <w:keepNext/>
        <w:numPr>
          <w:ilvl w:val="0"/>
          <w:numId w:val="0"/>
        </w:numPr>
        <w:spacing w:before="240"/>
        <w:ind w:firstLine="567"/>
      </w:pPr>
      <w:r w:rsidRPr="005339C4">
        <w:rPr>
          <w:b/>
          <w:bCs/>
          <w:lang w:val="fr"/>
        </w:rPr>
        <w:t>Assistance internationale</w:t>
      </w:r>
    </w:p>
    <w:p w14:paraId="27C70D83" w14:textId="13E9D1A3" w:rsidR="00B15BDD" w:rsidRPr="005339C4" w:rsidRDefault="00B15BDD" w:rsidP="00B15BDD">
      <w:pPr>
        <w:pStyle w:val="COMPara"/>
        <w:ind w:left="567" w:hanging="567"/>
        <w:jc w:val="both"/>
        <w:rPr>
          <w:lang w:val="fr-FR"/>
        </w:rPr>
      </w:pPr>
      <w:r w:rsidRPr="005339C4">
        <w:rPr>
          <w:lang w:val="fr"/>
        </w:rPr>
        <w:t>Conformément aux priorités fixées par les Orientations pour l</w:t>
      </w:r>
      <w:r w:rsidR="007D1B10">
        <w:rPr>
          <w:lang w:val="fr"/>
        </w:rPr>
        <w:t>’</w:t>
      </w:r>
      <w:r w:rsidRPr="005339C4">
        <w:rPr>
          <w:lang w:val="fr"/>
        </w:rPr>
        <w:t>utilisation des ressources du Fonds au chapitre II.1 des Directives opérationnelles, il est proposé que la majorité des ressources (</w:t>
      </w:r>
      <w:r w:rsidR="001E49CB" w:rsidRPr="005339C4">
        <w:rPr>
          <w:lang w:val="fr"/>
        </w:rPr>
        <w:t>65,1</w:t>
      </w:r>
      <w:r w:rsidRPr="005339C4">
        <w:rPr>
          <w:lang w:val="fr"/>
        </w:rPr>
        <w:t xml:space="preserve"> %) serve à fournir une assistance internationale aux États parties pour appuyer leurs efforts nationaux de sauvegarde du patrimoine culturel immatériel </w:t>
      </w:r>
      <w:r w:rsidRPr="005339C4">
        <w:rPr>
          <w:b/>
          <w:bCs/>
          <w:lang w:val="fr"/>
        </w:rPr>
        <w:t>(lignes budgétaires 1, 1.1 et 2</w:t>
      </w:r>
      <w:r w:rsidRPr="005339C4">
        <w:rPr>
          <w:lang w:val="fr"/>
        </w:rPr>
        <w:t>).</w:t>
      </w:r>
    </w:p>
    <w:p w14:paraId="16F10166" w14:textId="300A4B0C" w:rsidR="00EA3FEE" w:rsidRPr="005339C4" w:rsidRDefault="00F23BF1" w:rsidP="000015AB">
      <w:pPr>
        <w:pStyle w:val="COMPara"/>
        <w:ind w:left="567" w:hanging="567"/>
        <w:jc w:val="both"/>
        <w:rPr>
          <w:lang w:val="fr-FR"/>
        </w:rPr>
      </w:pPr>
      <w:r w:rsidRPr="005339C4">
        <w:rPr>
          <w:lang w:val="fr"/>
        </w:rPr>
        <w:t xml:space="preserve">Les fonds alloués à la </w:t>
      </w:r>
      <w:r w:rsidRPr="005339C4">
        <w:rPr>
          <w:b/>
          <w:bCs/>
          <w:lang w:val="fr"/>
        </w:rPr>
        <w:t>ligne budgétaire 1</w:t>
      </w:r>
      <w:r w:rsidRPr="005339C4">
        <w:rPr>
          <w:lang w:val="fr"/>
        </w:rPr>
        <w:t xml:space="preserve"> (50 %) sont </w:t>
      </w:r>
      <w:r w:rsidR="00F00BE2" w:rsidRPr="005339C4">
        <w:rPr>
          <w:lang w:val="fr"/>
        </w:rPr>
        <w:t>prévus</w:t>
      </w:r>
      <w:r w:rsidRPr="005339C4">
        <w:rPr>
          <w:lang w:val="fr"/>
        </w:rPr>
        <w:t xml:space="preserve"> </w:t>
      </w:r>
      <w:r w:rsidR="00F00BE2" w:rsidRPr="005339C4">
        <w:rPr>
          <w:lang w:val="fr"/>
        </w:rPr>
        <w:t>pour</w:t>
      </w:r>
      <w:r w:rsidRPr="005339C4">
        <w:rPr>
          <w:lang w:val="fr"/>
        </w:rPr>
        <w:t xml:space="preserve"> soutenir les États, par le biais des mécanismes d</w:t>
      </w:r>
      <w:r w:rsidR="007D1B10">
        <w:rPr>
          <w:lang w:val="fr"/>
        </w:rPr>
        <w:t>’</w:t>
      </w:r>
      <w:r w:rsidRPr="005339C4">
        <w:rPr>
          <w:lang w:val="fr"/>
        </w:rPr>
        <w:t>assistance internationale, pour la sauvegarde du patrimoine inscrit sur la Liste du patrimoine culturel immatériel nécessitant une sauvegarde urgente, la préparation d</w:t>
      </w:r>
      <w:r w:rsidR="007D1B10">
        <w:rPr>
          <w:lang w:val="fr"/>
        </w:rPr>
        <w:t>’</w:t>
      </w:r>
      <w:r w:rsidRPr="005339C4">
        <w:rPr>
          <w:lang w:val="fr"/>
        </w:rPr>
        <w:t>inventaires et d</w:t>
      </w:r>
      <w:r w:rsidR="007D1B10">
        <w:rPr>
          <w:lang w:val="fr"/>
        </w:rPr>
        <w:t>’</w:t>
      </w:r>
      <w:r w:rsidRPr="005339C4">
        <w:rPr>
          <w:lang w:val="fr"/>
        </w:rPr>
        <w:t>autres programmes et projets de sauvegarde. Il est proposé de maintenir l</w:t>
      </w:r>
      <w:r w:rsidR="007D1B10">
        <w:rPr>
          <w:lang w:val="fr"/>
        </w:rPr>
        <w:t>’</w:t>
      </w:r>
      <w:r w:rsidRPr="005339C4">
        <w:rPr>
          <w:lang w:val="fr"/>
        </w:rPr>
        <w:t>allocation de la ligne budgétaire 1 au même niveau pour permettre aux États parties de renforcer leurs initiatives de sauvegarde, en mettant particulièrement l</w:t>
      </w:r>
      <w:r w:rsidR="007D1B10">
        <w:rPr>
          <w:lang w:val="fr"/>
        </w:rPr>
        <w:t>’</w:t>
      </w:r>
      <w:r w:rsidRPr="005339C4">
        <w:rPr>
          <w:lang w:val="fr"/>
        </w:rPr>
        <w:t>accent sur la région Afrique et les PEID. Ces ressources substantielles seront utilisées pour financer le plus grand nombre possible de projets de sauvegarde, approuvés par le Comité et le Bureau, à condition qu</w:t>
      </w:r>
      <w:r w:rsidR="007D1B10">
        <w:rPr>
          <w:lang w:val="fr"/>
        </w:rPr>
        <w:t>’</w:t>
      </w:r>
      <w:r w:rsidRPr="005339C4">
        <w:rPr>
          <w:lang w:val="fr"/>
        </w:rPr>
        <w:t>ils répondent aux critères de l</w:t>
      </w:r>
      <w:r w:rsidR="007D1B10">
        <w:rPr>
          <w:lang w:val="fr"/>
        </w:rPr>
        <w:t>’</w:t>
      </w:r>
      <w:r w:rsidRPr="005339C4">
        <w:rPr>
          <w:lang w:val="fr"/>
        </w:rPr>
        <w:t>assistance internationale.</w:t>
      </w:r>
    </w:p>
    <w:p w14:paraId="5AAA7D00" w14:textId="6284B138" w:rsidR="00943924" w:rsidRPr="005339C4" w:rsidRDefault="00F00BE2" w:rsidP="0019102C">
      <w:pPr>
        <w:pStyle w:val="COMPara"/>
        <w:ind w:left="567" w:hanging="567"/>
        <w:jc w:val="both"/>
        <w:rPr>
          <w:lang w:val="fr-FR"/>
        </w:rPr>
      </w:pPr>
      <w:r w:rsidRPr="005339C4">
        <w:rPr>
          <w:lang w:val="fr"/>
        </w:rPr>
        <w:t>À la s</w:t>
      </w:r>
      <w:r w:rsidR="00A448B1" w:rsidRPr="005339C4">
        <w:rPr>
          <w:lang w:val="fr"/>
        </w:rPr>
        <w:t xml:space="preserve">uite </w:t>
      </w:r>
      <w:r w:rsidRPr="005339C4">
        <w:rPr>
          <w:lang w:val="fr"/>
        </w:rPr>
        <w:t>des</w:t>
      </w:r>
      <w:r w:rsidR="00A448B1" w:rsidRPr="005339C4">
        <w:rPr>
          <w:lang w:val="fr"/>
        </w:rPr>
        <w:t xml:space="preserve"> conclusions de l</w:t>
      </w:r>
      <w:r w:rsidR="007D1B10">
        <w:rPr>
          <w:lang w:val="fr"/>
        </w:rPr>
        <w:t>’</w:t>
      </w:r>
      <w:r w:rsidR="00A448B1" w:rsidRPr="005339C4">
        <w:rPr>
          <w:lang w:val="fr"/>
        </w:rPr>
        <w:t xml:space="preserve">évaluation de 2021 par </w:t>
      </w:r>
      <w:r w:rsidR="00547C21" w:rsidRPr="005339C4">
        <w:rPr>
          <w:lang w:val="fr"/>
        </w:rPr>
        <w:t>la Division des servi</w:t>
      </w:r>
      <w:r w:rsidR="0015494B" w:rsidRPr="005339C4">
        <w:rPr>
          <w:lang w:val="fr"/>
        </w:rPr>
        <w:t>c</w:t>
      </w:r>
      <w:r w:rsidR="00547C21" w:rsidRPr="005339C4">
        <w:rPr>
          <w:lang w:val="fr"/>
        </w:rPr>
        <w:t>es de contrôle interne</w:t>
      </w:r>
      <w:r w:rsidR="00A448B1" w:rsidRPr="005339C4">
        <w:rPr>
          <w:lang w:val="fr"/>
        </w:rPr>
        <w:t xml:space="preserve"> (IOS) de l</w:t>
      </w:r>
      <w:r w:rsidR="007D1B10">
        <w:rPr>
          <w:lang w:val="fr"/>
        </w:rPr>
        <w:t>’</w:t>
      </w:r>
      <w:r w:rsidR="00A448B1" w:rsidRPr="005339C4">
        <w:rPr>
          <w:lang w:val="fr"/>
        </w:rPr>
        <w:t>action de l</w:t>
      </w:r>
      <w:r w:rsidR="007D1B10">
        <w:rPr>
          <w:lang w:val="fr"/>
        </w:rPr>
        <w:t>’</w:t>
      </w:r>
      <w:r w:rsidR="00A448B1" w:rsidRPr="005339C4">
        <w:rPr>
          <w:lang w:val="fr"/>
        </w:rPr>
        <w:t xml:space="preserve">UNESCO dans le cadre de la Convention de 2003 pour la sauvegarde du patrimoine culturel immatériel (voir les recommandations 5 et 6 du document </w:t>
      </w:r>
      <w:hyperlink r:id="rId24" w:history="1">
        <w:r w:rsidR="00A448B1" w:rsidRPr="005339C4">
          <w:rPr>
            <w:rStyle w:val="Hyperlink"/>
            <w:lang w:val="fr"/>
          </w:rPr>
          <w:t>LHE/21/16.COM/INF.10 Rev.</w:t>
        </w:r>
      </w:hyperlink>
      <w:r w:rsidR="00A448B1" w:rsidRPr="005339C4">
        <w:rPr>
          <w:lang w:val="fr"/>
        </w:rPr>
        <w:t>), le Comité a autorisé, à titre expérimental, l</w:t>
      </w:r>
      <w:r w:rsidR="007D1B10">
        <w:rPr>
          <w:lang w:val="fr"/>
        </w:rPr>
        <w:t>’</w:t>
      </w:r>
      <w:r w:rsidR="00A448B1" w:rsidRPr="005339C4">
        <w:rPr>
          <w:lang w:val="fr"/>
        </w:rPr>
        <w:t>utilisation de fonds au titre de la ligne budgétaire 1 pour un montant ne dépassant pas 10 % du budget approuvé de chaque projet d</w:t>
      </w:r>
      <w:r w:rsidR="007D1B10">
        <w:rPr>
          <w:lang w:val="fr"/>
        </w:rPr>
        <w:t>’</w:t>
      </w:r>
      <w:r w:rsidR="00A448B1" w:rsidRPr="005339C4">
        <w:rPr>
          <w:lang w:val="fr"/>
        </w:rPr>
        <w:t>assistance internationale approuvé, afin de financer la fourniture d</w:t>
      </w:r>
      <w:r w:rsidR="007D1B10">
        <w:rPr>
          <w:lang w:val="fr"/>
        </w:rPr>
        <w:t>’</w:t>
      </w:r>
      <w:r w:rsidR="00A448B1" w:rsidRPr="005339C4">
        <w:rPr>
          <w:lang w:val="fr"/>
        </w:rPr>
        <w:t>expertise, telle que décrite à l</w:t>
      </w:r>
      <w:r w:rsidR="007D1B10">
        <w:rPr>
          <w:lang w:val="fr"/>
        </w:rPr>
        <w:t>’</w:t>
      </w:r>
      <w:r w:rsidR="00A448B1" w:rsidRPr="005339C4">
        <w:rPr>
          <w:lang w:val="fr"/>
        </w:rPr>
        <w:t>article 21 de la Convention, pour le suivi et l</w:t>
      </w:r>
      <w:r w:rsidR="007D1B10">
        <w:rPr>
          <w:lang w:val="fr"/>
        </w:rPr>
        <w:t>’</w:t>
      </w:r>
      <w:r w:rsidR="00A448B1" w:rsidRPr="005339C4">
        <w:rPr>
          <w:lang w:val="fr"/>
        </w:rPr>
        <w:t>évaluation des projets d</w:t>
      </w:r>
      <w:r w:rsidR="007D1B10">
        <w:rPr>
          <w:lang w:val="fr"/>
        </w:rPr>
        <w:t>’</w:t>
      </w:r>
      <w:r w:rsidR="00A448B1" w:rsidRPr="005339C4">
        <w:rPr>
          <w:lang w:val="fr"/>
        </w:rPr>
        <w:t>assistance internationale en cours et récemment achevés (</w:t>
      </w:r>
      <w:r w:rsidR="00547C21" w:rsidRPr="005339C4">
        <w:rPr>
          <w:lang w:val="fr"/>
        </w:rPr>
        <w:t>D</w:t>
      </w:r>
      <w:r w:rsidR="00A448B1" w:rsidRPr="005339C4">
        <w:rPr>
          <w:lang w:val="fr"/>
        </w:rPr>
        <w:t xml:space="preserve">écision </w:t>
      </w:r>
      <w:hyperlink r:id="rId25" w:history="1">
        <w:r w:rsidR="00A448B1" w:rsidRPr="005339C4">
          <w:rPr>
            <w:rStyle w:val="Hyperlink"/>
            <w:lang w:val="fr"/>
          </w:rPr>
          <w:t>16.COM 13</w:t>
        </w:r>
      </w:hyperlink>
      <w:r w:rsidR="00A448B1" w:rsidRPr="005339C4">
        <w:rPr>
          <w:lang w:val="fr"/>
        </w:rPr>
        <w:t xml:space="preserve"> et </w:t>
      </w:r>
      <w:r w:rsidR="00547C21" w:rsidRPr="005339C4">
        <w:rPr>
          <w:lang w:val="fr"/>
        </w:rPr>
        <w:t>R</w:t>
      </w:r>
      <w:r w:rsidR="00A448B1" w:rsidRPr="005339C4">
        <w:rPr>
          <w:lang w:val="fr"/>
        </w:rPr>
        <w:t xml:space="preserve">ésolution </w:t>
      </w:r>
      <w:hyperlink r:id="rId26" w:history="1">
        <w:r w:rsidR="00A448B1" w:rsidRPr="005339C4">
          <w:rPr>
            <w:rStyle w:val="Hyperlink"/>
            <w:lang w:val="fr"/>
          </w:rPr>
          <w:t>9.GA 10</w:t>
        </w:r>
      </w:hyperlink>
      <w:r w:rsidR="00A448B1" w:rsidRPr="005339C4">
        <w:rPr>
          <w:lang w:val="fr"/>
        </w:rPr>
        <w:t xml:space="preserve">). </w:t>
      </w:r>
      <w:r w:rsidR="00547C21" w:rsidRPr="005339C4">
        <w:rPr>
          <w:lang w:val="fr"/>
        </w:rPr>
        <w:t>À la s</w:t>
      </w:r>
      <w:r w:rsidR="00A448B1" w:rsidRPr="005339C4">
        <w:rPr>
          <w:lang w:val="fr"/>
        </w:rPr>
        <w:t xml:space="preserve">uite </w:t>
      </w:r>
      <w:r w:rsidR="00547C21" w:rsidRPr="005339C4">
        <w:rPr>
          <w:lang w:val="fr"/>
        </w:rPr>
        <w:t>des</w:t>
      </w:r>
      <w:r w:rsidR="00A448B1" w:rsidRPr="005339C4">
        <w:rPr>
          <w:lang w:val="fr"/>
        </w:rPr>
        <w:t xml:space="preserve"> étapes préparatoires entreprises depuis l</w:t>
      </w:r>
      <w:r w:rsidR="007D1B10">
        <w:rPr>
          <w:lang w:val="fr"/>
        </w:rPr>
        <w:t>’</w:t>
      </w:r>
      <w:r w:rsidR="00A448B1" w:rsidRPr="005339C4">
        <w:rPr>
          <w:lang w:val="fr"/>
        </w:rPr>
        <w:t xml:space="preserve">AG 9 (voir le document </w:t>
      </w:r>
      <w:hyperlink r:id="rId27" w:history="1">
        <w:r w:rsidR="00A448B1" w:rsidRPr="005339C4">
          <w:rPr>
            <w:rStyle w:val="Hyperlink"/>
            <w:lang w:val="fr"/>
          </w:rPr>
          <w:t>LHE/23/18.COM/10</w:t>
        </w:r>
      </w:hyperlink>
      <w:r w:rsidR="00A448B1" w:rsidRPr="005339C4">
        <w:rPr>
          <w:lang w:val="fr"/>
        </w:rPr>
        <w:t xml:space="preserve">), </w:t>
      </w:r>
      <w:r w:rsidR="00547C21" w:rsidRPr="005339C4">
        <w:rPr>
          <w:lang w:val="fr"/>
        </w:rPr>
        <w:t xml:space="preserve">il est prévu que </w:t>
      </w:r>
      <w:r w:rsidR="00A448B1" w:rsidRPr="005339C4">
        <w:rPr>
          <w:lang w:val="fr"/>
        </w:rPr>
        <w:t>les activités pilotes de suivi et d</w:t>
      </w:r>
      <w:r w:rsidR="007D1B10">
        <w:rPr>
          <w:lang w:val="fr"/>
        </w:rPr>
        <w:t>’</w:t>
      </w:r>
      <w:r w:rsidR="00A448B1" w:rsidRPr="005339C4">
        <w:rPr>
          <w:lang w:val="fr"/>
        </w:rPr>
        <w:t xml:space="preserve">évaluation </w:t>
      </w:r>
      <w:r w:rsidR="00547C21" w:rsidRPr="005339C4">
        <w:rPr>
          <w:lang w:val="fr"/>
        </w:rPr>
        <w:t>soient</w:t>
      </w:r>
      <w:r w:rsidR="00A448B1" w:rsidRPr="005339C4">
        <w:rPr>
          <w:lang w:val="fr"/>
        </w:rPr>
        <w:t xml:space="preserve"> mises en œuvre à partir de 2024</w:t>
      </w:r>
      <w:r w:rsidR="00547C21" w:rsidRPr="005339C4">
        <w:rPr>
          <w:lang w:val="fr"/>
        </w:rPr>
        <w:t>.</w:t>
      </w:r>
      <w:r w:rsidR="00A448B1" w:rsidRPr="005339C4">
        <w:rPr>
          <w:lang w:val="fr"/>
        </w:rPr>
        <w:t xml:space="preserve"> </w:t>
      </w:r>
      <w:r w:rsidR="00547C21" w:rsidRPr="005339C4">
        <w:rPr>
          <w:lang w:val="fr"/>
        </w:rPr>
        <w:t xml:space="preserve">À </w:t>
      </w:r>
      <w:r w:rsidR="00A448B1" w:rsidRPr="005339C4">
        <w:rPr>
          <w:lang w:val="fr"/>
        </w:rPr>
        <w:t>cette fin, il est proposé que le Comité renouvelle son autorisation au Secrétariat, à titre expérimental, d</w:t>
      </w:r>
      <w:r w:rsidR="007D1B10">
        <w:rPr>
          <w:lang w:val="fr"/>
        </w:rPr>
        <w:t>’</w:t>
      </w:r>
      <w:r w:rsidR="00A448B1" w:rsidRPr="005339C4">
        <w:rPr>
          <w:lang w:val="fr"/>
        </w:rPr>
        <w:t>utiliser les fonds de la ligne budgétaire 1 dans un montant ne dépassant pas 10 % du budget de chaque projet d</w:t>
      </w:r>
      <w:r w:rsidR="007D1B10">
        <w:rPr>
          <w:lang w:val="fr"/>
        </w:rPr>
        <w:t>’</w:t>
      </w:r>
      <w:r w:rsidR="00A448B1" w:rsidRPr="005339C4">
        <w:rPr>
          <w:lang w:val="fr"/>
        </w:rPr>
        <w:t>assistance internationale approuvé sélectionné, pour financer la fourniture d</w:t>
      </w:r>
      <w:r w:rsidR="007D1B10">
        <w:rPr>
          <w:lang w:val="fr"/>
        </w:rPr>
        <w:t>’</w:t>
      </w:r>
      <w:r w:rsidR="00A448B1" w:rsidRPr="005339C4">
        <w:rPr>
          <w:lang w:val="fr"/>
        </w:rPr>
        <w:t>expertise, telle que décrite dans l</w:t>
      </w:r>
      <w:r w:rsidR="007D1B10">
        <w:rPr>
          <w:lang w:val="fr"/>
        </w:rPr>
        <w:t>’</w:t>
      </w:r>
      <w:r w:rsidR="00A448B1" w:rsidRPr="005339C4">
        <w:rPr>
          <w:lang w:val="fr"/>
        </w:rPr>
        <w:t>article 21 de la Convention, pour le suivi et l</w:t>
      </w:r>
      <w:r w:rsidR="007D1B10">
        <w:rPr>
          <w:lang w:val="fr"/>
        </w:rPr>
        <w:t>’</w:t>
      </w:r>
      <w:r w:rsidR="00A448B1" w:rsidRPr="005339C4">
        <w:rPr>
          <w:lang w:val="fr"/>
        </w:rPr>
        <w:t>évaluation des projets d</w:t>
      </w:r>
      <w:r w:rsidR="007D1B10">
        <w:rPr>
          <w:lang w:val="fr"/>
        </w:rPr>
        <w:t>’</w:t>
      </w:r>
      <w:r w:rsidR="00A448B1" w:rsidRPr="005339C4">
        <w:rPr>
          <w:lang w:val="fr"/>
        </w:rPr>
        <w:t>assistance internationale en cours et récemment achevés.</w:t>
      </w:r>
    </w:p>
    <w:p w14:paraId="72CBAD5F" w14:textId="2456C581" w:rsidR="00422716" w:rsidRPr="005339C4" w:rsidRDefault="00422716" w:rsidP="0032766D">
      <w:pPr>
        <w:pStyle w:val="COMPara"/>
        <w:tabs>
          <w:tab w:val="left" w:pos="567"/>
        </w:tabs>
        <w:ind w:left="567" w:hanging="567"/>
        <w:jc w:val="both"/>
        <w:rPr>
          <w:lang w:val="fr-FR"/>
        </w:rPr>
      </w:pPr>
      <w:r w:rsidRPr="005339C4">
        <w:rPr>
          <w:lang w:val="fr"/>
        </w:rPr>
        <w:t>Lors de sa septième session en juin 2018, l</w:t>
      </w:r>
      <w:r w:rsidR="007D1B10">
        <w:rPr>
          <w:lang w:val="fr"/>
        </w:rPr>
        <w:t>’</w:t>
      </w:r>
      <w:r w:rsidRPr="005339C4">
        <w:rPr>
          <w:lang w:val="fr"/>
        </w:rPr>
        <w:t>Assemblée générale a approuvé la création de trois postes à durée déterminée</w:t>
      </w:r>
      <w:r w:rsidR="00B6607F" w:rsidRPr="005339C4">
        <w:rPr>
          <w:lang w:val="fr"/>
        </w:rPr>
        <w:t xml:space="preserve"> à l</w:t>
      </w:r>
      <w:r w:rsidR="007D1B10">
        <w:rPr>
          <w:lang w:val="fr"/>
        </w:rPr>
        <w:t>’</w:t>
      </w:r>
      <w:r w:rsidR="00B6607F" w:rsidRPr="005339C4">
        <w:rPr>
          <w:lang w:val="fr"/>
        </w:rPr>
        <w:t>aide de fonds extra-budgétaires</w:t>
      </w:r>
      <w:r w:rsidRPr="005339C4">
        <w:rPr>
          <w:lang w:val="fr"/>
        </w:rPr>
        <w:t xml:space="preserve"> (un P3, un P2 et un G5) pour former une équipe chargée des modalités de mise en œuvre des mécanismes d</w:t>
      </w:r>
      <w:r w:rsidR="007D1B10">
        <w:rPr>
          <w:lang w:val="fr"/>
        </w:rPr>
        <w:t>’</w:t>
      </w:r>
      <w:r w:rsidRPr="005339C4">
        <w:rPr>
          <w:lang w:val="fr"/>
        </w:rPr>
        <w:t xml:space="preserve">assistance internationale (Résolution </w:t>
      </w:r>
      <w:hyperlink r:id="rId28" w:history="1">
        <w:r w:rsidRPr="005339C4">
          <w:rPr>
            <w:rStyle w:val="Hyperlink"/>
            <w:lang w:val="fr"/>
          </w:rPr>
          <w:t>7.GA 8</w:t>
        </w:r>
      </w:hyperlink>
      <w:r w:rsidRPr="005339C4">
        <w:rPr>
          <w:lang w:val="fr"/>
        </w:rPr>
        <w:t xml:space="preserve">). </w:t>
      </w:r>
      <w:r w:rsidR="00B6607F" w:rsidRPr="005339C4">
        <w:rPr>
          <w:lang w:val="fr"/>
        </w:rPr>
        <w:t>« </w:t>
      </w:r>
      <w:r w:rsidRPr="005339C4">
        <w:rPr>
          <w:lang w:val="fr"/>
        </w:rPr>
        <w:t>L</w:t>
      </w:r>
      <w:r w:rsidR="007D1B10">
        <w:rPr>
          <w:lang w:val="fr"/>
        </w:rPr>
        <w:t>’</w:t>
      </w:r>
      <w:r w:rsidRPr="005339C4">
        <w:rPr>
          <w:lang w:val="fr"/>
        </w:rPr>
        <w:t>équipe de</w:t>
      </w:r>
      <w:r w:rsidR="00B6607F" w:rsidRPr="005339C4">
        <w:rPr>
          <w:lang w:val="fr"/>
        </w:rPr>
        <w:t xml:space="preserve"> </w:t>
      </w:r>
      <w:r w:rsidRPr="005339C4">
        <w:rPr>
          <w:lang w:val="fr"/>
        </w:rPr>
        <w:t>mise en œuvre et de suivi de la sauvegarde</w:t>
      </w:r>
      <w:r w:rsidR="00B6607F" w:rsidRPr="005339C4">
        <w:rPr>
          <w:lang w:val="fr"/>
        </w:rPr>
        <w:t xml:space="preserve"> (SIM) »</w:t>
      </w:r>
      <w:r w:rsidRPr="005339C4">
        <w:rPr>
          <w:lang w:val="fr"/>
        </w:rPr>
        <w:t xml:space="preserve"> </w:t>
      </w:r>
      <w:r w:rsidR="00B6607F" w:rsidRPr="005339C4">
        <w:rPr>
          <w:lang w:val="fr"/>
        </w:rPr>
        <w:t>a été créée en</w:t>
      </w:r>
      <w:r w:rsidRPr="005339C4">
        <w:rPr>
          <w:lang w:val="fr"/>
        </w:rPr>
        <w:t xml:space="preserve"> février 2020. Il est proposé d</w:t>
      </w:r>
      <w:r w:rsidR="007D1B10">
        <w:rPr>
          <w:lang w:val="fr"/>
        </w:rPr>
        <w:t>’</w:t>
      </w:r>
      <w:r w:rsidRPr="005339C4">
        <w:rPr>
          <w:lang w:val="fr"/>
        </w:rPr>
        <w:t xml:space="preserve">allouer environ </w:t>
      </w:r>
      <w:r w:rsidR="001E49CB" w:rsidRPr="005339C4">
        <w:rPr>
          <w:lang w:val="fr"/>
        </w:rPr>
        <w:t>12,3</w:t>
      </w:r>
      <w:r w:rsidRPr="005339C4">
        <w:rPr>
          <w:lang w:val="fr"/>
        </w:rPr>
        <w:t xml:space="preserve"> % des ressources du Fonds pour couvrir les coûts de ces trois postes </w:t>
      </w:r>
      <w:r w:rsidRPr="005339C4">
        <w:rPr>
          <w:b/>
          <w:bCs/>
          <w:lang w:val="fr"/>
        </w:rPr>
        <w:t>(ligne budgétaire 1.1</w:t>
      </w:r>
      <w:r w:rsidRPr="005339C4">
        <w:rPr>
          <w:lang w:val="fr"/>
        </w:rPr>
        <w:t>)</w:t>
      </w:r>
      <w:r w:rsidR="00B6607F" w:rsidRPr="005339C4">
        <w:rPr>
          <w:lang w:val="fr"/>
        </w:rPr>
        <w:t>, contre 10% au cours de l</w:t>
      </w:r>
      <w:r w:rsidR="007D1B10">
        <w:rPr>
          <w:lang w:val="fr"/>
        </w:rPr>
        <w:t>’</w:t>
      </w:r>
      <w:r w:rsidR="00B6607F" w:rsidRPr="005339C4">
        <w:rPr>
          <w:lang w:val="fr"/>
        </w:rPr>
        <w:t>exercice biennal actuel afin de maintenir cette ligne budgétaire au même montant nominal</w:t>
      </w:r>
      <w:r w:rsidRPr="005339C4">
        <w:rPr>
          <w:lang w:val="fr"/>
        </w:rPr>
        <w:t>.</w:t>
      </w:r>
    </w:p>
    <w:p w14:paraId="08ECE005" w14:textId="251E8154" w:rsidR="00943924" w:rsidRPr="005339C4" w:rsidRDefault="00422716" w:rsidP="001E3FA6">
      <w:pPr>
        <w:pStyle w:val="COMPara"/>
        <w:tabs>
          <w:tab w:val="left" w:pos="567"/>
        </w:tabs>
        <w:ind w:left="567" w:hanging="567"/>
        <w:jc w:val="both"/>
        <w:rPr>
          <w:lang w:val="fr-FR"/>
        </w:rPr>
      </w:pPr>
      <w:r w:rsidRPr="005339C4">
        <w:rPr>
          <w:lang w:val="fr"/>
        </w:rPr>
        <w:t xml:space="preserve">En outre, il est proposé que </w:t>
      </w:r>
      <w:r w:rsidR="001E49CB" w:rsidRPr="005339C4">
        <w:rPr>
          <w:lang w:val="fr"/>
        </w:rPr>
        <w:t>2</w:t>
      </w:r>
      <w:r w:rsidR="000F3FDC" w:rsidRPr="005339C4">
        <w:rPr>
          <w:lang w:val="fr"/>
        </w:rPr>
        <w:t>,</w:t>
      </w:r>
      <w:r w:rsidR="001E49CB" w:rsidRPr="005339C4">
        <w:rPr>
          <w:lang w:val="fr"/>
        </w:rPr>
        <w:t>8</w:t>
      </w:r>
      <w:r w:rsidRPr="005339C4">
        <w:rPr>
          <w:lang w:val="fr"/>
        </w:rPr>
        <w:t>% des fonds soient budgétisés pour l</w:t>
      </w:r>
      <w:r w:rsidR="007D1B10">
        <w:rPr>
          <w:lang w:val="fr"/>
        </w:rPr>
        <w:t>’</w:t>
      </w:r>
      <w:r w:rsidRPr="005339C4">
        <w:rPr>
          <w:lang w:val="fr"/>
        </w:rPr>
        <w:t>octroi d</w:t>
      </w:r>
      <w:r w:rsidR="007D1B10">
        <w:rPr>
          <w:lang w:val="fr"/>
        </w:rPr>
        <w:t>’</w:t>
      </w:r>
      <w:r w:rsidRPr="005339C4">
        <w:rPr>
          <w:lang w:val="fr"/>
        </w:rPr>
        <w:t xml:space="preserve">une assistance préparatoire </w:t>
      </w:r>
      <w:r w:rsidRPr="005339C4">
        <w:rPr>
          <w:b/>
          <w:bCs/>
          <w:lang w:val="fr"/>
        </w:rPr>
        <w:t>(ligne budgétaire 2)</w:t>
      </w:r>
      <w:r w:rsidRPr="005339C4">
        <w:rPr>
          <w:lang w:val="fr"/>
        </w:rPr>
        <w:t>. La légère augmentation par rapport à l</w:t>
      </w:r>
      <w:r w:rsidR="007D1B10">
        <w:rPr>
          <w:lang w:val="fr"/>
        </w:rPr>
        <w:t>’</w:t>
      </w:r>
      <w:r w:rsidRPr="005339C4">
        <w:rPr>
          <w:lang w:val="fr"/>
        </w:rPr>
        <w:t>exercice actuel (2,6</w:t>
      </w:r>
      <w:r w:rsidR="0015494B" w:rsidRPr="005339C4">
        <w:rPr>
          <w:lang w:val="fr"/>
        </w:rPr>
        <w:t> </w:t>
      </w:r>
      <w:r w:rsidRPr="005339C4">
        <w:rPr>
          <w:lang w:val="fr"/>
        </w:rPr>
        <w:t>%) est proposée à la lumière des coûts supplémentaires potentiels qui pourraient résulter de l</w:t>
      </w:r>
      <w:r w:rsidR="007D1B10">
        <w:rPr>
          <w:lang w:val="fr"/>
        </w:rPr>
        <w:t>’</w:t>
      </w:r>
      <w:r w:rsidRPr="005339C4">
        <w:rPr>
          <w:lang w:val="fr"/>
        </w:rPr>
        <w:t>extension du mécanisme d</w:t>
      </w:r>
      <w:r w:rsidR="007D1B10">
        <w:rPr>
          <w:lang w:val="fr"/>
        </w:rPr>
        <w:t>’</w:t>
      </w:r>
      <w:r w:rsidRPr="005339C4">
        <w:rPr>
          <w:lang w:val="fr"/>
        </w:rPr>
        <w:t>assistance préparatoire aux États parties n</w:t>
      </w:r>
      <w:r w:rsidR="007D1B10">
        <w:rPr>
          <w:lang w:val="fr"/>
        </w:rPr>
        <w:t>’</w:t>
      </w:r>
      <w:r w:rsidRPr="005339C4">
        <w:rPr>
          <w:lang w:val="fr"/>
        </w:rPr>
        <w:t>ayant pas d</w:t>
      </w:r>
      <w:r w:rsidR="007D1B10">
        <w:rPr>
          <w:lang w:val="fr"/>
        </w:rPr>
        <w:t>’</w:t>
      </w:r>
      <w:r w:rsidRPr="005339C4">
        <w:rPr>
          <w:lang w:val="fr"/>
        </w:rPr>
        <w:t>éléments</w:t>
      </w:r>
      <w:r w:rsidR="007C5AF4" w:rsidRPr="005339C4">
        <w:rPr>
          <w:lang w:val="fr"/>
        </w:rPr>
        <w:t xml:space="preserve"> nationaux</w:t>
      </w:r>
      <w:r w:rsidRPr="005339C4">
        <w:rPr>
          <w:lang w:val="fr"/>
        </w:rPr>
        <w:t xml:space="preserve"> inscrits sur la Liste représentative et </w:t>
      </w:r>
      <w:r w:rsidR="007C5AF4" w:rsidRPr="005339C4">
        <w:rPr>
          <w:lang w:val="fr"/>
        </w:rPr>
        <w:t xml:space="preserve">qui </w:t>
      </w:r>
      <w:r w:rsidRPr="005339C4">
        <w:rPr>
          <w:lang w:val="fr"/>
        </w:rPr>
        <w:t>souhait</w:t>
      </w:r>
      <w:r w:rsidR="007C5AF4" w:rsidRPr="005339C4">
        <w:rPr>
          <w:lang w:val="fr"/>
        </w:rPr>
        <w:t>ent</w:t>
      </w:r>
      <w:r w:rsidRPr="005339C4">
        <w:rPr>
          <w:lang w:val="fr"/>
        </w:rPr>
        <w:t xml:space="preserve"> bénéficier d</w:t>
      </w:r>
      <w:r w:rsidR="007D1B10">
        <w:rPr>
          <w:lang w:val="fr"/>
        </w:rPr>
        <w:t>’</w:t>
      </w:r>
      <w:r w:rsidRPr="005339C4">
        <w:rPr>
          <w:lang w:val="fr"/>
        </w:rPr>
        <w:t>une assistance internationale pour la préparation d</w:t>
      </w:r>
      <w:r w:rsidR="007D1B10">
        <w:rPr>
          <w:lang w:val="fr"/>
        </w:rPr>
        <w:t>’</w:t>
      </w:r>
      <w:r w:rsidRPr="005339C4">
        <w:rPr>
          <w:lang w:val="fr"/>
        </w:rPr>
        <w:t xml:space="preserve">un dossier de candidature (voir la </w:t>
      </w:r>
      <w:r w:rsidR="00376565" w:rsidRPr="005339C4">
        <w:rPr>
          <w:lang w:val="fr"/>
        </w:rPr>
        <w:t>d</w:t>
      </w:r>
      <w:r w:rsidRPr="005339C4">
        <w:rPr>
          <w:lang w:val="fr"/>
        </w:rPr>
        <w:t xml:space="preserve">écision </w:t>
      </w:r>
      <w:hyperlink r:id="rId29" w:history="1">
        <w:r w:rsidR="00376565" w:rsidRPr="005339C4">
          <w:rPr>
            <w:rStyle w:val="Hyperlink"/>
            <w:lang w:val="fr"/>
          </w:rPr>
          <w:t>17.COM 7</w:t>
        </w:r>
      </w:hyperlink>
      <w:r w:rsidR="00376565" w:rsidRPr="005339C4">
        <w:rPr>
          <w:lang w:val="fr"/>
        </w:rPr>
        <w:t xml:space="preserve"> et le document</w:t>
      </w:r>
      <w:r w:rsidR="00D478D5" w:rsidRPr="005339C4">
        <w:rPr>
          <w:rStyle w:val="Hyperlink"/>
          <w:u w:val="none"/>
          <w:lang w:val="fr"/>
        </w:rPr>
        <w:t xml:space="preserve"> </w:t>
      </w:r>
      <w:hyperlink r:id="rId30" w:history="1">
        <w:r w:rsidR="00D478D5" w:rsidRPr="005339C4">
          <w:rPr>
            <w:rStyle w:val="Hyperlink"/>
            <w:lang w:val="fr"/>
          </w:rPr>
          <w:t>LHE/23/18.COM/10</w:t>
        </w:r>
      </w:hyperlink>
      <w:r w:rsidRPr="005339C4">
        <w:rPr>
          <w:lang w:val="fr"/>
        </w:rPr>
        <w:t>). Si le Comité et l</w:t>
      </w:r>
      <w:r w:rsidR="007D1B10">
        <w:rPr>
          <w:lang w:val="fr"/>
        </w:rPr>
        <w:t>’</w:t>
      </w:r>
      <w:r w:rsidRPr="005339C4">
        <w:rPr>
          <w:lang w:val="fr"/>
        </w:rPr>
        <w:t>Assemblée générale approuvent cette extension</w:t>
      </w:r>
      <w:r w:rsidR="00D478D5" w:rsidRPr="005339C4">
        <w:rPr>
          <w:lang w:val="fr"/>
        </w:rPr>
        <w:t xml:space="preserve"> lors de sa dixième session en 2024</w:t>
      </w:r>
      <w:r w:rsidRPr="005339C4">
        <w:rPr>
          <w:lang w:val="fr"/>
        </w:rPr>
        <w:t>, l</w:t>
      </w:r>
      <w:r w:rsidR="007D1B10">
        <w:rPr>
          <w:lang w:val="fr"/>
        </w:rPr>
        <w:t>’</w:t>
      </w:r>
      <w:r w:rsidRPr="005339C4">
        <w:rPr>
          <w:lang w:val="fr"/>
        </w:rPr>
        <w:t>augmentation proposée de l</w:t>
      </w:r>
      <w:r w:rsidR="007D1B10">
        <w:rPr>
          <w:lang w:val="fr"/>
        </w:rPr>
        <w:t>’</w:t>
      </w:r>
      <w:r w:rsidRPr="005339C4">
        <w:rPr>
          <w:lang w:val="fr"/>
        </w:rPr>
        <w:t xml:space="preserve">allocation permettrait de fournir </w:t>
      </w:r>
      <w:r w:rsidR="00D478D5" w:rsidRPr="005339C4">
        <w:rPr>
          <w:lang w:val="fr"/>
        </w:rPr>
        <w:t xml:space="preserve">une telle </w:t>
      </w:r>
      <w:r w:rsidRPr="005339C4">
        <w:rPr>
          <w:lang w:val="fr"/>
        </w:rPr>
        <w:t>assistance pour un nombre initial de demandes que le Secrétariat pourrait recevoir au cours de l</w:t>
      </w:r>
      <w:r w:rsidR="007D1B10">
        <w:rPr>
          <w:lang w:val="fr"/>
        </w:rPr>
        <w:t>’</w:t>
      </w:r>
      <w:r w:rsidRPr="005339C4">
        <w:rPr>
          <w:lang w:val="fr"/>
        </w:rPr>
        <w:t>exercice biennal 2024 - 2025, après la dixième session de l</w:t>
      </w:r>
      <w:r w:rsidR="007D1B10">
        <w:rPr>
          <w:lang w:val="fr"/>
        </w:rPr>
        <w:t>’</w:t>
      </w:r>
      <w:r w:rsidRPr="005339C4">
        <w:rPr>
          <w:lang w:val="fr"/>
        </w:rPr>
        <w:t>Assemblée générale. Outre l</w:t>
      </w:r>
      <w:r w:rsidR="007D1B10">
        <w:rPr>
          <w:lang w:val="fr"/>
        </w:rPr>
        <w:t>’</w:t>
      </w:r>
      <w:r w:rsidRPr="005339C4">
        <w:rPr>
          <w:lang w:val="fr"/>
        </w:rPr>
        <w:t xml:space="preserve">assistance préparatoire </w:t>
      </w:r>
      <w:r w:rsidR="00D478D5" w:rsidRPr="005339C4">
        <w:rPr>
          <w:lang w:val="fr"/>
        </w:rPr>
        <w:t xml:space="preserve">actuel </w:t>
      </w:r>
      <w:r w:rsidRPr="005339C4">
        <w:rPr>
          <w:lang w:val="fr"/>
        </w:rPr>
        <w:t>pour les dossiers de candidature</w:t>
      </w:r>
      <w:r w:rsidRPr="005339C4">
        <w:rPr>
          <w:rStyle w:val="FootnoteReference"/>
          <w:lang w:val="fr"/>
        </w:rPr>
        <w:footnoteReference w:id="3"/>
      </w:r>
      <w:r w:rsidRPr="005339C4">
        <w:rPr>
          <w:lang w:val="fr"/>
        </w:rPr>
        <w:t xml:space="preserve"> et la possibilité proposée ci-dessus, cette ligne budgétaire couvre</w:t>
      </w:r>
      <w:r w:rsidR="00D478D5" w:rsidRPr="005339C4">
        <w:rPr>
          <w:lang w:val="fr"/>
        </w:rPr>
        <w:t xml:space="preserve"> également</w:t>
      </w:r>
      <w:r w:rsidRPr="005339C4">
        <w:rPr>
          <w:lang w:val="fr"/>
        </w:rPr>
        <w:t xml:space="preserve"> les coûts liés à la fourniture d</w:t>
      </w:r>
      <w:r w:rsidR="007D1B10">
        <w:rPr>
          <w:lang w:val="fr"/>
        </w:rPr>
        <w:t>’</w:t>
      </w:r>
      <w:r w:rsidRPr="005339C4">
        <w:rPr>
          <w:lang w:val="fr"/>
        </w:rPr>
        <w:t>une assistance technique aux États parties pour la préparation des demandes d</w:t>
      </w:r>
      <w:r w:rsidR="007D1B10">
        <w:rPr>
          <w:lang w:val="fr"/>
        </w:rPr>
        <w:t>’</w:t>
      </w:r>
      <w:r w:rsidRPr="005339C4">
        <w:rPr>
          <w:lang w:val="fr"/>
        </w:rPr>
        <w:t>assistance internationale.</w:t>
      </w:r>
    </w:p>
    <w:p w14:paraId="3BCAC3A7" w14:textId="6751E374" w:rsidR="00370E80" w:rsidRPr="005339C4" w:rsidRDefault="00370E80" w:rsidP="002B4891">
      <w:pPr>
        <w:pStyle w:val="GAPara"/>
        <w:keepNext/>
        <w:numPr>
          <w:ilvl w:val="0"/>
          <w:numId w:val="0"/>
        </w:numPr>
        <w:spacing w:before="240"/>
        <w:ind w:firstLine="567"/>
        <w:rPr>
          <w:b/>
          <w:bCs/>
        </w:rPr>
      </w:pPr>
      <w:bookmarkStart w:id="5" w:name="_Hlk84601281"/>
      <w:r w:rsidRPr="005339C4">
        <w:rPr>
          <w:b/>
          <w:bCs/>
          <w:lang w:val="fr"/>
        </w:rPr>
        <w:t>Autres fonctions du Comité</w:t>
      </w:r>
      <w:bookmarkEnd w:id="5"/>
    </w:p>
    <w:p w14:paraId="65AC6659" w14:textId="4FF6802B" w:rsidR="002967ED" w:rsidRPr="005339C4" w:rsidRDefault="00340625" w:rsidP="002967ED">
      <w:pPr>
        <w:pStyle w:val="COMPara"/>
        <w:tabs>
          <w:tab w:val="left" w:pos="567"/>
        </w:tabs>
        <w:ind w:left="567" w:hanging="567"/>
        <w:jc w:val="both"/>
        <w:rPr>
          <w:lang w:val="fr-FR"/>
        </w:rPr>
      </w:pPr>
      <w:r w:rsidRPr="005339C4">
        <w:rPr>
          <w:lang w:val="fr"/>
        </w:rPr>
        <w:t xml:space="preserve">La </w:t>
      </w:r>
      <w:r w:rsidRPr="005339C4">
        <w:rPr>
          <w:b/>
          <w:bCs/>
          <w:lang w:val="fr"/>
        </w:rPr>
        <w:t>ligne budgétaire 3</w:t>
      </w:r>
      <w:r w:rsidRPr="005339C4">
        <w:rPr>
          <w:lang w:val="fr"/>
        </w:rPr>
        <w:t xml:space="preserve"> (« </w:t>
      </w:r>
      <w:r w:rsidR="001E49CB" w:rsidRPr="005339C4">
        <w:rPr>
          <w:lang w:val="fr"/>
        </w:rPr>
        <w:t>a</w:t>
      </w:r>
      <w:r w:rsidRPr="005339C4">
        <w:rPr>
          <w:lang w:val="fr"/>
        </w:rPr>
        <w:t>utres fonctions du Comité ») sera maintenue à 20 % afin de renforcer le travail</w:t>
      </w:r>
      <w:r w:rsidR="004616AA" w:rsidRPr="005339C4">
        <w:rPr>
          <w:lang w:val="fr"/>
        </w:rPr>
        <w:t xml:space="preserve"> initié</w:t>
      </w:r>
      <w:r w:rsidR="001D5DF3" w:rsidRPr="005339C4">
        <w:rPr>
          <w:lang w:val="fr"/>
        </w:rPr>
        <w:t xml:space="preserve"> </w:t>
      </w:r>
      <w:r w:rsidRPr="005339C4">
        <w:rPr>
          <w:lang w:val="fr"/>
        </w:rPr>
        <w:t>au cours de l</w:t>
      </w:r>
      <w:r w:rsidR="007D1B10">
        <w:rPr>
          <w:lang w:val="fr"/>
        </w:rPr>
        <w:t>’</w:t>
      </w:r>
      <w:r w:rsidRPr="005339C4">
        <w:rPr>
          <w:lang w:val="fr"/>
        </w:rPr>
        <w:t xml:space="preserve">exercice </w:t>
      </w:r>
      <w:r w:rsidR="004017BC" w:rsidRPr="005339C4">
        <w:rPr>
          <w:lang w:val="fr"/>
        </w:rPr>
        <w:t>biennal actuel</w:t>
      </w:r>
      <w:r w:rsidRPr="005339C4">
        <w:rPr>
          <w:lang w:val="fr"/>
        </w:rPr>
        <w:t>. Ces fonctions sont énumérées à l</w:t>
      </w:r>
      <w:r w:rsidR="007D1B10">
        <w:rPr>
          <w:lang w:val="fr"/>
        </w:rPr>
        <w:t>’</w:t>
      </w:r>
      <w:r w:rsidRPr="005339C4">
        <w:rPr>
          <w:lang w:val="fr"/>
        </w:rPr>
        <w:t>article 7 de la Convention, et le Secrétariat utilise ces fonds pour aider le Comité à remplir ces fonctions, comme l</w:t>
      </w:r>
      <w:r w:rsidR="007D1B10">
        <w:rPr>
          <w:lang w:val="fr"/>
        </w:rPr>
        <w:t>’</w:t>
      </w:r>
      <w:r w:rsidRPr="005339C4">
        <w:rPr>
          <w:lang w:val="fr"/>
        </w:rPr>
        <w:t>exige l</w:t>
      </w:r>
      <w:r w:rsidR="007D1B10">
        <w:rPr>
          <w:lang w:val="fr"/>
        </w:rPr>
        <w:t>’</w:t>
      </w:r>
      <w:r w:rsidRPr="005339C4">
        <w:rPr>
          <w:lang w:val="fr"/>
        </w:rPr>
        <w:t>article 10 de la Convention. En d</w:t>
      </w:r>
      <w:r w:rsidR="007D1B10">
        <w:rPr>
          <w:lang w:val="fr"/>
        </w:rPr>
        <w:t>’</w:t>
      </w:r>
      <w:r w:rsidRPr="005339C4">
        <w:rPr>
          <w:lang w:val="fr"/>
        </w:rPr>
        <w:t xml:space="preserve">autres termes, ces fonds seront principalement utilisés pour des </w:t>
      </w:r>
      <w:r w:rsidRPr="005339C4">
        <w:rPr>
          <w:rStyle w:val="hps"/>
          <w:lang w:val="fr"/>
        </w:rPr>
        <w:t xml:space="preserve">actions en amont et transversales visant à </w:t>
      </w:r>
      <w:r w:rsidRPr="005339C4">
        <w:rPr>
          <w:lang w:val="fr"/>
        </w:rPr>
        <w:t>promouvoir les objectifs de la Convention et à encourager et suivre leur mise en œuvre (article 7</w:t>
      </w:r>
      <w:r w:rsidR="001E49CB" w:rsidRPr="005339C4">
        <w:rPr>
          <w:lang w:val="fr"/>
        </w:rPr>
        <w:t>[</w:t>
      </w:r>
      <w:r w:rsidRPr="005339C4">
        <w:rPr>
          <w:lang w:val="fr"/>
        </w:rPr>
        <w:t>a</w:t>
      </w:r>
      <w:r w:rsidR="001E49CB" w:rsidRPr="005339C4">
        <w:rPr>
          <w:lang w:val="fr"/>
        </w:rPr>
        <w:t>]</w:t>
      </w:r>
      <w:r w:rsidRPr="005339C4">
        <w:rPr>
          <w:lang w:val="fr"/>
        </w:rPr>
        <w:t>), ainsi qu</w:t>
      </w:r>
      <w:r w:rsidR="007D1B10">
        <w:rPr>
          <w:lang w:val="fr"/>
        </w:rPr>
        <w:t>’</w:t>
      </w:r>
      <w:r w:rsidRPr="005339C4">
        <w:rPr>
          <w:lang w:val="fr"/>
        </w:rPr>
        <w:t>à fournir des orientations sur les mesures de sauvegarde du patrimoine culturel immatériel (article 7</w:t>
      </w:r>
      <w:r w:rsidR="001E49CB" w:rsidRPr="005339C4">
        <w:rPr>
          <w:lang w:val="fr"/>
        </w:rPr>
        <w:t>[</w:t>
      </w:r>
      <w:r w:rsidRPr="005339C4">
        <w:rPr>
          <w:lang w:val="fr"/>
        </w:rPr>
        <w:t>b</w:t>
      </w:r>
      <w:r w:rsidR="001E49CB" w:rsidRPr="005339C4">
        <w:rPr>
          <w:lang w:val="fr"/>
        </w:rPr>
        <w:t>]</w:t>
      </w:r>
      <w:r w:rsidRPr="005339C4">
        <w:rPr>
          <w:lang w:val="fr"/>
        </w:rPr>
        <w:t>). Il est important de noter que si l</w:t>
      </w:r>
      <w:r w:rsidR="007D1B10">
        <w:rPr>
          <w:lang w:val="fr"/>
        </w:rPr>
        <w:t>’</w:t>
      </w:r>
      <w:r w:rsidRPr="005339C4">
        <w:rPr>
          <w:lang w:val="fr"/>
        </w:rPr>
        <w:t>allocation en pourcentage reste inchangée, le montant nominal de la ligne budgétaire 3 diminuera en raison de la réduction générale du montant disponible pour 2024</w:t>
      </w:r>
      <w:r w:rsidR="001E49CB" w:rsidRPr="005339C4">
        <w:rPr>
          <w:lang w:val="fr-FR"/>
        </w:rPr>
        <w:t>–</w:t>
      </w:r>
      <w:r w:rsidRPr="005339C4">
        <w:rPr>
          <w:lang w:val="fr"/>
        </w:rPr>
        <w:t xml:space="preserve">2025. </w:t>
      </w:r>
    </w:p>
    <w:p w14:paraId="2319D4A5" w14:textId="51B6C98D" w:rsidR="00C47FAB" w:rsidRPr="005339C4" w:rsidRDefault="00D22C1B" w:rsidP="00A21B55">
      <w:pPr>
        <w:pStyle w:val="COMPara"/>
        <w:tabs>
          <w:tab w:val="left" w:pos="567"/>
        </w:tabs>
        <w:ind w:left="567" w:hanging="567"/>
        <w:jc w:val="both"/>
        <w:rPr>
          <w:lang w:val="fr-FR"/>
        </w:rPr>
      </w:pPr>
      <w:r w:rsidRPr="005339C4">
        <w:rPr>
          <w:lang w:val="fr"/>
        </w:rPr>
        <w:t xml:space="preserve">Conformément à la décision </w:t>
      </w:r>
      <w:hyperlink r:id="rId31" w:history="1">
        <w:r w:rsidRPr="005339C4">
          <w:rPr>
            <w:rStyle w:val="Hyperlink"/>
            <w:lang w:val="fr"/>
          </w:rPr>
          <w:t>14.COM 7</w:t>
        </w:r>
      </w:hyperlink>
      <w:r w:rsidR="0015494B" w:rsidRPr="005339C4">
        <w:rPr>
          <w:rStyle w:val="Hyperlink"/>
          <w:lang w:val="fr"/>
        </w:rPr>
        <w:t> </w:t>
      </w:r>
      <w:r w:rsidR="0015494B" w:rsidRPr="005339C4">
        <w:rPr>
          <w:lang w:val="fr"/>
        </w:rPr>
        <w:t xml:space="preserve">, </w:t>
      </w:r>
      <w:r w:rsidRPr="005339C4">
        <w:rPr>
          <w:lang w:val="fr"/>
        </w:rPr>
        <w:t xml:space="preserve">la proposition de plan présentée au Comité comprend une ventilation en pourcentage de la ligne budgétaire 3 en termes de résultats escomptés (RE) conformément </w:t>
      </w:r>
      <w:r w:rsidR="004616AA" w:rsidRPr="005339C4">
        <w:rPr>
          <w:lang w:val="fr"/>
        </w:rPr>
        <w:t xml:space="preserve">aux produits approuvés </w:t>
      </w:r>
      <w:r w:rsidRPr="005339C4">
        <w:rPr>
          <w:lang w:val="fr"/>
        </w:rPr>
        <w:t xml:space="preserve">au C/5, en vue de </w:t>
      </w:r>
      <w:r w:rsidR="004616AA" w:rsidRPr="005339C4">
        <w:rPr>
          <w:lang w:val="fr"/>
        </w:rPr>
        <w:t>le</w:t>
      </w:r>
      <w:r w:rsidRPr="005339C4">
        <w:rPr>
          <w:lang w:val="fr"/>
        </w:rPr>
        <w:t xml:space="preserve"> présent</w:t>
      </w:r>
      <w:r w:rsidR="004616AA" w:rsidRPr="005339C4">
        <w:rPr>
          <w:lang w:val="fr"/>
        </w:rPr>
        <w:t>er</w:t>
      </w:r>
      <w:r w:rsidRPr="005339C4">
        <w:rPr>
          <w:lang w:val="fr"/>
        </w:rPr>
        <w:t xml:space="preserve"> pour approbation </w:t>
      </w:r>
      <w:r w:rsidR="004616AA" w:rsidRPr="005339C4">
        <w:rPr>
          <w:lang w:val="fr"/>
        </w:rPr>
        <w:t>à la</w:t>
      </w:r>
      <w:r w:rsidRPr="005339C4">
        <w:rPr>
          <w:lang w:val="fr"/>
        </w:rPr>
        <w:t xml:space="preserve"> session </w:t>
      </w:r>
      <w:r w:rsidR="004616AA" w:rsidRPr="005339C4">
        <w:rPr>
          <w:lang w:val="fr"/>
        </w:rPr>
        <w:t xml:space="preserve">suivante </w:t>
      </w:r>
      <w:r w:rsidRPr="005339C4">
        <w:rPr>
          <w:lang w:val="fr"/>
        </w:rPr>
        <w:t>de l</w:t>
      </w:r>
      <w:r w:rsidR="007D1B10">
        <w:rPr>
          <w:lang w:val="fr"/>
        </w:rPr>
        <w:t>’</w:t>
      </w:r>
      <w:r w:rsidRPr="005339C4">
        <w:rPr>
          <w:lang w:val="fr"/>
        </w:rPr>
        <w:t xml:space="preserve">Assemblée générale. Le </w:t>
      </w:r>
      <w:r w:rsidR="004616AA" w:rsidRPr="005339C4">
        <w:rPr>
          <w:lang w:val="fr"/>
        </w:rPr>
        <w:t>p</w:t>
      </w:r>
      <w:r w:rsidRPr="005339C4">
        <w:rPr>
          <w:lang w:val="fr"/>
        </w:rPr>
        <w:t xml:space="preserve">lan propose de diviser la ligne budgétaire 3 en deux RE - au lieu de quatre RE pour le présent exercice biennal - afin de mieux aligner les activités à mener par le Secrétariat sur les deux indicateurs de performance définis dans le </w:t>
      </w:r>
      <w:hyperlink r:id="rId32" w:history="1">
        <w:r w:rsidRPr="005339C4">
          <w:rPr>
            <w:rStyle w:val="Hyperlink"/>
            <w:lang w:val="fr"/>
          </w:rPr>
          <w:t>41 C/5</w:t>
        </w:r>
      </w:hyperlink>
      <w:r w:rsidRPr="005339C4">
        <w:rPr>
          <w:lang w:val="fr"/>
        </w:rPr>
        <w:t xml:space="preserve"> approuvé et le projet de </w:t>
      </w:r>
      <w:hyperlink r:id="rId33" w:history="1">
        <w:r w:rsidRPr="005339C4">
          <w:rPr>
            <w:rStyle w:val="Hyperlink"/>
            <w:lang w:val="fr"/>
          </w:rPr>
          <w:t>42 C/5</w:t>
        </w:r>
      </w:hyperlink>
      <w:r w:rsidRPr="005339C4">
        <w:rPr>
          <w:lang w:val="fr"/>
        </w:rPr>
        <w:t xml:space="preserve"> (Grand Programme IV</w:t>
      </w:r>
      <w:r w:rsidR="00417FAD" w:rsidRPr="005339C4">
        <w:rPr>
          <w:lang w:val="fr"/>
        </w:rPr>
        <w:t xml:space="preserve"> -</w:t>
      </w:r>
      <w:r w:rsidRPr="005339C4">
        <w:rPr>
          <w:lang w:val="fr"/>
        </w:rPr>
        <w:t xml:space="preserve"> Culture, Effet 5, Produit 5.CLT4 « Renforcement des capacités des États membres et des communautés en matière d</w:t>
      </w:r>
      <w:r w:rsidR="007D1B10">
        <w:rPr>
          <w:lang w:val="fr"/>
        </w:rPr>
        <w:t>’</w:t>
      </w:r>
      <w:r w:rsidRPr="005339C4">
        <w:rPr>
          <w:lang w:val="fr"/>
        </w:rPr>
        <w:t>identification, de sauvegarde et de promotion du patrimoine vivant »). La répartition de l</w:t>
      </w:r>
      <w:r w:rsidR="007D1B10">
        <w:rPr>
          <w:lang w:val="fr"/>
        </w:rPr>
        <w:t>’</w:t>
      </w:r>
      <w:r w:rsidRPr="005339C4">
        <w:rPr>
          <w:lang w:val="fr"/>
        </w:rPr>
        <w:t>allocation budgétaire entre les deux RE proposés est basée sur la répartition approuvée pour l</w:t>
      </w:r>
      <w:r w:rsidR="007D1B10">
        <w:rPr>
          <w:lang w:val="fr"/>
        </w:rPr>
        <w:t>’</w:t>
      </w:r>
      <w:r w:rsidRPr="005339C4">
        <w:rPr>
          <w:lang w:val="fr"/>
        </w:rPr>
        <w:t>exercice</w:t>
      </w:r>
      <w:r w:rsidR="00417FAD" w:rsidRPr="005339C4">
        <w:rPr>
          <w:lang w:val="fr"/>
        </w:rPr>
        <w:t xml:space="preserve"> biennal</w:t>
      </w:r>
      <w:r w:rsidRPr="005339C4">
        <w:rPr>
          <w:lang w:val="fr"/>
        </w:rPr>
        <w:t xml:space="preserve"> actuel, l</w:t>
      </w:r>
      <w:r w:rsidR="007D1B10">
        <w:rPr>
          <w:lang w:val="fr"/>
        </w:rPr>
        <w:t>’</w:t>
      </w:r>
      <w:r w:rsidRPr="005339C4">
        <w:rPr>
          <w:lang w:val="fr"/>
        </w:rPr>
        <w:t>allocation du nouveau RE 1 (52 %) représentant une combinaison des RE 2 et 3 actuels (respectivement 33 % et 19 %), tandis que l</w:t>
      </w:r>
      <w:r w:rsidR="007D1B10">
        <w:rPr>
          <w:lang w:val="fr"/>
        </w:rPr>
        <w:t>’</w:t>
      </w:r>
      <w:r w:rsidRPr="005339C4">
        <w:rPr>
          <w:lang w:val="fr"/>
        </w:rPr>
        <w:t>allocation du nouveau RE 2 (48 %) équivaut à la combinaison des RE 1 et 4 (respectivement 25 % et 23 %) dans l</w:t>
      </w:r>
      <w:r w:rsidR="00417FAD" w:rsidRPr="005339C4">
        <w:rPr>
          <w:lang w:val="fr"/>
        </w:rPr>
        <w:t xml:space="preserve">e présent </w:t>
      </w:r>
      <w:r w:rsidRPr="005339C4">
        <w:rPr>
          <w:lang w:val="fr"/>
        </w:rPr>
        <w:t xml:space="preserve">exercice </w:t>
      </w:r>
      <w:r w:rsidR="00417FAD" w:rsidRPr="005339C4">
        <w:rPr>
          <w:lang w:val="fr"/>
        </w:rPr>
        <w:t>biennal</w:t>
      </w:r>
      <w:r w:rsidRPr="005339C4">
        <w:rPr>
          <w:lang w:val="fr"/>
        </w:rPr>
        <w:t xml:space="preserve"> :</w:t>
      </w:r>
    </w:p>
    <w:tbl>
      <w:tblPr>
        <w:tblpPr w:leftFromText="141" w:rightFromText="141" w:vertAnchor="text" w:horzAnchor="margin" w:tblpY="74"/>
        <w:tblW w:w="9638" w:type="dxa"/>
        <w:tblLayout w:type="fixed"/>
        <w:tblLook w:val="04A0" w:firstRow="1" w:lastRow="0" w:firstColumn="1" w:lastColumn="0" w:noHBand="0" w:noVBand="1"/>
      </w:tblPr>
      <w:tblGrid>
        <w:gridCol w:w="3969"/>
        <w:gridCol w:w="850"/>
        <w:gridCol w:w="3969"/>
        <w:gridCol w:w="850"/>
      </w:tblGrid>
      <w:tr w:rsidR="00A859B4" w:rsidRPr="005339C4" w14:paraId="54621702" w14:textId="77777777" w:rsidTr="00A859B4">
        <w:trPr>
          <w:cantSplit/>
          <w:trHeight w:val="562"/>
        </w:trPr>
        <w:tc>
          <w:tcPr>
            <w:tcW w:w="3969" w:type="dxa"/>
            <w:shd w:val="clear" w:color="auto" w:fill="BFBFBF"/>
          </w:tcPr>
          <w:p w14:paraId="302269AE" w14:textId="77777777" w:rsidR="00A859B4" w:rsidRPr="005339C4" w:rsidRDefault="00A859B4" w:rsidP="00A859B4">
            <w:pPr>
              <w:keepNext/>
              <w:keepLines/>
              <w:spacing w:before="60" w:after="60"/>
              <w:ind w:left="567" w:hanging="567"/>
              <w:rPr>
                <w:rFonts w:ascii="Arial" w:hAnsi="Arial" w:cs="Arial"/>
                <w:b/>
                <w:sz w:val="20"/>
                <w:szCs w:val="20"/>
              </w:rPr>
            </w:pPr>
            <w:r w:rsidRPr="005339C4">
              <w:rPr>
                <w:rFonts w:ascii="Arial" w:hAnsi="Arial" w:cs="Arial"/>
                <w:b/>
                <w:bCs/>
                <w:sz w:val="20"/>
                <w:szCs w:val="20"/>
                <w:lang w:val="fr"/>
              </w:rPr>
              <w:t>Résultat escompté</w:t>
            </w:r>
          </w:p>
        </w:tc>
        <w:tc>
          <w:tcPr>
            <w:tcW w:w="850" w:type="dxa"/>
            <w:tcBorders>
              <w:right w:val="single" w:sz="4" w:space="0" w:color="auto"/>
            </w:tcBorders>
            <w:shd w:val="clear" w:color="auto" w:fill="BFBFBF"/>
            <w:vAlign w:val="center"/>
          </w:tcPr>
          <w:p w14:paraId="333D12E0" w14:textId="77777777" w:rsidR="00A859B4" w:rsidRPr="005339C4" w:rsidRDefault="00A859B4" w:rsidP="00A859B4">
            <w:pPr>
              <w:keepNext/>
              <w:spacing w:before="60" w:after="60"/>
              <w:ind w:left="567" w:hanging="567"/>
              <w:jc w:val="center"/>
              <w:rPr>
                <w:rFonts w:ascii="Arial" w:hAnsi="Arial" w:cs="Arial"/>
                <w:b/>
                <w:sz w:val="20"/>
                <w:szCs w:val="20"/>
              </w:rPr>
            </w:pPr>
            <w:r w:rsidRPr="005339C4">
              <w:rPr>
                <w:rFonts w:ascii="Arial" w:hAnsi="Arial" w:cs="Arial"/>
                <w:b/>
                <w:bCs/>
                <w:sz w:val="20"/>
                <w:szCs w:val="20"/>
                <w:lang w:val="fr"/>
              </w:rPr>
              <w:t>2022-</w:t>
            </w:r>
          </w:p>
          <w:p w14:paraId="4909ECF9" w14:textId="642D9117" w:rsidR="00A859B4" w:rsidRPr="005339C4" w:rsidRDefault="00A859B4" w:rsidP="00A859B4">
            <w:pPr>
              <w:keepNext/>
              <w:spacing w:before="60" w:after="60"/>
              <w:ind w:left="567" w:hanging="567"/>
              <w:jc w:val="center"/>
              <w:rPr>
                <w:rFonts w:ascii="Arial" w:hAnsi="Arial" w:cs="Arial"/>
                <w:b/>
                <w:sz w:val="20"/>
                <w:szCs w:val="20"/>
              </w:rPr>
            </w:pPr>
            <w:r w:rsidRPr="005339C4">
              <w:rPr>
                <w:rFonts w:ascii="Arial" w:hAnsi="Arial" w:cs="Arial"/>
                <w:b/>
                <w:bCs/>
                <w:sz w:val="20"/>
                <w:szCs w:val="20"/>
                <w:lang w:val="fr"/>
              </w:rPr>
              <w:t>2023</w:t>
            </w:r>
          </w:p>
        </w:tc>
        <w:tc>
          <w:tcPr>
            <w:tcW w:w="3969" w:type="dxa"/>
            <w:tcBorders>
              <w:left w:val="single" w:sz="4" w:space="0" w:color="auto"/>
            </w:tcBorders>
            <w:shd w:val="clear" w:color="auto" w:fill="BFBFBF"/>
          </w:tcPr>
          <w:p w14:paraId="1CD4DEE1" w14:textId="2C306325" w:rsidR="00A859B4" w:rsidRPr="005339C4" w:rsidRDefault="00A859B4" w:rsidP="00A859B4">
            <w:pPr>
              <w:keepNext/>
              <w:spacing w:before="60" w:after="60"/>
              <w:ind w:left="567" w:hanging="567"/>
              <w:rPr>
                <w:rFonts w:ascii="Arial" w:hAnsi="Arial" w:cs="Arial"/>
                <w:b/>
                <w:sz w:val="20"/>
                <w:szCs w:val="20"/>
              </w:rPr>
            </w:pPr>
            <w:r w:rsidRPr="005339C4">
              <w:rPr>
                <w:rFonts w:ascii="Arial" w:hAnsi="Arial" w:cs="Arial"/>
                <w:b/>
                <w:bCs/>
                <w:sz w:val="20"/>
                <w:szCs w:val="20"/>
                <w:lang w:val="fr"/>
              </w:rPr>
              <w:t>Résultat escompté</w:t>
            </w:r>
          </w:p>
        </w:tc>
        <w:tc>
          <w:tcPr>
            <w:tcW w:w="850" w:type="dxa"/>
            <w:shd w:val="clear" w:color="auto" w:fill="BFBFBF"/>
            <w:vAlign w:val="center"/>
          </w:tcPr>
          <w:p w14:paraId="2D773016" w14:textId="77777777" w:rsidR="00A859B4" w:rsidRPr="005339C4" w:rsidRDefault="00A859B4" w:rsidP="00A859B4">
            <w:pPr>
              <w:keepNext/>
              <w:spacing w:before="60" w:after="60"/>
              <w:ind w:left="567" w:hanging="567"/>
              <w:jc w:val="center"/>
              <w:rPr>
                <w:rFonts w:ascii="Arial" w:hAnsi="Arial" w:cs="Arial"/>
                <w:b/>
                <w:sz w:val="20"/>
                <w:szCs w:val="20"/>
              </w:rPr>
            </w:pPr>
            <w:r w:rsidRPr="005339C4">
              <w:rPr>
                <w:rFonts w:ascii="Arial" w:hAnsi="Arial" w:cs="Arial"/>
                <w:b/>
                <w:bCs/>
                <w:sz w:val="20"/>
                <w:szCs w:val="20"/>
                <w:lang w:val="fr"/>
              </w:rPr>
              <w:t>2024-</w:t>
            </w:r>
          </w:p>
          <w:p w14:paraId="507C875F" w14:textId="77777777" w:rsidR="00A859B4" w:rsidRPr="005339C4" w:rsidRDefault="00A859B4" w:rsidP="00A859B4">
            <w:pPr>
              <w:keepNext/>
              <w:spacing w:before="60" w:after="60"/>
              <w:ind w:left="567" w:hanging="567"/>
              <w:jc w:val="center"/>
              <w:rPr>
                <w:rFonts w:ascii="Arial" w:hAnsi="Arial" w:cs="Arial"/>
                <w:b/>
                <w:sz w:val="20"/>
                <w:szCs w:val="20"/>
              </w:rPr>
            </w:pPr>
            <w:r w:rsidRPr="005339C4">
              <w:rPr>
                <w:rFonts w:ascii="Arial" w:hAnsi="Arial" w:cs="Arial"/>
                <w:b/>
                <w:bCs/>
                <w:sz w:val="20"/>
                <w:szCs w:val="20"/>
                <w:lang w:val="fr"/>
              </w:rPr>
              <w:t>2025</w:t>
            </w:r>
          </w:p>
        </w:tc>
      </w:tr>
      <w:tr w:rsidR="00A859B4" w:rsidRPr="005339C4" w14:paraId="5713D4B8" w14:textId="77777777" w:rsidTr="00A859B4">
        <w:trPr>
          <w:cantSplit/>
          <w:trHeight w:val="691"/>
        </w:trPr>
        <w:tc>
          <w:tcPr>
            <w:tcW w:w="3969" w:type="dxa"/>
            <w:shd w:val="clear" w:color="auto" w:fill="FDE9D9" w:themeFill="accent6" w:themeFillTint="33"/>
          </w:tcPr>
          <w:p w14:paraId="52199D37" w14:textId="1369F94C" w:rsidR="00A859B4" w:rsidRPr="005339C4" w:rsidRDefault="00A859B4" w:rsidP="00A859B4">
            <w:pPr>
              <w:keepNext/>
              <w:spacing w:before="60" w:after="60"/>
              <w:ind w:left="567" w:hanging="567"/>
              <w:rPr>
                <w:rFonts w:ascii="Arial" w:hAnsi="Arial" w:cs="Arial"/>
                <w:sz w:val="20"/>
                <w:szCs w:val="20"/>
              </w:rPr>
            </w:pPr>
            <w:r w:rsidRPr="005339C4">
              <w:rPr>
                <w:rFonts w:ascii="Arial" w:hAnsi="Arial" w:cs="Arial"/>
                <w:sz w:val="20"/>
                <w:szCs w:val="20"/>
                <w:lang w:val="fr"/>
              </w:rPr>
              <w:t>RE 1 : Bonne gouvernance de la Convention de 2003 facilitée par l</w:t>
            </w:r>
            <w:r w:rsidR="007D1B10">
              <w:rPr>
                <w:rFonts w:ascii="Arial" w:hAnsi="Arial" w:cs="Arial"/>
                <w:sz w:val="20"/>
                <w:szCs w:val="20"/>
                <w:lang w:val="fr"/>
              </w:rPr>
              <w:t>’</w:t>
            </w:r>
            <w:r w:rsidRPr="005339C4">
              <w:rPr>
                <w:rFonts w:ascii="Arial" w:hAnsi="Arial" w:cs="Arial"/>
                <w:sz w:val="20"/>
                <w:szCs w:val="20"/>
                <w:lang w:val="fr"/>
              </w:rPr>
              <w:t>amélioration du suivi et des services de gestion des connaissances</w:t>
            </w:r>
          </w:p>
        </w:tc>
        <w:tc>
          <w:tcPr>
            <w:tcW w:w="850" w:type="dxa"/>
            <w:tcBorders>
              <w:right w:val="single" w:sz="4" w:space="0" w:color="auto"/>
            </w:tcBorders>
            <w:shd w:val="clear" w:color="auto" w:fill="FDE9D9" w:themeFill="accent6" w:themeFillTint="33"/>
          </w:tcPr>
          <w:p w14:paraId="3BB119A1" w14:textId="77777777" w:rsidR="00A859B4" w:rsidRPr="005339C4" w:rsidRDefault="00A859B4" w:rsidP="00A859B4">
            <w:pPr>
              <w:keepNext/>
              <w:spacing w:before="60" w:after="60"/>
              <w:ind w:left="567" w:hanging="567"/>
              <w:jc w:val="center"/>
              <w:rPr>
                <w:rFonts w:ascii="Arial" w:hAnsi="Arial" w:cs="Arial"/>
                <w:b/>
                <w:bCs/>
                <w:sz w:val="20"/>
                <w:szCs w:val="20"/>
              </w:rPr>
            </w:pPr>
            <w:r w:rsidRPr="005339C4">
              <w:rPr>
                <w:rFonts w:ascii="Arial" w:hAnsi="Arial" w:cs="Arial"/>
                <w:b/>
                <w:bCs/>
                <w:sz w:val="20"/>
                <w:szCs w:val="20"/>
                <w:lang w:val="fr"/>
              </w:rPr>
              <w:t>25 %</w:t>
            </w:r>
          </w:p>
        </w:tc>
        <w:tc>
          <w:tcPr>
            <w:tcW w:w="3969" w:type="dxa"/>
            <w:vMerge w:val="restart"/>
            <w:tcBorders>
              <w:left w:val="single" w:sz="4" w:space="0" w:color="auto"/>
            </w:tcBorders>
            <w:shd w:val="clear" w:color="auto" w:fill="DBE5F1" w:themeFill="accent1" w:themeFillTint="33"/>
          </w:tcPr>
          <w:p w14:paraId="3568A641" w14:textId="4B185913" w:rsidR="00A859B4" w:rsidRPr="005339C4" w:rsidRDefault="00A859B4" w:rsidP="00433ADE">
            <w:pPr>
              <w:keepNext/>
              <w:spacing w:before="60" w:after="60"/>
              <w:ind w:left="567" w:hanging="567"/>
              <w:rPr>
                <w:rFonts w:ascii="Arial" w:hAnsi="Arial" w:cs="Arial"/>
                <w:sz w:val="20"/>
                <w:szCs w:val="20"/>
              </w:rPr>
            </w:pPr>
            <w:r w:rsidRPr="005339C4">
              <w:rPr>
                <w:rFonts w:ascii="Arial" w:hAnsi="Arial" w:cs="Arial"/>
                <w:sz w:val="20"/>
                <w:szCs w:val="20"/>
                <w:lang w:val="fr"/>
              </w:rPr>
              <w:t>RE 1 : Mise en œuvre de la Convention encouragée grâce à un programme renforcé de renforcement des capacités et à l</w:t>
            </w:r>
            <w:r w:rsidR="007D1B10">
              <w:rPr>
                <w:rFonts w:ascii="Arial" w:hAnsi="Arial" w:cs="Arial"/>
                <w:sz w:val="20"/>
                <w:szCs w:val="20"/>
                <w:lang w:val="fr"/>
              </w:rPr>
              <w:t>’</w:t>
            </w:r>
            <w:r w:rsidRPr="005339C4">
              <w:rPr>
                <w:rFonts w:ascii="Arial" w:hAnsi="Arial" w:cs="Arial"/>
                <w:sz w:val="20"/>
                <w:szCs w:val="20"/>
                <w:lang w:val="fr"/>
              </w:rPr>
              <w:t>intégration du patrimoine culturel immatériel dans les plans, politiques et programmes de développement</w:t>
            </w:r>
            <w:r w:rsidRPr="005339C4">
              <w:rPr>
                <w:rStyle w:val="FootnoteReference"/>
                <w:rFonts w:ascii="Arial" w:hAnsi="Arial" w:cs="Arial"/>
                <w:sz w:val="20"/>
                <w:szCs w:val="20"/>
                <w:lang w:val="fr"/>
              </w:rPr>
              <w:footnoteReference w:id="4"/>
            </w:r>
            <w:r w:rsidRPr="005339C4">
              <w:rPr>
                <w:rFonts w:ascii="Arial" w:hAnsi="Arial" w:cs="Arial"/>
                <w:sz w:val="20"/>
                <w:szCs w:val="20"/>
                <w:lang w:val="fr"/>
              </w:rPr>
              <w:t xml:space="preserve"> </w:t>
            </w:r>
          </w:p>
        </w:tc>
        <w:tc>
          <w:tcPr>
            <w:tcW w:w="850" w:type="dxa"/>
            <w:vMerge w:val="restart"/>
            <w:shd w:val="clear" w:color="auto" w:fill="DBE5F1" w:themeFill="accent1" w:themeFillTint="33"/>
          </w:tcPr>
          <w:p w14:paraId="0ABEDC3D" w14:textId="77777777" w:rsidR="00A859B4" w:rsidRPr="005339C4" w:rsidRDefault="00A859B4" w:rsidP="00A859B4">
            <w:pPr>
              <w:keepNext/>
              <w:spacing w:before="60" w:after="60"/>
              <w:ind w:left="567" w:hanging="567"/>
              <w:jc w:val="center"/>
              <w:rPr>
                <w:rFonts w:ascii="Arial" w:hAnsi="Arial" w:cs="Arial"/>
                <w:b/>
                <w:bCs/>
                <w:sz w:val="20"/>
                <w:szCs w:val="20"/>
              </w:rPr>
            </w:pPr>
            <w:r w:rsidRPr="005339C4">
              <w:rPr>
                <w:rFonts w:ascii="Arial" w:hAnsi="Arial" w:cs="Arial"/>
                <w:b/>
                <w:bCs/>
                <w:sz w:val="20"/>
                <w:szCs w:val="20"/>
                <w:lang w:val="fr"/>
              </w:rPr>
              <w:t>52 %</w:t>
            </w:r>
          </w:p>
        </w:tc>
      </w:tr>
      <w:tr w:rsidR="00A859B4" w:rsidRPr="005339C4" w14:paraId="55315D93" w14:textId="77777777" w:rsidTr="00A859B4">
        <w:trPr>
          <w:cantSplit/>
          <w:trHeight w:val="767"/>
        </w:trPr>
        <w:tc>
          <w:tcPr>
            <w:tcW w:w="3969" w:type="dxa"/>
            <w:shd w:val="clear" w:color="auto" w:fill="DBE5F1" w:themeFill="accent1" w:themeFillTint="33"/>
          </w:tcPr>
          <w:p w14:paraId="2ED47867" w14:textId="77777777" w:rsidR="00A859B4" w:rsidRPr="005339C4" w:rsidRDefault="00A859B4" w:rsidP="00A859B4">
            <w:pPr>
              <w:keepNext/>
              <w:spacing w:before="60" w:after="60"/>
              <w:ind w:left="567" w:hanging="567"/>
              <w:rPr>
                <w:rFonts w:ascii="Arial" w:hAnsi="Arial" w:cs="Arial"/>
                <w:sz w:val="20"/>
                <w:szCs w:val="20"/>
              </w:rPr>
            </w:pPr>
            <w:r w:rsidRPr="005339C4">
              <w:rPr>
                <w:rFonts w:ascii="Arial" w:hAnsi="Arial" w:cs="Arial"/>
                <w:sz w:val="20"/>
                <w:szCs w:val="20"/>
                <w:lang w:val="fr"/>
              </w:rPr>
              <w:t xml:space="preserve">RE 2 : Mise en œuvre de la Convention dans les États membres encouragée par un programme de renforcement des capacités consolidé  </w:t>
            </w:r>
          </w:p>
        </w:tc>
        <w:tc>
          <w:tcPr>
            <w:tcW w:w="850" w:type="dxa"/>
            <w:tcBorders>
              <w:right w:val="single" w:sz="4" w:space="0" w:color="auto"/>
            </w:tcBorders>
            <w:shd w:val="clear" w:color="auto" w:fill="DBE5F1" w:themeFill="accent1" w:themeFillTint="33"/>
          </w:tcPr>
          <w:p w14:paraId="281BCDED" w14:textId="77777777" w:rsidR="00A859B4" w:rsidRPr="005339C4" w:rsidRDefault="00A859B4" w:rsidP="00A859B4">
            <w:pPr>
              <w:keepNext/>
              <w:spacing w:before="60" w:after="60"/>
              <w:ind w:left="567" w:hanging="567"/>
              <w:jc w:val="center"/>
              <w:rPr>
                <w:rFonts w:ascii="Arial" w:hAnsi="Arial" w:cs="Arial"/>
                <w:b/>
                <w:bCs/>
                <w:sz w:val="20"/>
                <w:szCs w:val="20"/>
              </w:rPr>
            </w:pPr>
            <w:r w:rsidRPr="005339C4">
              <w:rPr>
                <w:rFonts w:ascii="Arial" w:hAnsi="Arial" w:cs="Arial"/>
                <w:b/>
                <w:bCs/>
                <w:sz w:val="20"/>
                <w:szCs w:val="20"/>
                <w:lang w:val="fr"/>
              </w:rPr>
              <w:t>33 %</w:t>
            </w:r>
          </w:p>
        </w:tc>
        <w:tc>
          <w:tcPr>
            <w:tcW w:w="3969" w:type="dxa"/>
            <w:vMerge/>
            <w:tcBorders>
              <w:left w:val="single" w:sz="4" w:space="0" w:color="auto"/>
            </w:tcBorders>
            <w:shd w:val="clear" w:color="auto" w:fill="DBE5F1" w:themeFill="accent1" w:themeFillTint="33"/>
          </w:tcPr>
          <w:p w14:paraId="4DB7D404" w14:textId="77777777" w:rsidR="00A859B4" w:rsidRPr="005339C4" w:rsidRDefault="00A859B4" w:rsidP="00A859B4">
            <w:pPr>
              <w:keepNext/>
              <w:spacing w:before="60" w:after="60"/>
              <w:jc w:val="center"/>
              <w:rPr>
                <w:rFonts w:ascii="Arial" w:hAnsi="Arial" w:cs="Arial"/>
                <w:b/>
                <w:bCs/>
                <w:sz w:val="20"/>
                <w:szCs w:val="20"/>
              </w:rPr>
            </w:pPr>
          </w:p>
        </w:tc>
        <w:tc>
          <w:tcPr>
            <w:tcW w:w="850" w:type="dxa"/>
            <w:vMerge/>
            <w:shd w:val="clear" w:color="auto" w:fill="DBE5F1" w:themeFill="accent1" w:themeFillTint="33"/>
          </w:tcPr>
          <w:p w14:paraId="204D6BE8" w14:textId="77777777" w:rsidR="00A859B4" w:rsidRPr="005339C4" w:rsidRDefault="00A859B4" w:rsidP="00A859B4">
            <w:pPr>
              <w:keepNext/>
              <w:spacing w:before="60" w:after="60"/>
              <w:ind w:left="567" w:hanging="567"/>
              <w:jc w:val="center"/>
              <w:rPr>
                <w:rFonts w:ascii="Arial" w:hAnsi="Arial" w:cs="Arial"/>
                <w:b/>
                <w:bCs/>
                <w:sz w:val="20"/>
                <w:szCs w:val="20"/>
              </w:rPr>
            </w:pPr>
          </w:p>
        </w:tc>
      </w:tr>
      <w:tr w:rsidR="00A859B4" w:rsidRPr="005339C4" w14:paraId="7F4C6F3E" w14:textId="77777777" w:rsidTr="00A859B4">
        <w:trPr>
          <w:cantSplit/>
          <w:trHeight w:val="767"/>
        </w:trPr>
        <w:tc>
          <w:tcPr>
            <w:tcW w:w="3969" w:type="dxa"/>
            <w:shd w:val="clear" w:color="auto" w:fill="DBE5F1" w:themeFill="accent1" w:themeFillTint="33"/>
          </w:tcPr>
          <w:p w14:paraId="61DFB661" w14:textId="1AA31B21" w:rsidR="00A859B4" w:rsidRPr="005339C4" w:rsidRDefault="00A859B4" w:rsidP="00A859B4">
            <w:pPr>
              <w:keepNext/>
              <w:spacing w:before="60" w:after="60"/>
              <w:ind w:left="567" w:hanging="567"/>
              <w:rPr>
                <w:rFonts w:ascii="Arial" w:hAnsi="Arial" w:cs="Arial"/>
                <w:sz w:val="20"/>
                <w:szCs w:val="20"/>
              </w:rPr>
            </w:pPr>
            <w:r w:rsidRPr="005339C4">
              <w:rPr>
                <w:rFonts w:ascii="Arial" w:hAnsi="Arial" w:cs="Arial"/>
                <w:sz w:val="20"/>
                <w:szCs w:val="20"/>
                <w:lang w:val="fr"/>
              </w:rPr>
              <w:t>RE 3 : Appui à l</w:t>
            </w:r>
            <w:r w:rsidR="007D1B10">
              <w:rPr>
                <w:rFonts w:ascii="Arial" w:hAnsi="Arial" w:cs="Arial"/>
                <w:sz w:val="20"/>
                <w:szCs w:val="20"/>
                <w:lang w:val="fr"/>
              </w:rPr>
              <w:t>’</w:t>
            </w:r>
            <w:r w:rsidRPr="005339C4">
              <w:rPr>
                <w:rFonts w:ascii="Arial" w:hAnsi="Arial" w:cs="Arial"/>
                <w:sz w:val="20"/>
                <w:szCs w:val="20"/>
                <w:lang w:val="fr"/>
              </w:rPr>
              <w:t>intégration du patrimoine culturel immatériel dans les plans, politiques et programmes de développement</w:t>
            </w:r>
          </w:p>
        </w:tc>
        <w:tc>
          <w:tcPr>
            <w:tcW w:w="850" w:type="dxa"/>
            <w:tcBorders>
              <w:right w:val="single" w:sz="4" w:space="0" w:color="auto"/>
            </w:tcBorders>
            <w:shd w:val="clear" w:color="auto" w:fill="DBE5F1" w:themeFill="accent1" w:themeFillTint="33"/>
          </w:tcPr>
          <w:p w14:paraId="5E64893E" w14:textId="77777777" w:rsidR="00A859B4" w:rsidRPr="005339C4" w:rsidRDefault="00A859B4" w:rsidP="00A859B4">
            <w:pPr>
              <w:keepNext/>
              <w:spacing w:before="60" w:after="60"/>
              <w:ind w:left="567" w:hanging="567"/>
              <w:jc w:val="center"/>
              <w:rPr>
                <w:rFonts w:ascii="Arial" w:hAnsi="Arial" w:cs="Arial"/>
                <w:b/>
                <w:bCs/>
                <w:sz w:val="20"/>
                <w:szCs w:val="20"/>
              </w:rPr>
            </w:pPr>
            <w:r w:rsidRPr="005339C4">
              <w:rPr>
                <w:rFonts w:ascii="Arial" w:hAnsi="Arial" w:cs="Arial"/>
                <w:b/>
                <w:bCs/>
                <w:sz w:val="20"/>
                <w:szCs w:val="20"/>
                <w:lang w:val="fr"/>
              </w:rPr>
              <w:t>19 %</w:t>
            </w:r>
          </w:p>
        </w:tc>
        <w:tc>
          <w:tcPr>
            <w:tcW w:w="3969" w:type="dxa"/>
            <w:vMerge w:val="restart"/>
            <w:tcBorders>
              <w:left w:val="single" w:sz="4" w:space="0" w:color="auto"/>
            </w:tcBorders>
            <w:shd w:val="clear" w:color="auto" w:fill="FDE9D9" w:themeFill="accent6" w:themeFillTint="33"/>
          </w:tcPr>
          <w:p w14:paraId="4BF0BFA9" w14:textId="0BE4B82A" w:rsidR="00A859B4" w:rsidRPr="005339C4" w:rsidRDefault="00A859B4" w:rsidP="00433ADE">
            <w:pPr>
              <w:keepNext/>
              <w:spacing w:before="60" w:after="60"/>
              <w:ind w:left="567" w:hanging="567"/>
              <w:rPr>
                <w:rFonts w:ascii="Arial" w:hAnsi="Arial" w:cs="Arial"/>
                <w:i/>
                <w:iCs/>
                <w:sz w:val="20"/>
                <w:szCs w:val="20"/>
              </w:rPr>
            </w:pPr>
            <w:r w:rsidRPr="005339C4">
              <w:rPr>
                <w:rFonts w:ascii="Arial" w:hAnsi="Arial" w:cs="Arial"/>
                <w:sz w:val="20"/>
                <w:szCs w:val="20"/>
                <w:lang w:val="fr"/>
              </w:rPr>
              <w:t xml:space="preserve">RE 2 : Bonne gouvernance de la Convention facilitée par </w:t>
            </w:r>
            <w:r w:rsidR="003D5349" w:rsidRPr="005339C4">
              <w:rPr>
                <w:rFonts w:ascii="Arial" w:hAnsi="Arial" w:cs="Arial"/>
                <w:sz w:val="20"/>
                <w:szCs w:val="20"/>
                <w:lang w:val="fr"/>
              </w:rPr>
              <w:t>l</w:t>
            </w:r>
            <w:r w:rsidR="007D1B10">
              <w:rPr>
                <w:rFonts w:ascii="Arial" w:hAnsi="Arial" w:cs="Arial"/>
                <w:sz w:val="20"/>
                <w:szCs w:val="20"/>
                <w:lang w:val="fr"/>
              </w:rPr>
              <w:t>’</w:t>
            </w:r>
            <w:r w:rsidR="003D5349" w:rsidRPr="005339C4">
              <w:rPr>
                <w:rFonts w:ascii="Arial" w:hAnsi="Arial" w:cs="Arial"/>
                <w:sz w:val="20"/>
                <w:szCs w:val="20"/>
                <w:lang w:val="fr"/>
              </w:rPr>
              <w:t>amélioration du</w:t>
            </w:r>
            <w:r w:rsidRPr="005339C4">
              <w:rPr>
                <w:rFonts w:ascii="Arial" w:hAnsi="Arial" w:cs="Arial"/>
                <w:sz w:val="20"/>
                <w:szCs w:val="20"/>
                <w:lang w:val="fr"/>
              </w:rPr>
              <w:t xml:space="preserve"> suivi</w:t>
            </w:r>
            <w:r w:rsidR="003D5349" w:rsidRPr="005339C4">
              <w:rPr>
                <w:rFonts w:ascii="Arial" w:hAnsi="Arial" w:cs="Arial"/>
                <w:sz w:val="20"/>
                <w:szCs w:val="20"/>
                <w:lang w:val="fr"/>
              </w:rPr>
              <w:t>,</w:t>
            </w:r>
            <w:r w:rsidRPr="005339C4">
              <w:rPr>
                <w:rFonts w:ascii="Arial" w:hAnsi="Arial" w:cs="Arial"/>
                <w:sz w:val="20"/>
                <w:szCs w:val="20"/>
                <w:lang w:val="fr"/>
              </w:rPr>
              <w:t xml:space="preserve"> </w:t>
            </w:r>
            <w:r w:rsidR="003D5349" w:rsidRPr="005339C4">
              <w:rPr>
                <w:rFonts w:ascii="Arial" w:hAnsi="Arial" w:cs="Arial"/>
                <w:sz w:val="20"/>
                <w:szCs w:val="20"/>
                <w:lang w:val="fr"/>
              </w:rPr>
              <w:t>des</w:t>
            </w:r>
            <w:r w:rsidRPr="005339C4">
              <w:rPr>
                <w:rFonts w:ascii="Arial" w:hAnsi="Arial" w:cs="Arial"/>
                <w:sz w:val="20"/>
                <w:szCs w:val="20"/>
                <w:lang w:val="fr"/>
              </w:rPr>
              <w:t xml:space="preserve"> services de gestion des connaissances</w:t>
            </w:r>
            <w:r w:rsidR="003D5349" w:rsidRPr="005339C4">
              <w:rPr>
                <w:rFonts w:ascii="Arial" w:hAnsi="Arial" w:cs="Arial"/>
                <w:sz w:val="20"/>
                <w:szCs w:val="20"/>
                <w:lang w:val="fr"/>
              </w:rPr>
              <w:t xml:space="preserve"> et de</w:t>
            </w:r>
            <w:r w:rsidR="007164BB" w:rsidRPr="005339C4">
              <w:rPr>
                <w:rFonts w:ascii="Arial" w:hAnsi="Arial" w:cs="Arial"/>
                <w:sz w:val="20"/>
                <w:szCs w:val="20"/>
                <w:lang w:val="fr"/>
              </w:rPr>
              <w:t>s actions de</w:t>
            </w:r>
            <w:r w:rsidRPr="005339C4">
              <w:rPr>
                <w:rFonts w:ascii="Arial" w:hAnsi="Arial" w:cs="Arial"/>
                <w:sz w:val="20"/>
                <w:szCs w:val="20"/>
                <w:lang w:val="fr"/>
              </w:rPr>
              <w:t xml:space="preserve"> </w:t>
            </w:r>
            <w:proofErr w:type="gramStart"/>
            <w:r w:rsidRPr="005339C4">
              <w:rPr>
                <w:rFonts w:ascii="Arial" w:hAnsi="Arial" w:cs="Arial"/>
                <w:sz w:val="20"/>
                <w:szCs w:val="20"/>
                <w:lang w:val="fr"/>
              </w:rPr>
              <w:t>sensibilisation associé</w:t>
            </w:r>
            <w:r w:rsidR="007164BB" w:rsidRPr="005339C4">
              <w:rPr>
                <w:rFonts w:ascii="Arial" w:hAnsi="Arial" w:cs="Arial"/>
                <w:sz w:val="20"/>
                <w:szCs w:val="20"/>
                <w:lang w:val="fr"/>
              </w:rPr>
              <w:t>s</w:t>
            </w:r>
            <w:proofErr w:type="gramEnd"/>
            <w:r w:rsidRPr="005339C4">
              <w:rPr>
                <w:rFonts w:ascii="Arial" w:hAnsi="Arial" w:cs="Arial"/>
                <w:sz w:val="20"/>
                <w:szCs w:val="20"/>
                <w:lang w:val="fr"/>
              </w:rPr>
              <w:t xml:space="preserve"> aux mécanismes de coopération internationale</w:t>
            </w:r>
            <w:r w:rsidRPr="005339C4">
              <w:rPr>
                <w:rStyle w:val="FootnoteReference"/>
                <w:rFonts w:ascii="Arial" w:hAnsi="Arial" w:cs="Arial"/>
                <w:sz w:val="20"/>
                <w:szCs w:val="20"/>
                <w:lang w:val="fr"/>
              </w:rPr>
              <w:footnoteReference w:id="5"/>
            </w:r>
          </w:p>
        </w:tc>
        <w:tc>
          <w:tcPr>
            <w:tcW w:w="850" w:type="dxa"/>
            <w:vMerge w:val="restart"/>
            <w:shd w:val="clear" w:color="auto" w:fill="FDE9D9" w:themeFill="accent6" w:themeFillTint="33"/>
          </w:tcPr>
          <w:p w14:paraId="6DF58717" w14:textId="77777777" w:rsidR="00A859B4" w:rsidRPr="005339C4" w:rsidRDefault="00A859B4" w:rsidP="00A859B4">
            <w:pPr>
              <w:keepNext/>
              <w:spacing w:before="60" w:after="60"/>
              <w:ind w:left="567" w:hanging="567"/>
              <w:jc w:val="center"/>
              <w:rPr>
                <w:rFonts w:ascii="Arial" w:hAnsi="Arial" w:cs="Arial"/>
                <w:b/>
                <w:bCs/>
                <w:sz w:val="20"/>
                <w:szCs w:val="20"/>
              </w:rPr>
            </w:pPr>
            <w:r w:rsidRPr="005339C4">
              <w:rPr>
                <w:rFonts w:ascii="Arial" w:hAnsi="Arial" w:cs="Arial"/>
                <w:b/>
                <w:bCs/>
                <w:sz w:val="20"/>
                <w:szCs w:val="20"/>
                <w:lang w:val="fr"/>
              </w:rPr>
              <w:t>48 %</w:t>
            </w:r>
          </w:p>
        </w:tc>
      </w:tr>
      <w:tr w:rsidR="00A859B4" w:rsidRPr="005339C4" w14:paraId="08995B36" w14:textId="77777777" w:rsidTr="00A859B4">
        <w:trPr>
          <w:cantSplit/>
          <w:trHeight w:val="536"/>
        </w:trPr>
        <w:tc>
          <w:tcPr>
            <w:tcW w:w="3969" w:type="dxa"/>
            <w:shd w:val="clear" w:color="auto" w:fill="FDE9D9" w:themeFill="accent6" w:themeFillTint="33"/>
          </w:tcPr>
          <w:p w14:paraId="3254A153" w14:textId="40771635" w:rsidR="00A859B4" w:rsidRPr="005339C4" w:rsidRDefault="00A859B4" w:rsidP="00A859B4">
            <w:pPr>
              <w:keepNext/>
              <w:spacing w:before="60" w:after="60"/>
              <w:ind w:left="567" w:hanging="567"/>
              <w:rPr>
                <w:rFonts w:ascii="Arial" w:hAnsi="Arial" w:cs="Arial"/>
                <w:sz w:val="20"/>
                <w:szCs w:val="20"/>
              </w:rPr>
            </w:pPr>
            <w:r w:rsidRPr="005339C4">
              <w:rPr>
                <w:rFonts w:ascii="Arial" w:hAnsi="Arial" w:cs="Arial"/>
                <w:sz w:val="20"/>
                <w:szCs w:val="20"/>
                <w:lang w:val="fr"/>
              </w:rPr>
              <w:t>RE 4 : Promotion des objectifs de la Convention par des actions de sensibilisation et d</w:t>
            </w:r>
            <w:r w:rsidR="007D1B10">
              <w:rPr>
                <w:rFonts w:ascii="Arial" w:hAnsi="Arial" w:cs="Arial"/>
                <w:sz w:val="20"/>
                <w:szCs w:val="20"/>
                <w:lang w:val="fr"/>
              </w:rPr>
              <w:t>’</w:t>
            </w:r>
            <w:r w:rsidRPr="005339C4">
              <w:rPr>
                <w:rFonts w:ascii="Arial" w:hAnsi="Arial" w:cs="Arial"/>
                <w:sz w:val="20"/>
                <w:szCs w:val="20"/>
                <w:lang w:val="fr"/>
              </w:rPr>
              <w:t>information</w:t>
            </w:r>
          </w:p>
        </w:tc>
        <w:tc>
          <w:tcPr>
            <w:tcW w:w="850" w:type="dxa"/>
            <w:tcBorders>
              <w:right w:val="single" w:sz="4" w:space="0" w:color="auto"/>
            </w:tcBorders>
            <w:shd w:val="clear" w:color="auto" w:fill="FDE9D9" w:themeFill="accent6" w:themeFillTint="33"/>
          </w:tcPr>
          <w:p w14:paraId="73BDB41B" w14:textId="77777777" w:rsidR="00A859B4" w:rsidRPr="005339C4" w:rsidRDefault="00A859B4" w:rsidP="00A859B4">
            <w:pPr>
              <w:keepNext/>
              <w:spacing w:before="60" w:after="60"/>
              <w:ind w:left="567" w:hanging="567"/>
              <w:jc w:val="center"/>
              <w:rPr>
                <w:rFonts w:ascii="Arial" w:hAnsi="Arial" w:cs="Arial"/>
                <w:b/>
                <w:bCs/>
                <w:sz w:val="20"/>
                <w:szCs w:val="20"/>
              </w:rPr>
            </w:pPr>
            <w:r w:rsidRPr="005339C4">
              <w:rPr>
                <w:rFonts w:ascii="Arial" w:hAnsi="Arial" w:cs="Arial"/>
                <w:b/>
                <w:bCs/>
                <w:sz w:val="20"/>
                <w:szCs w:val="20"/>
                <w:lang w:val="fr"/>
              </w:rPr>
              <w:t>23 %</w:t>
            </w:r>
          </w:p>
        </w:tc>
        <w:tc>
          <w:tcPr>
            <w:tcW w:w="3969" w:type="dxa"/>
            <w:vMerge/>
            <w:tcBorders>
              <w:left w:val="single" w:sz="4" w:space="0" w:color="auto"/>
            </w:tcBorders>
            <w:shd w:val="clear" w:color="auto" w:fill="FDE9D9" w:themeFill="accent6" w:themeFillTint="33"/>
          </w:tcPr>
          <w:p w14:paraId="4FB37089" w14:textId="77777777" w:rsidR="00A859B4" w:rsidRPr="005339C4" w:rsidRDefault="00A859B4" w:rsidP="00A859B4">
            <w:pPr>
              <w:keepNext/>
              <w:spacing w:before="60" w:after="60"/>
              <w:ind w:left="567" w:hanging="567"/>
              <w:jc w:val="center"/>
              <w:rPr>
                <w:rFonts w:ascii="Arial" w:hAnsi="Arial" w:cs="Arial"/>
                <w:b/>
                <w:bCs/>
                <w:sz w:val="20"/>
                <w:szCs w:val="20"/>
              </w:rPr>
            </w:pPr>
          </w:p>
        </w:tc>
        <w:tc>
          <w:tcPr>
            <w:tcW w:w="850" w:type="dxa"/>
            <w:vMerge/>
            <w:shd w:val="clear" w:color="auto" w:fill="FDE9D9" w:themeFill="accent6" w:themeFillTint="33"/>
          </w:tcPr>
          <w:p w14:paraId="31F11402" w14:textId="77777777" w:rsidR="00A859B4" w:rsidRPr="005339C4" w:rsidRDefault="00A859B4" w:rsidP="00A859B4">
            <w:pPr>
              <w:keepNext/>
              <w:spacing w:before="60" w:after="60"/>
              <w:ind w:left="567" w:hanging="567"/>
              <w:jc w:val="center"/>
              <w:rPr>
                <w:rFonts w:ascii="Arial" w:hAnsi="Arial" w:cs="Arial"/>
                <w:b/>
                <w:bCs/>
                <w:sz w:val="20"/>
                <w:szCs w:val="20"/>
              </w:rPr>
            </w:pPr>
          </w:p>
        </w:tc>
      </w:tr>
    </w:tbl>
    <w:p w14:paraId="68C7A940" w14:textId="4801F0CD" w:rsidR="003A066A" w:rsidRPr="005339C4" w:rsidRDefault="003A066A" w:rsidP="002967ED">
      <w:pPr>
        <w:pStyle w:val="COMPara"/>
        <w:numPr>
          <w:ilvl w:val="0"/>
          <w:numId w:val="0"/>
        </w:numPr>
        <w:tabs>
          <w:tab w:val="left" w:pos="567"/>
        </w:tabs>
        <w:jc w:val="both"/>
      </w:pPr>
    </w:p>
    <w:p w14:paraId="6ED20E52" w14:textId="59AB523F" w:rsidR="005F5322" w:rsidRPr="005339C4" w:rsidRDefault="005F5322" w:rsidP="00433ADE">
      <w:pPr>
        <w:pStyle w:val="COMPara"/>
        <w:ind w:left="567" w:hanging="567"/>
        <w:jc w:val="both"/>
        <w:rPr>
          <w:lang w:val="fr-FR"/>
        </w:rPr>
      </w:pPr>
      <w:r w:rsidRPr="005339C4">
        <w:rPr>
          <w:lang w:val="fr"/>
        </w:rPr>
        <w:t xml:space="preserve">Conformément </w:t>
      </w:r>
      <w:r w:rsidR="00C942C3" w:rsidRPr="005339C4">
        <w:rPr>
          <w:lang w:val="fr"/>
        </w:rPr>
        <w:t xml:space="preserve">aux précédentes décisions </w:t>
      </w:r>
      <w:r w:rsidRPr="005339C4">
        <w:rPr>
          <w:lang w:val="fr"/>
        </w:rPr>
        <w:t xml:space="preserve">du Comité (la plus récente étant la décision </w:t>
      </w:r>
      <w:hyperlink r:id="rId34" w:history="1">
        <w:r w:rsidRPr="005339C4">
          <w:rPr>
            <w:rStyle w:val="Hyperlink"/>
            <w:lang w:val="fr"/>
          </w:rPr>
          <w:t>16.COM 13</w:t>
        </w:r>
      </w:hyperlink>
      <w:r w:rsidRPr="005339C4">
        <w:rPr>
          <w:lang w:val="fr"/>
        </w:rPr>
        <w:t xml:space="preserve">), il est proposé que le Comité autorise le Secrétariat à </w:t>
      </w:r>
      <w:r w:rsidR="00C942C3" w:rsidRPr="005339C4">
        <w:rPr>
          <w:lang w:val="fr"/>
        </w:rPr>
        <w:t>opérer des</w:t>
      </w:r>
      <w:r w:rsidRPr="005339C4">
        <w:rPr>
          <w:lang w:val="fr"/>
        </w:rPr>
        <w:t xml:space="preserve"> transfert</w:t>
      </w:r>
      <w:r w:rsidR="00C942C3" w:rsidRPr="005339C4">
        <w:rPr>
          <w:lang w:val="fr"/>
        </w:rPr>
        <w:t>s</w:t>
      </w:r>
      <w:r w:rsidRPr="005339C4">
        <w:rPr>
          <w:lang w:val="fr"/>
        </w:rPr>
        <w:t xml:space="preserve"> entre les résultats escomptés au sein de la ligne budgétaire 3. Conformément à la </w:t>
      </w:r>
      <w:hyperlink r:id="rId35" w:history="1">
        <w:r w:rsidRPr="005339C4">
          <w:rPr>
            <w:rStyle w:val="Hyperlink"/>
            <w:lang w:val="fr"/>
          </w:rPr>
          <w:t>résolution 41 C/76</w:t>
        </w:r>
      </w:hyperlink>
      <w:r w:rsidRPr="005339C4">
        <w:rPr>
          <w:lang w:val="fr"/>
        </w:rPr>
        <w:t xml:space="preserve"> (paragraphe 5 (b)) adoptée par la Conférence générale </w:t>
      </w:r>
      <w:r w:rsidR="000521A6" w:rsidRPr="005339C4">
        <w:rPr>
          <w:lang w:val="fr"/>
        </w:rPr>
        <w:t xml:space="preserve">lors de </w:t>
      </w:r>
      <w:r w:rsidRPr="005339C4">
        <w:rPr>
          <w:lang w:val="fr"/>
        </w:rPr>
        <w:t xml:space="preserve">sa </w:t>
      </w:r>
      <w:r w:rsidR="001E49CB" w:rsidRPr="005339C4">
        <w:rPr>
          <w:lang w:val="fr"/>
        </w:rPr>
        <w:t>41e</w:t>
      </w:r>
      <w:r w:rsidRPr="005339C4">
        <w:rPr>
          <w:lang w:val="fr"/>
        </w:rPr>
        <w:t xml:space="preserve"> session en novembre 2021</w:t>
      </w:r>
      <w:r w:rsidRPr="005339C4">
        <w:rPr>
          <w:rStyle w:val="FootnoteReference"/>
          <w:lang w:val="fr"/>
        </w:rPr>
        <w:footnoteReference w:id="6"/>
      </w:r>
      <w:r w:rsidRPr="005339C4">
        <w:rPr>
          <w:lang w:val="fr"/>
        </w:rPr>
        <w:t xml:space="preserve">, autorisant la Directrice générale à opérer des </w:t>
      </w:r>
      <w:r w:rsidR="00FA217A" w:rsidRPr="005339C4">
        <w:rPr>
          <w:lang w:val="fr"/>
        </w:rPr>
        <w:t>transferts</w:t>
      </w:r>
      <w:r w:rsidRPr="005339C4">
        <w:rPr>
          <w:lang w:val="fr"/>
        </w:rPr>
        <w:t xml:space="preserve"> </w:t>
      </w:r>
      <w:r w:rsidR="00FA217A" w:rsidRPr="005339C4">
        <w:rPr>
          <w:lang w:val="fr"/>
        </w:rPr>
        <w:t>entre les lignes de crédit</w:t>
      </w:r>
      <w:r w:rsidRPr="005339C4">
        <w:rPr>
          <w:lang w:val="fr"/>
        </w:rPr>
        <w:t xml:space="preserve"> du Programme ordinaire de l</w:t>
      </w:r>
      <w:r w:rsidR="007D1B10">
        <w:rPr>
          <w:lang w:val="fr"/>
        </w:rPr>
        <w:t>’</w:t>
      </w:r>
      <w:r w:rsidRPr="005339C4">
        <w:rPr>
          <w:lang w:val="fr"/>
        </w:rPr>
        <w:t xml:space="preserve">UNESCO dans la limite de 5 % </w:t>
      </w:r>
      <w:r w:rsidR="00FA217A" w:rsidRPr="005339C4">
        <w:rPr>
          <w:lang w:val="fr"/>
        </w:rPr>
        <w:t>du</w:t>
      </w:r>
      <w:r w:rsidRPr="005339C4">
        <w:rPr>
          <w:lang w:val="fr"/>
        </w:rPr>
        <w:t xml:space="preserve"> crédit initial au titre du 41 C/5, le projet de décision propose en conséquence que ces transferts puissent être </w:t>
      </w:r>
      <w:r w:rsidR="00FA217A" w:rsidRPr="005339C4">
        <w:rPr>
          <w:lang w:val="fr"/>
        </w:rPr>
        <w:t>réalisés</w:t>
      </w:r>
      <w:r w:rsidRPr="005339C4">
        <w:rPr>
          <w:lang w:val="fr"/>
        </w:rPr>
        <w:t xml:space="preserve"> jusqu</w:t>
      </w:r>
      <w:r w:rsidR="007D1B10">
        <w:rPr>
          <w:lang w:val="fr"/>
        </w:rPr>
        <w:t>’</w:t>
      </w:r>
      <w:r w:rsidRPr="005339C4">
        <w:rPr>
          <w:lang w:val="fr"/>
        </w:rPr>
        <w:t>à un montant cumulé équivalent à 5 % de l</w:t>
      </w:r>
      <w:r w:rsidR="007D1B10">
        <w:rPr>
          <w:lang w:val="fr"/>
        </w:rPr>
        <w:t>’</w:t>
      </w:r>
      <w:r w:rsidRPr="005339C4">
        <w:rPr>
          <w:lang w:val="fr"/>
        </w:rPr>
        <w:t xml:space="preserve">allocation </w:t>
      </w:r>
      <w:r w:rsidR="00BE4A5A" w:rsidRPr="005339C4">
        <w:rPr>
          <w:lang w:val="fr"/>
        </w:rPr>
        <w:t xml:space="preserve">initiale </w:t>
      </w:r>
      <w:r w:rsidRPr="005339C4">
        <w:rPr>
          <w:lang w:val="fr"/>
        </w:rPr>
        <w:t>totale susceptible d</w:t>
      </w:r>
      <w:r w:rsidR="007D1B10">
        <w:rPr>
          <w:lang w:val="fr"/>
        </w:rPr>
        <w:t>’</w:t>
      </w:r>
      <w:r w:rsidRPr="005339C4">
        <w:rPr>
          <w:lang w:val="fr"/>
        </w:rPr>
        <w:t>être proposée à la prochaine session de l</w:t>
      </w:r>
      <w:r w:rsidR="007D1B10">
        <w:rPr>
          <w:lang w:val="fr"/>
        </w:rPr>
        <w:t>’</w:t>
      </w:r>
      <w:r w:rsidRPr="005339C4">
        <w:rPr>
          <w:lang w:val="fr"/>
        </w:rPr>
        <w:t>Assemblée générale. Le Secrétariat informera le Comité par écrit, lors de la session suivant cette action, des détails et des raisons de ces transferts, s</w:t>
      </w:r>
      <w:r w:rsidR="007D1B10">
        <w:rPr>
          <w:lang w:val="fr"/>
        </w:rPr>
        <w:t>’</w:t>
      </w:r>
      <w:r w:rsidRPr="005339C4">
        <w:rPr>
          <w:lang w:val="fr"/>
        </w:rPr>
        <w:t>ils ont lieu.</w:t>
      </w:r>
    </w:p>
    <w:p w14:paraId="6F93402B" w14:textId="534DA99A" w:rsidR="002B4891" w:rsidRPr="005339C4" w:rsidRDefault="002B4891" w:rsidP="002B4891">
      <w:pPr>
        <w:pStyle w:val="GAPara"/>
        <w:keepNext/>
        <w:numPr>
          <w:ilvl w:val="0"/>
          <w:numId w:val="0"/>
        </w:numPr>
        <w:spacing w:before="240"/>
        <w:ind w:left="567"/>
        <w:jc w:val="both"/>
        <w:rPr>
          <w:b/>
          <w:bCs/>
          <w:lang w:val="fr-FR"/>
        </w:rPr>
      </w:pPr>
      <w:bookmarkStart w:id="6" w:name="_Hlk147503358"/>
      <w:r w:rsidRPr="005339C4">
        <w:rPr>
          <w:b/>
          <w:bCs/>
          <w:lang w:val="fr"/>
        </w:rPr>
        <w:t>Résultat escompté 1 : Mise en œuvre de la Convention encouragée grâce à un programme renforcé de renforcement des capacités et à l</w:t>
      </w:r>
      <w:r w:rsidR="007D1B10">
        <w:rPr>
          <w:b/>
          <w:bCs/>
          <w:lang w:val="fr"/>
        </w:rPr>
        <w:t>’</w:t>
      </w:r>
      <w:r w:rsidRPr="005339C4">
        <w:rPr>
          <w:b/>
          <w:bCs/>
          <w:lang w:val="fr"/>
        </w:rPr>
        <w:t>intégration du patrimoine culturel immatériel dans les plans, politiques et programmes de développement</w:t>
      </w:r>
    </w:p>
    <w:bookmarkEnd w:id="6"/>
    <w:p w14:paraId="600EB464" w14:textId="557E65A5" w:rsidR="00E63856" w:rsidRPr="005339C4" w:rsidRDefault="00E63856" w:rsidP="00E63856">
      <w:pPr>
        <w:pStyle w:val="COMPara"/>
        <w:ind w:left="567" w:hanging="567"/>
        <w:jc w:val="both"/>
        <w:rPr>
          <w:lang w:val="fr-FR"/>
        </w:rPr>
      </w:pPr>
      <w:r w:rsidRPr="005339C4">
        <w:rPr>
          <w:lang w:val="fr"/>
        </w:rPr>
        <w:t>Le Secrétariat continuer</w:t>
      </w:r>
      <w:r w:rsidR="00353745" w:rsidRPr="005339C4">
        <w:rPr>
          <w:lang w:val="fr"/>
        </w:rPr>
        <w:t>a</w:t>
      </w:r>
      <w:r w:rsidRPr="005339C4">
        <w:rPr>
          <w:lang w:val="fr"/>
        </w:rPr>
        <w:t xml:space="preserve"> à fournir des orientations et un soutien en amont, en s</w:t>
      </w:r>
      <w:r w:rsidR="007D1B10">
        <w:rPr>
          <w:lang w:val="fr"/>
        </w:rPr>
        <w:t>’</w:t>
      </w:r>
      <w:r w:rsidRPr="005339C4">
        <w:rPr>
          <w:lang w:val="fr"/>
        </w:rPr>
        <w:t>appuyant sur les résultats de la réflexion entreprise à l</w:t>
      </w:r>
      <w:r w:rsidR="007D1B10">
        <w:rPr>
          <w:lang w:val="fr"/>
        </w:rPr>
        <w:t>’</w:t>
      </w:r>
      <w:r w:rsidRPr="005339C4">
        <w:rPr>
          <w:lang w:val="fr"/>
        </w:rPr>
        <w:t xml:space="preserve">occasion du vingtième anniversaire de la Convention, notamment </w:t>
      </w:r>
      <w:hyperlink r:id="rId36" w:history="1">
        <w:r w:rsidRPr="005339C4">
          <w:rPr>
            <w:rStyle w:val="Hyperlink"/>
            <w:u w:val="none"/>
            <w:lang w:val="fr"/>
          </w:rPr>
          <w:t>l</w:t>
        </w:r>
        <w:r w:rsidRPr="005339C4">
          <w:rPr>
            <w:rStyle w:val="Hyperlink"/>
            <w:lang w:val="fr"/>
          </w:rPr>
          <w:t>a vision de Seoul pour l</w:t>
        </w:r>
        <w:r w:rsidR="007D1B10">
          <w:rPr>
            <w:rStyle w:val="Hyperlink"/>
            <w:lang w:val="fr"/>
          </w:rPr>
          <w:t>’</w:t>
        </w:r>
        <w:r w:rsidRPr="005339C4">
          <w:rPr>
            <w:rStyle w:val="Hyperlink"/>
            <w:lang w:val="fr"/>
          </w:rPr>
          <w:t>avenir de la sauvegarde du patrimoine vivant pour le développement durable et la paix</w:t>
        </w:r>
      </w:hyperlink>
      <w:r w:rsidRPr="005339C4">
        <w:rPr>
          <w:lang w:val="fr"/>
        </w:rPr>
        <w:t xml:space="preserve"> (2023), et conformément à la </w:t>
      </w:r>
      <w:hyperlink r:id="rId37" w:history="1">
        <w:r w:rsidRPr="005339C4">
          <w:rPr>
            <w:rStyle w:val="Hyperlink"/>
            <w:lang w:val="fr"/>
          </w:rPr>
          <w:t>déclaration de MONDIACULT 2022 sur les politiques culturelles et le développement durable</w:t>
        </w:r>
      </w:hyperlink>
      <w:r w:rsidRPr="005339C4">
        <w:rPr>
          <w:lang w:val="fr"/>
        </w:rPr>
        <w:t xml:space="preserve">. En outre, il (a) </w:t>
      </w:r>
      <w:r w:rsidR="00057D95" w:rsidRPr="005339C4">
        <w:rPr>
          <w:lang w:val="fr"/>
        </w:rPr>
        <w:t>renforcera</w:t>
      </w:r>
      <w:r w:rsidRPr="005339C4">
        <w:rPr>
          <w:lang w:val="fr"/>
        </w:rPr>
        <w:t xml:space="preserve"> le programme mondial de renforcement des capacités pour répondre à l</w:t>
      </w:r>
      <w:r w:rsidR="007D1B10">
        <w:rPr>
          <w:lang w:val="fr"/>
        </w:rPr>
        <w:t>’</w:t>
      </w:r>
      <w:r w:rsidRPr="005339C4">
        <w:rPr>
          <w:lang w:val="fr"/>
        </w:rPr>
        <w:t xml:space="preserve">évolution des besoins des pays en matière de sauvegarde du patrimoine vivant et (b) il poursuivra les initiatives thématiques </w:t>
      </w:r>
      <w:r w:rsidRPr="005339C4">
        <w:rPr>
          <w:color w:val="212121"/>
          <w:shd w:val="clear" w:color="auto" w:fill="FFFFFF"/>
          <w:lang w:val="fr"/>
        </w:rPr>
        <w:t xml:space="preserve">sur le patrimoine vivant et le développement durable, en particulier </w:t>
      </w:r>
      <w:r w:rsidRPr="005339C4">
        <w:rPr>
          <w:lang w:val="fr"/>
        </w:rPr>
        <w:t>dans les domaines prioritaires définis par le Comité. Pour assurer une portée maximale au programme de renforcement des capacités, des efforts seront déployés pour continuer à développer des contenus et des outils de formation adaptés aux modalités hybrides, en élargissant la portée du programme à de nouveaux publics et en renforçant la mise en réseau et l</w:t>
      </w:r>
      <w:r w:rsidR="007D1B10">
        <w:rPr>
          <w:lang w:val="fr"/>
        </w:rPr>
        <w:t>’</w:t>
      </w:r>
      <w:r w:rsidRPr="005339C4">
        <w:rPr>
          <w:lang w:val="fr"/>
        </w:rPr>
        <w:t>échange de connaissances grâce à l</w:t>
      </w:r>
      <w:r w:rsidR="007D1B10">
        <w:rPr>
          <w:lang w:val="fr"/>
        </w:rPr>
        <w:t>’</w:t>
      </w:r>
      <w:r w:rsidRPr="005339C4">
        <w:rPr>
          <w:lang w:val="fr"/>
        </w:rPr>
        <w:t>utilisation de la plateforme de gestion de l</w:t>
      </w:r>
      <w:r w:rsidR="007D1B10">
        <w:rPr>
          <w:lang w:val="fr"/>
        </w:rPr>
        <w:t>’</w:t>
      </w:r>
      <w:r w:rsidRPr="005339C4">
        <w:rPr>
          <w:lang w:val="fr"/>
        </w:rPr>
        <w:t>apprentissage. Il renforcera notamment l</w:t>
      </w:r>
      <w:r w:rsidR="007D1B10">
        <w:rPr>
          <w:lang w:val="fr"/>
        </w:rPr>
        <w:t>’</w:t>
      </w:r>
      <w:r w:rsidRPr="005339C4">
        <w:rPr>
          <w:lang w:val="fr"/>
        </w:rPr>
        <w:t>expertise thématique du réseau de facilitateurs afin qu</w:t>
      </w:r>
      <w:r w:rsidR="007D1B10">
        <w:rPr>
          <w:lang w:val="fr"/>
        </w:rPr>
        <w:t>’</w:t>
      </w:r>
      <w:r w:rsidRPr="005339C4">
        <w:rPr>
          <w:lang w:val="fr"/>
        </w:rPr>
        <w:t>il soit en mesure de répondre à la demande de renforcement des capacités dans des domaines thématiques. Le Secrétariat travaillera en outre sur la sauvegarde du patrimoine vivant dans l</w:t>
      </w:r>
      <w:r w:rsidR="007D1B10">
        <w:rPr>
          <w:lang w:val="fr"/>
        </w:rPr>
        <w:t>’</w:t>
      </w:r>
      <w:r w:rsidRPr="005339C4">
        <w:rPr>
          <w:lang w:val="fr"/>
        </w:rPr>
        <w:t>environnement numérique afin de renforcer les connaissances et l</w:t>
      </w:r>
      <w:r w:rsidR="007D1B10">
        <w:rPr>
          <w:lang w:val="fr"/>
        </w:rPr>
        <w:t>’</w:t>
      </w:r>
      <w:r w:rsidRPr="005339C4">
        <w:rPr>
          <w:lang w:val="fr"/>
        </w:rPr>
        <w:t xml:space="preserve">expertise dans ce domaine et de poursuivre le soutien au renforcement des capacités des États et des communautés (Recommandations 8 et 9 de </w:t>
      </w:r>
      <w:hyperlink r:id="rId38" w:history="1">
        <w:r w:rsidRPr="005339C4">
          <w:rPr>
            <w:rStyle w:val="Hyperlink"/>
            <w:u w:val="none"/>
            <w:lang w:val="fr"/>
          </w:rPr>
          <w:t>l</w:t>
        </w:r>
        <w:r w:rsidR="007D1B10">
          <w:rPr>
            <w:rStyle w:val="Hyperlink"/>
            <w:u w:val="none"/>
            <w:lang w:val="fr"/>
          </w:rPr>
          <w:t>’</w:t>
        </w:r>
        <w:r w:rsidRPr="005339C4">
          <w:rPr>
            <w:rStyle w:val="Hyperlink"/>
            <w:lang w:val="fr"/>
          </w:rPr>
          <w:t>évaluation de l</w:t>
        </w:r>
        <w:r w:rsidR="007D1B10">
          <w:rPr>
            <w:rStyle w:val="Hyperlink"/>
            <w:lang w:val="fr"/>
          </w:rPr>
          <w:t>’</w:t>
        </w:r>
        <w:r w:rsidRPr="005339C4">
          <w:rPr>
            <w:rStyle w:val="Hyperlink"/>
            <w:lang w:val="fr"/>
          </w:rPr>
          <w:t>IOS 2021</w:t>
        </w:r>
      </w:hyperlink>
      <w:r w:rsidRPr="005339C4">
        <w:rPr>
          <w:lang w:val="fr"/>
        </w:rPr>
        <w:t>).</w:t>
      </w:r>
    </w:p>
    <w:p w14:paraId="16E90308" w14:textId="707C750D" w:rsidR="00E96C7B" w:rsidRPr="005339C4" w:rsidRDefault="00C47AB4" w:rsidP="003C4BE9">
      <w:pPr>
        <w:pStyle w:val="COMPara"/>
        <w:ind w:left="567" w:hanging="567"/>
        <w:jc w:val="both"/>
        <w:rPr>
          <w:lang w:val="fr-FR"/>
        </w:rPr>
      </w:pPr>
      <w:r w:rsidRPr="005339C4">
        <w:rPr>
          <w:lang w:val="fr"/>
        </w:rPr>
        <w:t>En réponse à la recommandation 3 de l</w:t>
      </w:r>
      <w:r w:rsidR="007D1B10">
        <w:rPr>
          <w:lang w:val="fr"/>
        </w:rPr>
        <w:t>’</w:t>
      </w:r>
      <w:hyperlink r:id="rId39" w:history="1">
        <w:r w:rsidRPr="005339C4">
          <w:rPr>
            <w:rStyle w:val="Hyperlink"/>
            <w:lang w:val="fr"/>
          </w:rPr>
          <w:t>évaluation de l</w:t>
        </w:r>
        <w:r w:rsidR="007D1B10">
          <w:rPr>
            <w:rStyle w:val="Hyperlink"/>
            <w:lang w:val="fr"/>
          </w:rPr>
          <w:t>’</w:t>
        </w:r>
        <w:r w:rsidRPr="005339C4">
          <w:rPr>
            <w:rStyle w:val="Hyperlink"/>
            <w:lang w:val="fr"/>
          </w:rPr>
          <w:t>IOS 2021</w:t>
        </w:r>
      </w:hyperlink>
      <w:r w:rsidRPr="005339C4">
        <w:rPr>
          <w:lang w:val="fr"/>
        </w:rPr>
        <w:t xml:space="preserve"> pour s</w:t>
      </w:r>
      <w:r w:rsidR="007D1B10">
        <w:rPr>
          <w:lang w:val="fr"/>
        </w:rPr>
        <w:t>’</w:t>
      </w:r>
      <w:r w:rsidRPr="005339C4">
        <w:rPr>
          <w:lang w:val="fr"/>
        </w:rPr>
        <w:t>attaquer aux domaines thématiques prioritaires</w:t>
      </w:r>
      <w:r w:rsidR="00914EB7" w:rsidRPr="005339C4">
        <w:rPr>
          <w:lang w:val="fr"/>
        </w:rPr>
        <w:t xml:space="preserve"> de la Convention</w:t>
      </w:r>
      <w:r w:rsidRPr="005339C4">
        <w:rPr>
          <w:lang w:val="fr"/>
        </w:rPr>
        <w:t xml:space="preserve"> et relever les défis actuels pour le développement durable et la paix, le Secrétariat a l</w:t>
      </w:r>
      <w:r w:rsidR="007D1B10">
        <w:rPr>
          <w:lang w:val="fr"/>
        </w:rPr>
        <w:t>’</w:t>
      </w:r>
      <w:r w:rsidRPr="005339C4">
        <w:rPr>
          <w:lang w:val="fr"/>
        </w:rPr>
        <w:t>intention de poursuivre ses travaux sur « </w:t>
      </w:r>
      <w:hyperlink r:id="rId40" w:history="1">
        <w:r w:rsidRPr="005339C4">
          <w:rPr>
            <w:rStyle w:val="Hyperlink"/>
            <w:u w:val="none"/>
            <w:lang w:val="fr"/>
          </w:rPr>
          <w:t>l</w:t>
        </w:r>
        <w:r w:rsidRPr="005339C4">
          <w:rPr>
            <w:rStyle w:val="Hyperlink"/>
            <w:lang w:val="fr"/>
          </w:rPr>
          <w:t>es dimensions économiques de la sauvegarde du patrimoine culturel immatériel</w:t>
        </w:r>
      </w:hyperlink>
      <w:r w:rsidRPr="005339C4">
        <w:rPr>
          <w:u w:val="single"/>
          <w:lang w:val="fr"/>
        </w:rPr>
        <w:t> »</w:t>
      </w:r>
      <w:r w:rsidRPr="005339C4">
        <w:rPr>
          <w:lang w:val="fr"/>
        </w:rPr>
        <w:t xml:space="preserve"> sur la base de la réunion d</w:t>
      </w:r>
      <w:r w:rsidR="007D1B10">
        <w:rPr>
          <w:lang w:val="fr"/>
        </w:rPr>
        <w:t>’</w:t>
      </w:r>
      <w:r w:rsidRPr="005339C4">
        <w:rPr>
          <w:lang w:val="fr"/>
        </w:rPr>
        <w:t xml:space="preserve">experts de catégorie VI tenue en septembre et octobre 2023, </w:t>
      </w:r>
      <w:r w:rsidR="00914EB7" w:rsidRPr="005339C4">
        <w:rPr>
          <w:lang w:val="fr"/>
        </w:rPr>
        <w:t>« </w:t>
      </w:r>
      <w:r w:rsidRPr="005339C4">
        <w:rPr>
          <w:lang w:val="fr"/>
        </w:rPr>
        <w:t xml:space="preserve">la sauvegarde du patrimoine culturel immatériel et le changement climatique » et sur « la sauvegarde du patrimoine culturel immatériel dans les contextes urbains » (voir le document </w:t>
      </w:r>
      <w:hyperlink r:id="rId41" w:history="1">
        <w:r w:rsidRPr="005339C4">
          <w:rPr>
            <w:rStyle w:val="Hyperlink"/>
            <w:lang w:val="fr"/>
          </w:rPr>
          <w:t>LHE/23/18.COM/12</w:t>
        </w:r>
      </w:hyperlink>
      <w:r w:rsidRPr="005339C4">
        <w:rPr>
          <w:lang w:val="fr"/>
        </w:rPr>
        <w:t>)</w:t>
      </w:r>
      <w:r w:rsidR="00914EB7" w:rsidRPr="005339C4">
        <w:rPr>
          <w:lang w:val="fr"/>
        </w:rPr>
        <w:t>.</w:t>
      </w:r>
      <w:r w:rsidRPr="005339C4">
        <w:rPr>
          <w:lang w:val="fr"/>
        </w:rPr>
        <w:t xml:space="preserve"> </w:t>
      </w:r>
      <w:r w:rsidR="00914EB7" w:rsidRPr="005339C4">
        <w:rPr>
          <w:lang w:val="fr"/>
        </w:rPr>
        <w:t>En outre, des efforts seront déployés pour</w:t>
      </w:r>
      <w:r w:rsidRPr="005339C4">
        <w:rPr>
          <w:lang w:val="fr"/>
        </w:rPr>
        <w:t xml:space="preserve"> poursuiv</w:t>
      </w:r>
      <w:r w:rsidR="00914EB7" w:rsidRPr="005339C4">
        <w:rPr>
          <w:lang w:val="fr"/>
        </w:rPr>
        <w:t>re</w:t>
      </w:r>
      <w:r w:rsidRPr="005339C4">
        <w:rPr>
          <w:lang w:val="fr"/>
        </w:rPr>
        <w:t xml:space="preserve"> ses travaux sur « </w:t>
      </w:r>
      <w:hyperlink r:id="rId42" w:history="1">
        <w:r w:rsidRPr="005339C4">
          <w:rPr>
            <w:rStyle w:val="Hyperlink"/>
            <w:lang w:val="fr"/>
          </w:rPr>
          <w:t>le patrimoine vivant en situation d</w:t>
        </w:r>
        <w:r w:rsidR="007D1B10">
          <w:rPr>
            <w:rStyle w:val="Hyperlink"/>
            <w:lang w:val="fr"/>
          </w:rPr>
          <w:t>’</w:t>
        </w:r>
        <w:r w:rsidRPr="005339C4">
          <w:rPr>
            <w:rStyle w:val="Hyperlink"/>
            <w:lang w:val="fr"/>
          </w:rPr>
          <w:t>urgence »</w:t>
        </w:r>
      </w:hyperlink>
      <w:r w:rsidRPr="005339C4">
        <w:rPr>
          <w:lang w:val="fr"/>
        </w:rPr>
        <w:t xml:space="preserve"> et « la </w:t>
      </w:r>
      <w:hyperlink r:id="rId43" w:history="1">
        <w:r w:rsidRPr="005339C4">
          <w:rPr>
            <w:rStyle w:val="Hyperlink"/>
            <w:lang w:val="fr"/>
          </w:rPr>
          <w:t>sauvegarde du patrimoine culturel immatériel dans l</w:t>
        </w:r>
        <w:r w:rsidR="007D1B10">
          <w:rPr>
            <w:rStyle w:val="Hyperlink"/>
            <w:lang w:val="fr"/>
          </w:rPr>
          <w:t>’</w:t>
        </w:r>
        <w:r w:rsidRPr="005339C4">
          <w:rPr>
            <w:rStyle w:val="Hyperlink"/>
            <w:lang w:val="fr"/>
          </w:rPr>
          <w:t>éducation formelle et non formelle</w:t>
        </w:r>
      </w:hyperlink>
      <w:r w:rsidRPr="005339C4">
        <w:rPr>
          <w:u w:val="single"/>
          <w:lang w:val="fr"/>
        </w:rPr>
        <w:t> »</w:t>
      </w:r>
      <w:r w:rsidRPr="005339C4">
        <w:rPr>
          <w:lang w:val="fr"/>
        </w:rPr>
        <w:t>. Les actions menées au cours du prochain exercice biennal comprendront des réunions d</w:t>
      </w:r>
      <w:r w:rsidR="007D1B10">
        <w:rPr>
          <w:lang w:val="fr"/>
        </w:rPr>
        <w:t>’</w:t>
      </w:r>
      <w:r w:rsidRPr="005339C4">
        <w:rPr>
          <w:lang w:val="fr"/>
        </w:rPr>
        <w:t>experts, l</w:t>
      </w:r>
      <w:r w:rsidR="007D1B10">
        <w:rPr>
          <w:lang w:val="fr"/>
        </w:rPr>
        <w:t>’</w:t>
      </w:r>
      <w:r w:rsidRPr="005339C4">
        <w:rPr>
          <w:lang w:val="fr"/>
        </w:rPr>
        <w:t>élaboration de documents d</w:t>
      </w:r>
      <w:r w:rsidR="007D1B10">
        <w:rPr>
          <w:lang w:val="fr"/>
        </w:rPr>
        <w:t>’</w:t>
      </w:r>
      <w:r w:rsidRPr="005339C4">
        <w:rPr>
          <w:lang w:val="fr"/>
        </w:rPr>
        <w:t>orientation et la mise en place de formations, tout en renforçant les synergies avec d</w:t>
      </w:r>
      <w:r w:rsidR="007D1B10">
        <w:rPr>
          <w:lang w:val="fr"/>
        </w:rPr>
        <w:t>’</w:t>
      </w:r>
      <w:r w:rsidRPr="005339C4">
        <w:rPr>
          <w:lang w:val="fr"/>
        </w:rPr>
        <w:t xml:space="preserve">autres conventions culturelles, des secteurs de programme ainsi que des organisations, des cadres et des mécanismes internationaux pertinents. </w:t>
      </w:r>
    </w:p>
    <w:p w14:paraId="35009D51" w14:textId="26A8DC96" w:rsidR="002B4891" w:rsidRPr="005339C4" w:rsidRDefault="002B4891" w:rsidP="00433ADE">
      <w:pPr>
        <w:pStyle w:val="COMPara"/>
        <w:numPr>
          <w:ilvl w:val="0"/>
          <w:numId w:val="0"/>
        </w:numPr>
        <w:ind w:left="567"/>
        <w:jc w:val="both"/>
        <w:rPr>
          <w:b/>
          <w:bCs/>
          <w:lang w:val="fr-FR"/>
        </w:rPr>
      </w:pPr>
      <w:r w:rsidRPr="005339C4">
        <w:rPr>
          <w:b/>
          <w:bCs/>
          <w:lang w:val="fr"/>
        </w:rPr>
        <w:t>Résultat escompté 2 :</w:t>
      </w:r>
      <w:r w:rsidRPr="005339C4">
        <w:rPr>
          <w:lang w:val="fr"/>
        </w:rPr>
        <w:t xml:space="preserve"> </w:t>
      </w:r>
      <w:r w:rsidRPr="005339C4">
        <w:rPr>
          <w:b/>
          <w:bCs/>
          <w:lang w:val="fr"/>
        </w:rPr>
        <w:t xml:space="preserve">Bonne gouvernance de la Convention facilitée par </w:t>
      </w:r>
      <w:r w:rsidR="00A17B6E" w:rsidRPr="005339C4">
        <w:rPr>
          <w:b/>
          <w:bCs/>
          <w:lang w:val="fr"/>
        </w:rPr>
        <w:t>l</w:t>
      </w:r>
      <w:r w:rsidR="007D1B10">
        <w:rPr>
          <w:b/>
          <w:bCs/>
          <w:lang w:val="fr"/>
        </w:rPr>
        <w:t>’</w:t>
      </w:r>
      <w:r w:rsidR="00A17B6E" w:rsidRPr="005339C4">
        <w:rPr>
          <w:b/>
          <w:bCs/>
          <w:lang w:val="fr"/>
        </w:rPr>
        <w:t>amélioration d</w:t>
      </w:r>
      <w:r w:rsidRPr="005339C4">
        <w:rPr>
          <w:b/>
          <w:bCs/>
          <w:lang w:val="fr"/>
        </w:rPr>
        <w:t xml:space="preserve">u suivi, des services de gestion des connaissances et </w:t>
      </w:r>
      <w:r w:rsidR="00A17B6E" w:rsidRPr="005339C4">
        <w:rPr>
          <w:b/>
          <w:bCs/>
          <w:lang w:val="fr"/>
        </w:rPr>
        <w:t>de</w:t>
      </w:r>
      <w:r w:rsidR="007164BB" w:rsidRPr="005339C4">
        <w:rPr>
          <w:b/>
          <w:bCs/>
          <w:lang w:val="fr"/>
        </w:rPr>
        <w:t>s actions de</w:t>
      </w:r>
      <w:r w:rsidRPr="005339C4">
        <w:rPr>
          <w:b/>
          <w:bCs/>
          <w:lang w:val="fr"/>
        </w:rPr>
        <w:t xml:space="preserve"> </w:t>
      </w:r>
      <w:proofErr w:type="gramStart"/>
      <w:r w:rsidRPr="005339C4">
        <w:rPr>
          <w:b/>
          <w:bCs/>
          <w:lang w:val="fr"/>
        </w:rPr>
        <w:t>sensibilisation associé</w:t>
      </w:r>
      <w:r w:rsidR="007164BB" w:rsidRPr="005339C4">
        <w:rPr>
          <w:b/>
          <w:bCs/>
          <w:lang w:val="fr"/>
        </w:rPr>
        <w:t>s</w:t>
      </w:r>
      <w:proofErr w:type="gramEnd"/>
      <w:r w:rsidRPr="005339C4">
        <w:rPr>
          <w:b/>
          <w:bCs/>
          <w:lang w:val="fr"/>
        </w:rPr>
        <w:t xml:space="preserve"> aux mécanismes de coopération internationale</w:t>
      </w:r>
      <w:r w:rsidRPr="005339C4">
        <w:rPr>
          <w:lang w:val="fr"/>
        </w:rPr>
        <w:t xml:space="preserve"> </w:t>
      </w:r>
    </w:p>
    <w:p w14:paraId="3DD1D506" w14:textId="1116CA9E" w:rsidR="007A3992" w:rsidRPr="005339C4" w:rsidRDefault="00E63856" w:rsidP="00433ADE">
      <w:pPr>
        <w:pStyle w:val="COMPara"/>
        <w:ind w:left="567" w:hanging="567"/>
        <w:jc w:val="both"/>
        <w:rPr>
          <w:lang w:val="fr-FR"/>
        </w:rPr>
      </w:pPr>
      <w:r w:rsidRPr="005339C4">
        <w:rPr>
          <w:lang w:val="fr"/>
        </w:rPr>
        <w:t>Le maintien de la bonne gouvernance reste une priorité pour assurer la mise en œuvre effective de la Convention. Pour continuer à fournir un soutien adéquat aux organes directeurs de la Convention et aux États, des mesures seront prises pour renforcer les mécanismes de coopération internationale de la Convention, notamment les rapports périodiques, l</w:t>
      </w:r>
      <w:r w:rsidR="007D1B10">
        <w:rPr>
          <w:lang w:val="fr"/>
        </w:rPr>
        <w:t>’</w:t>
      </w:r>
      <w:r w:rsidRPr="005339C4">
        <w:rPr>
          <w:lang w:val="fr"/>
        </w:rPr>
        <w:t>assistance internationale et les mécanismes d</w:t>
      </w:r>
      <w:r w:rsidR="007D1B10">
        <w:rPr>
          <w:lang w:val="fr"/>
        </w:rPr>
        <w:t>’</w:t>
      </w:r>
      <w:r w:rsidRPr="005339C4">
        <w:rPr>
          <w:lang w:val="fr"/>
        </w:rPr>
        <w:t>inscription sur la liste, conformément aux recommandations 2, 5 et 6 de l</w:t>
      </w:r>
      <w:r w:rsidR="007D1B10">
        <w:rPr>
          <w:lang w:val="fr"/>
        </w:rPr>
        <w:t>’</w:t>
      </w:r>
      <w:hyperlink r:id="rId44" w:history="1">
        <w:r w:rsidRPr="005339C4">
          <w:rPr>
            <w:rStyle w:val="Hyperlink"/>
            <w:lang w:val="fr"/>
          </w:rPr>
          <w:t>évaluation de l</w:t>
        </w:r>
        <w:r w:rsidR="007D1B10">
          <w:rPr>
            <w:rStyle w:val="Hyperlink"/>
            <w:lang w:val="fr"/>
          </w:rPr>
          <w:t>’</w:t>
        </w:r>
        <w:r w:rsidRPr="005339C4">
          <w:rPr>
            <w:rStyle w:val="Hyperlink"/>
            <w:lang w:val="fr"/>
          </w:rPr>
          <w:t>IOS 2021</w:t>
        </w:r>
      </w:hyperlink>
      <w:r w:rsidRPr="005339C4">
        <w:rPr>
          <w:lang w:val="fr"/>
        </w:rPr>
        <w:t>. Dans le cadre de l</w:t>
      </w:r>
      <w:r w:rsidR="007D1B10">
        <w:rPr>
          <w:lang w:val="fr"/>
        </w:rPr>
        <w:t>’</w:t>
      </w:r>
      <w:r w:rsidRPr="005339C4">
        <w:rPr>
          <w:lang w:val="fr"/>
        </w:rPr>
        <w:t>initiative du Secteur de la culture de l</w:t>
      </w:r>
      <w:r w:rsidR="007D1B10">
        <w:rPr>
          <w:lang w:val="fr"/>
        </w:rPr>
        <w:t>’</w:t>
      </w:r>
      <w:r w:rsidRPr="005339C4">
        <w:rPr>
          <w:lang w:val="fr"/>
        </w:rPr>
        <w:t>UNESCO visant à produire un rapport global quadriennal sur les politiques culturelles et reconnaissant le rôle clé des données pour aiguiller les efforts des autorités et des communautés dans la sauvegarde du patrimoine vivant ainsi que pour mettre en évidence le rôle du patrimoine vivant en faveur du développement durable, l</w:t>
      </w:r>
      <w:r w:rsidR="007D1B10">
        <w:rPr>
          <w:lang w:val="fr"/>
        </w:rPr>
        <w:t>’</w:t>
      </w:r>
      <w:r w:rsidRPr="005339C4">
        <w:rPr>
          <w:lang w:val="fr"/>
        </w:rPr>
        <w:t>analyse des informations collectées par le biais des mécanismes de rapport périodique, y compris pendant l</w:t>
      </w:r>
      <w:r w:rsidR="007D1B10">
        <w:rPr>
          <w:lang w:val="fr"/>
        </w:rPr>
        <w:t>’</w:t>
      </w:r>
      <w:r w:rsidRPr="005339C4">
        <w:rPr>
          <w:lang w:val="fr"/>
        </w:rPr>
        <w:t>année de réflexion, sera effectuée et présentée aux sessions correspondantes des organes directeurs. En outre, en s</w:t>
      </w:r>
      <w:r w:rsidR="007D1B10">
        <w:rPr>
          <w:lang w:val="fr"/>
        </w:rPr>
        <w:t>’</w:t>
      </w:r>
      <w:r w:rsidRPr="005339C4">
        <w:rPr>
          <w:lang w:val="fr"/>
        </w:rPr>
        <w:t>appuyant sur l</w:t>
      </w:r>
      <w:r w:rsidR="007D1B10">
        <w:rPr>
          <w:lang w:val="fr"/>
        </w:rPr>
        <w:t>’</w:t>
      </w:r>
      <w:r w:rsidRPr="005339C4">
        <w:rPr>
          <w:lang w:val="fr"/>
        </w:rPr>
        <w:t>opérationnalisation accrue des mécanismes d</w:t>
      </w:r>
      <w:r w:rsidR="007D1B10">
        <w:rPr>
          <w:lang w:val="fr"/>
        </w:rPr>
        <w:t>’</w:t>
      </w:r>
      <w:r w:rsidRPr="005339C4">
        <w:rPr>
          <w:lang w:val="fr"/>
        </w:rPr>
        <w:t xml:space="preserve">assistance internationale, comme le montre le taux élevé de dépenses au cours </w:t>
      </w:r>
      <w:r w:rsidR="00A17B6E" w:rsidRPr="005339C4">
        <w:rPr>
          <w:lang w:val="fr"/>
        </w:rPr>
        <w:t xml:space="preserve">du présent </w:t>
      </w:r>
      <w:r w:rsidRPr="005339C4">
        <w:rPr>
          <w:lang w:val="fr"/>
        </w:rPr>
        <w:t xml:space="preserve">exercice </w:t>
      </w:r>
      <w:r w:rsidR="00A17B6E" w:rsidRPr="005339C4">
        <w:rPr>
          <w:lang w:val="fr"/>
        </w:rPr>
        <w:t>biennal</w:t>
      </w:r>
      <w:r w:rsidRPr="005339C4">
        <w:rPr>
          <w:lang w:val="fr"/>
        </w:rPr>
        <w:t>, le Secrétariat poursuivra ses efforts en amont pour promouvoir l</w:t>
      </w:r>
      <w:r w:rsidR="007D1B10">
        <w:rPr>
          <w:lang w:val="fr"/>
        </w:rPr>
        <w:t>’</w:t>
      </w:r>
      <w:r w:rsidRPr="005339C4">
        <w:rPr>
          <w:lang w:val="fr"/>
        </w:rPr>
        <w:t>assistance internationale, y compris l</w:t>
      </w:r>
      <w:r w:rsidR="007D1B10">
        <w:rPr>
          <w:lang w:val="fr"/>
        </w:rPr>
        <w:t>’</w:t>
      </w:r>
      <w:r w:rsidRPr="005339C4">
        <w:rPr>
          <w:lang w:val="fr"/>
        </w:rPr>
        <w:t>expansion potentielle de l</w:t>
      </w:r>
      <w:r w:rsidR="007D1B10">
        <w:rPr>
          <w:lang w:val="fr"/>
        </w:rPr>
        <w:t>’</w:t>
      </w:r>
      <w:r w:rsidRPr="005339C4">
        <w:rPr>
          <w:lang w:val="fr"/>
        </w:rPr>
        <w:t xml:space="preserve">assistance préparatoire (voir le document </w:t>
      </w:r>
      <w:hyperlink r:id="rId45" w:history="1">
        <w:r w:rsidRPr="005339C4">
          <w:rPr>
            <w:rStyle w:val="Hyperlink"/>
            <w:lang w:val="fr"/>
          </w:rPr>
          <w:t>LHE/23/18.COM/10</w:t>
        </w:r>
      </w:hyperlink>
      <w:r w:rsidRPr="005339C4">
        <w:rPr>
          <w:lang w:val="fr"/>
        </w:rPr>
        <w:t>), afin d</w:t>
      </w:r>
      <w:r w:rsidR="007D1B10">
        <w:rPr>
          <w:lang w:val="fr"/>
        </w:rPr>
        <w:t>’</w:t>
      </w:r>
      <w:r w:rsidRPr="005339C4">
        <w:rPr>
          <w:lang w:val="fr"/>
        </w:rPr>
        <w:t>encourager la soumission de demandes et de contribuer à l</w:t>
      </w:r>
      <w:r w:rsidR="007D1B10">
        <w:rPr>
          <w:lang w:val="fr"/>
        </w:rPr>
        <w:t>’</w:t>
      </w:r>
      <w:r w:rsidRPr="005339C4">
        <w:rPr>
          <w:lang w:val="fr"/>
        </w:rPr>
        <w:t xml:space="preserve">augmentation de la représentation géographique sur les </w:t>
      </w:r>
      <w:r w:rsidR="00A17B6E" w:rsidRPr="005339C4">
        <w:rPr>
          <w:lang w:val="fr"/>
        </w:rPr>
        <w:t>L</w:t>
      </w:r>
      <w:r w:rsidRPr="005339C4">
        <w:rPr>
          <w:lang w:val="fr"/>
        </w:rPr>
        <w:t xml:space="preserve">istes de la Convention. </w:t>
      </w:r>
      <w:r w:rsidR="00A17B6E" w:rsidRPr="005339C4">
        <w:rPr>
          <w:lang w:val="fr"/>
        </w:rPr>
        <w:t xml:space="preserve">En outre, le Secrétariat mènera des actions en amont pour continuer </w:t>
      </w:r>
      <w:r w:rsidR="00D02E8C" w:rsidRPr="005339C4">
        <w:rPr>
          <w:lang w:val="fr"/>
        </w:rPr>
        <w:t xml:space="preserve">la sensibilisation aux </w:t>
      </w:r>
      <w:r w:rsidR="00A17B6E" w:rsidRPr="005339C4">
        <w:rPr>
          <w:lang w:val="fr"/>
        </w:rPr>
        <w:t xml:space="preserve">Listes et </w:t>
      </w:r>
      <w:r w:rsidR="00D02E8C" w:rsidRPr="005339C4">
        <w:rPr>
          <w:lang w:val="fr"/>
        </w:rPr>
        <w:t>au</w:t>
      </w:r>
      <w:r w:rsidR="00A17B6E" w:rsidRPr="005339C4">
        <w:rPr>
          <w:lang w:val="fr"/>
        </w:rPr>
        <w:t xml:space="preserve"> Registre de la Convention, notamment pour mieux faire comprendre l</w:t>
      </w:r>
      <w:r w:rsidR="007D1B10">
        <w:rPr>
          <w:lang w:val="fr"/>
        </w:rPr>
        <w:t>’</w:t>
      </w:r>
      <w:r w:rsidR="00A17B6E" w:rsidRPr="005339C4">
        <w:rPr>
          <w:lang w:val="fr"/>
        </w:rPr>
        <w:t xml:space="preserve">impact des inscriptions sur les éléments et les communautés qui y sont associés. </w:t>
      </w:r>
      <w:r w:rsidR="00213F12" w:rsidRPr="005339C4">
        <w:rPr>
          <w:lang w:val="fr"/>
        </w:rPr>
        <w:t>E</w:t>
      </w:r>
      <w:r w:rsidRPr="005339C4">
        <w:rPr>
          <w:lang w:val="fr"/>
        </w:rPr>
        <w:t>n vue de renforcer la mise en œuvre de l</w:t>
      </w:r>
      <w:r w:rsidR="007D1B10">
        <w:rPr>
          <w:lang w:val="fr"/>
        </w:rPr>
        <w:t>’</w:t>
      </w:r>
      <w:r w:rsidRPr="005339C4">
        <w:rPr>
          <w:lang w:val="fr"/>
        </w:rPr>
        <w:t>article 18 de la Convention à la suite de la réflexion sur sa mise en œuvre plus large, un soutien pourrait être apporté à la mise en œuvre des éventuelles décisions à venir des organes directeurs, y compris pour lancer les opérations initiales d</w:t>
      </w:r>
      <w:r w:rsidR="007D1B10">
        <w:rPr>
          <w:lang w:val="fr"/>
        </w:rPr>
        <w:t>’</w:t>
      </w:r>
      <w:r w:rsidRPr="005339C4">
        <w:rPr>
          <w:lang w:val="fr"/>
        </w:rPr>
        <w:t>une plateforme en ligne pour le partage des bonnes expériences en matière de sauvegarde après sa mise en place (voir le paragraphe 29).</w:t>
      </w:r>
    </w:p>
    <w:p w14:paraId="6987CBA7" w14:textId="117C7BF2" w:rsidR="00852977" w:rsidRPr="005339C4" w:rsidRDefault="00E96C7B" w:rsidP="00852977">
      <w:pPr>
        <w:pStyle w:val="COMPara"/>
        <w:ind w:left="567" w:hanging="567"/>
        <w:jc w:val="both"/>
        <w:rPr>
          <w:lang w:val="fr-FR"/>
        </w:rPr>
      </w:pPr>
      <w:r w:rsidRPr="005339C4">
        <w:rPr>
          <w:lang w:val="fr"/>
        </w:rPr>
        <w:t>Conformément aux actions initiées au cours de l</w:t>
      </w:r>
      <w:r w:rsidR="007D1B10">
        <w:rPr>
          <w:lang w:val="fr"/>
        </w:rPr>
        <w:t>’</w:t>
      </w:r>
      <w:r w:rsidRPr="005339C4">
        <w:rPr>
          <w:lang w:val="fr"/>
        </w:rPr>
        <w:t>exercice</w:t>
      </w:r>
      <w:r w:rsidR="00213F12" w:rsidRPr="005339C4">
        <w:rPr>
          <w:lang w:val="fr"/>
        </w:rPr>
        <w:t xml:space="preserve"> biennal</w:t>
      </w:r>
      <w:r w:rsidRPr="005339C4">
        <w:rPr>
          <w:lang w:val="fr"/>
        </w:rPr>
        <w:t xml:space="preserve"> 2022-2023, le Secrétariat continuera d</w:t>
      </w:r>
      <w:r w:rsidR="007D1B10">
        <w:rPr>
          <w:lang w:val="fr"/>
        </w:rPr>
        <w:t>’</w:t>
      </w:r>
      <w:r w:rsidRPr="005339C4">
        <w:rPr>
          <w:lang w:val="fr"/>
        </w:rPr>
        <w:t>améliorer ses services de gestion des connaissances, qui sont cruciaux à la lumière des élargissements géographiques (181 États parties au 30 juin 2023) et thématiques de la Convention, notamment avec les initiatives thématiques, le mécanisme réformé de rapports périodiques et les réflexions lancées par le Comité sur les mécanismes d</w:t>
      </w:r>
      <w:r w:rsidR="007D1B10">
        <w:rPr>
          <w:lang w:val="fr"/>
        </w:rPr>
        <w:t>’</w:t>
      </w:r>
      <w:r w:rsidRPr="005339C4">
        <w:rPr>
          <w:lang w:val="fr"/>
        </w:rPr>
        <w:t>inscription sur la liste et l</w:t>
      </w:r>
      <w:r w:rsidR="007D1B10">
        <w:rPr>
          <w:lang w:val="fr"/>
        </w:rPr>
        <w:t>’</w:t>
      </w:r>
      <w:r w:rsidRPr="005339C4">
        <w:rPr>
          <w:lang w:val="fr"/>
        </w:rPr>
        <w:t>article 18 de la Convention. Des efforts spécifiques seront déployés au cours du prochain exercice biennal pour rationaliser la production et la gestion des données, ainsi que pour faciliter l</w:t>
      </w:r>
      <w:r w:rsidR="007D1B10">
        <w:rPr>
          <w:lang w:val="fr"/>
        </w:rPr>
        <w:t>’</w:t>
      </w:r>
      <w:r w:rsidRPr="005339C4">
        <w:rPr>
          <w:lang w:val="fr"/>
        </w:rPr>
        <w:t>accès à l</w:t>
      </w:r>
      <w:r w:rsidR="007D1B10">
        <w:rPr>
          <w:lang w:val="fr"/>
        </w:rPr>
        <w:t>’</w:t>
      </w:r>
      <w:r w:rsidRPr="005339C4">
        <w:rPr>
          <w:lang w:val="fr"/>
        </w:rPr>
        <w:t xml:space="preserve">information grâce à des formats </w:t>
      </w:r>
      <w:r w:rsidR="00213F12" w:rsidRPr="005339C4">
        <w:rPr>
          <w:lang w:val="fr"/>
        </w:rPr>
        <w:t>faciles à utiliser</w:t>
      </w:r>
      <w:r w:rsidRPr="005339C4">
        <w:rPr>
          <w:lang w:val="fr"/>
        </w:rPr>
        <w:t xml:space="preserve"> et ouverts, comme le prescrit l</w:t>
      </w:r>
      <w:r w:rsidR="007D1B10">
        <w:rPr>
          <w:lang w:val="fr"/>
        </w:rPr>
        <w:t>’</w:t>
      </w:r>
      <w:hyperlink r:id="rId46" w:history="1">
        <w:r w:rsidRPr="005339C4">
          <w:rPr>
            <w:rStyle w:val="Hyperlink"/>
            <w:lang w:val="fr"/>
          </w:rPr>
          <w:t>évaluation de l</w:t>
        </w:r>
        <w:r w:rsidR="007D1B10">
          <w:rPr>
            <w:rStyle w:val="Hyperlink"/>
            <w:lang w:val="fr"/>
          </w:rPr>
          <w:t>’</w:t>
        </w:r>
        <w:r w:rsidRPr="005339C4">
          <w:rPr>
            <w:rStyle w:val="Hyperlink"/>
            <w:lang w:val="fr"/>
          </w:rPr>
          <w:t>IOS 2021</w:t>
        </w:r>
      </w:hyperlink>
      <w:r w:rsidRPr="005339C4">
        <w:rPr>
          <w:lang w:val="fr"/>
        </w:rPr>
        <w:t xml:space="preserve"> (recommandations 10 et 11). La gestion des connaissances de la Convention sera améliorée afin de mettre en œuvre les résultats des récentes réflexions et réformes, ce qui se traduira par une augmentation rapide de la masse d</w:t>
      </w:r>
      <w:r w:rsidR="007D1B10">
        <w:rPr>
          <w:lang w:val="fr"/>
        </w:rPr>
        <w:t>’</w:t>
      </w:r>
      <w:r w:rsidRPr="005339C4">
        <w:rPr>
          <w:lang w:val="fr"/>
        </w:rPr>
        <w:t>informations provenant d</w:t>
      </w:r>
      <w:r w:rsidR="007D1B10">
        <w:rPr>
          <w:lang w:val="fr"/>
        </w:rPr>
        <w:t>’</w:t>
      </w:r>
      <w:r w:rsidRPr="005339C4">
        <w:rPr>
          <w:lang w:val="fr"/>
        </w:rPr>
        <w:t>un plus grand nombre d</w:t>
      </w:r>
      <w:r w:rsidR="007D1B10">
        <w:rPr>
          <w:lang w:val="fr"/>
        </w:rPr>
        <w:t>’</w:t>
      </w:r>
      <w:r w:rsidRPr="005339C4">
        <w:rPr>
          <w:lang w:val="fr"/>
        </w:rPr>
        <w:t>États et de communautés et suscitera l</w:t>
      </w:r>
      <w:r w:rsidR="007D1B10">
        <w:rPr>
          <w:lang w:val="fr"/>
        </w:rPr>
        <w:t>’</w:t>
      </w:r>
      <w:r w:rsidRPr="005339C4">
        <w:rPr>
          <w:lang w:val="fr"/>
        </w:rPr>
        <w:t>intérêt d</w:t>
      </w:r>
      <w:r w:rsidR="007D1B10">
        <w:rPr>
          <w:lang w:val="fr"/>
        </w:rPr>
        <w:t>’</w:t>
      </w:r>
      <w:r w:rsidRPr="005339C4">
        <w:rPr>
          <w:lang w:val="fr"/>
        </w:rPr>
        <w:t>un plus grand nombre de parties prenantes. En outre, sur la base de l</w:t>
      </w:r>
      <w:r w:rsidR="007D1B10">
        <w:rPr>
          <w:lang w:val="fr"/>
        </w:rPr>
        <w:t>’</w:t>
      </w:r>
      <w:r w:rsidRPr="005339C4">
        <w:rPr>
          <w:lang w:val="fr"/>
        </w:rPr>
        <w:t xml:space="preserve">expérience réussie de la </w:t>
      </w:r>
      <w:hyperlink r:id="rId47" w:history="1">
        <w:r w:rsidRPr="005339C4">
          <w:rPr>
            <w:rStyle w:val="Hyperlink"/>
            <w:lang w:val="fr"/>
          </w:rPr>
          <w:t>plateforme</w:t>
        </w:r>
      </w:hyperlink>
      <w:r w:rsidRPr="005339C4">
        <w:rPr>
          <w:lang w:val="fr"/>
        </w:rPr>
        <w:t xml:space="preserve"> lancée à l</w:t>
      </w:r>
      <w:r w:rsidR="007D1B10">
        <w:rPr>
          <w:lang w:val="fr"/>
        </w:rPr>
        <w:t>’</w:t>
      </w:r>
      <w:r w:rsidRPr="005339C4">
        <w:rPr>
          <w:lang w:val="fr"/>
        </w:rPr>
        <w:t xml:space="preserve">occasion du vingtième anniversaire de la Convention, le site </w:t>
      </w:r>
      <w:r w:rsidR="00A73EB0" w:rsidRPr="005339C4">
        <w:rPr>
          <w:lang w:val="fr"/>
        </w:rPr>
        <w:t>Internet</w:t>
      </w:r>
      <w:r w:rsidRPr="005339C4">
        <w:rPr>
          <w:lang w:val="fr"/>
        </w:rPr>
        <w:t xml:space="preserve"> de la Convention restera une source essentielle d</w:t>
      </w:r>
      <w:r w:rsidR="007D1B10">
        <w:rPr>
          <w:lang w:val="fr"/>
        </w:rPr>
        <w:t>’</w:t>
      </w:r>
      <w:r w:rsidRPr="005339C4">
        <w:rPr>
          <w:lang w:val="fr"/>
        </w:rPr>
        <w:t xml:space="preserve">informations pour les représentants des États et les experts, et poursuivra sa refonte pour proposer des approches thématiques, des navigations transversales </w:t>
      </w:r>
      <w:r w:rsidR="007164BB" w:rsidRPr="005339C4">
        <w:rPr>
          <w:lang w:val="fr"/>
        </w:rPr>
        <w:t>–</w:t>
      </w:r>
      <w:r w:rsidRPr="005339C4">
        <w:rPr>
          <w:lang w:val="fr"/>
        </w:rPr>
        <w:t xml:space="preserve"> notamment grâce à la mise à jour régulière de la rubrique « Plongez dans le patrimoine culturel immatériel</w:t>
      </w:r>
      <w:r w:rsidR="007164BB" w:rsidRPr="005339C4">
        <w:rPr>
          <w:lang w:val="fr"/>
        </w:rPr>
        <w:t> </w:t>
      </w:r>
      <w:r w:rsidR="00A73EB0" w:rsidRPr="005339C4">
        <w:rPr>
          <w:lang w:val="fr"/>
        </w:rPr>
        <w:t>!</w:t>
      </w:r>
      <w:r w:rsidRPr="005339C4">
        <w:rPr>
          <w:lang w:val="fr"/>
        </w:rPr>
        <w:t> » - et mettra en valeur des contenus tels que la visualisation de données, des photos de haute qualité et des documents audiovisuels illustrant le patrimoine vivant en action.</w:t>
      </w:r>
    </w:p>
    <w:p w14:paraId="175ABFCF" w14:textId="29D2BCB4" w:rsidR="00370E80" w:rsidRPr="005339C4" w:rsidRDefault="00370E80" w:rsidP="00433ADE">
      <w:pPr>
        <w:pStyle w:val="COMPara"/>
        <w:numPr>
          <w:ilvl w:val="0"/>
          <w:numId w:val="0"/>
        </w:numPr>
        <w:ind w:left="567"/>
        <w:rPr>
          <w:b/>
          <w:bCs/>
          <w:lang w:val="fr-FR"/>
        </w:rPr>
      </w:pPr>
      <w:r w:rsidRPr="005339C4">
        <w:rPr>
          <w:b/>
          <w:bCs/>
          <w:lang w:val="fr"/>
        </w:rPr>
        <w:t>Participation d</w:t>
      </w:r>
      <w:r w:rsidR="007D1B10">
        <w:rPr>
          <w:b/>
          <w:bCs/>
          <w:lang w:val="fr"/>
        </w:rPr>
        <w:t>’</w:t>
      </w:r>
      <w:r w:rsidRPr="005339C4">
        <w:rPr>
          <w:b/>
          <w:bCs/>
          <w:lang w:val="fr"/>
        </w:rPr>
        <w:t>experts aux réunions des organes directeurs</w:t>
      </w:r>
    </w:p>
    <w:p w14:paraId="0E3A53C2" w14:textId="3ACD3E8E" w:rsidR="00D4169A" w:rsidRPr="005339C4" w:rsidRDefault="00D4169A" w:rsidP="00D4169A">
      <w:pPr>
        <w:pStyle w:val="COMPara"/>
        <w:ind w:left="567" w:hanging="567"/>
        <w:jc w:val="both"/>
        <w:rPr>
          <w:lang w:val="fr-FR"/>
        </w:rPr>
      </w:pPr>
      <w:r w:rsidRPr="005339C4">
        <w:rPr>
          <w:lang w:val="fr"/>
        </w:rPr>
        <w:t xml:space="preserve">La participation </w:t>
      </w:r>
      <w:r w:rsidR="00A73EB0" w:rsidRPr="005339C4">
        <w:rPr>
          <w:lang w:val="fr"/>
        </w:rPr>
        <w:t xml:space="preserve">des experts </w:t>
      </w:r>
      <w:r w:rsidRPr="005339C4">
        <w:rPr>
          <w:lang w:val="fr"/>
        </w:rPr>
        <w:t xml:space="preserve">aux réunions statutaires en patrimoine culturel immatériel représentant les États parties en développement est couverte soit par la </w:t>
      </w:r>
      <w:r w:rsidRPr="005339C4">
        <w:rPr>
          <w:b/>
          <w:bCs/>
          <w:lang w:val="fr"/>
        </w:rPr>
        <w:t>ligne budgétaire 4</w:t>
      </w:r>
      <w:r w:rsidRPr="005339C4">
        <w:rPr>
          <w:lang w:val="fr"/>
        </w:rPr>
        <w:t xml:space="preserve"> lorsqu</w:t>
      </w:r>
      <w:r w:rsidR="007D1B10">
        <w:rPr>
          <w:lang w:val="fr"/>
        </w:rPr>
        <w:t>’</w:t>
      </w:r>
      <w:r w:rsidRPr="005339C4">
        <w:rPr>
          <w:lang w:val="fr"/>
        </w:rPr>
        <w:t xml:space="preserve">ils sont membres du Comité, soit par la </w:t>
      </w:r>
      <w:r w:rsidRPr="005339C4">
        <w:rPr>
          <w:b/>
          <w:bCs/>
          <w:lang w:val="fr"/>
        </w:rPr>
        <w:t>ligne budgétaire 5</w:t>
      </w:r>
      <w:r w:rsidRPr="005339C4">
        <w:rPr>
          <w:lang w:val="fr"/>
        </w:rPr>
        <w:t xml:space="preserve"> lorsqu</w:t>
      </w:r>
      <w:r w:rsidR="007D1B10">
        <w:rPr>
          <w:lang w:val="fr"/>
        </w:rPr>
        <w:t>’</w:t>
      </w:r>
      <w:r w:rsidRPr="005339C4">
        <w:rPr>
          <w:lang w:val="fr"/>
        </w:rPr>
        <w:t>ils ne le sont pas. La participation aux sessions du Comité d</w:t>
      </w:r>
      <w:r w:rsidR="007D1B10">
        <w:rPr>
          <w:lang w:val="fr"/>
        </w:rPr>
        <w:t>’</w:t>
      </w:r>
      <w:r w:rsidRPr="005339C4">
        <w:rPr>
          <w:lang w:val="fr"/>
        </w:rPr>
        <w:t xml:space="preserve">experts représentant des ONG accréditées de pays en développement est couverte par la </w:t>
      </w:r>
      <w:r w:rsidRPr="005339C4">
        <w:rPr>
          <w:b/>
          <w:bCs/>
          <w:lang w:val="fr"/>
        </w:rPr>
        <w:t>ligne budgétaire 6</w:t>
      </w:r>
      <w:r w:rsidRPr="005339C4">
        <w:rPr>
          <w:lang w:val="fr"/>
        </w:rPr>
        <w:t>. Il est proposé que 2,</w:t>
      </w:r>
      <w:r w:rsidR="00770CB2" w:rsidRPr="005339C4">
        <w:rPr>
          <w:lang w:val="fr"/>
        </w:rPr>
        <w:t>5</w:t>
      </w:r>
      <w:r w:rsidR="00FC548C" w:rsidRPr="005339C4">
        <w:rPr>
          <w:lang w:val="fr"/>
        </w:rPr>
        <w:t> </w:t>
      </w:r>
      <w:r w:rsidRPr="005339C4">
        <w:rPr>
          <w:lang w:val="fr"/>
        </w:rPr>
        <w:t>%, 2,</w:t>
      </w:r>
      <w:r w:rsidR="00770CB2" w:rsidRPr="005339C4">
        <w:rPr>
          <w:lang w:val="fr"/>
        </w:rPr>
        <w:t>7</w:t>
      </w:r>
      <w:r w:rsidR="00FC548C" w:rsidRPr="005339C4">
        <w:rPr>
          <w:lang w:val="fr"/>
        </w:rPr>
        <w:t> </w:t>
      </w:r>
      <w:r w:rsidRPr="005339C4">
        <w:rPr>
          <w:lang w:val="fr"/>
        </w:rPr>
        <w:t>% et 2,</w:t>
      </w:r>
      <w:r w:rsidR="00770CB2" w:rsidRPr="005339C4">
        <w:rPr>
          <w:lang w:val="fr"/>
        </w:rPr>
        <w:t>7</w:t>
      </w:r>
      <w:r w:rsidR="00FC548C" w:rsidRPr="005339C4">
        <w:rPr>
          <w:lang w:val="fr"/>
        </w:rPr>
        <w:t> </w:t>
      </w:r>
      <w:r w:rsidRPr="005339C4">
        <w:rPr>
          <w:lang w:val="fr"/>
        </w:rPr>
        <w:t xml:space="preserve">%, respectivement, soient consacrés aux lignes susmentionnées. Cela représente une légère diminution de chaque ligne, ce qui permettrait toutefois au Fonds de répondre à toutes les demandes des membres du Comité et à la plupart, </w:t>
      </w:r>
      <w:r w:rsidR="00A73EB0" w:rsidRPr="005339C4">
        <w:rPr>
          <w:lang w:val="fr"/>
        </w:rPr>
        <w:t>si ce n</w:t>
      </w:r>
      <w:r w:rsidR="007D1B10">
        <w:rPr>
          <w:lang w:val="fr"/>
        </w:rPr>
        <w:t>’</w:t>
      </w:r>
      <w:r w:rsidR="00A73EB0" w:rsidRPr="005339C4">
        <w:rPr>
          <w:lang w:val="fr"/>
        </w:rPr>
        <w:t>est toutes</w:t>
      </w:r>
      <w:r w:rsidRPr="005339C4">
        <w:rPr>
          <w:lang w:val="fr"/>
        </w:rPr>
        <w:t xml:space="preserve"> </w:t>
      </w:r>
      <w:r w:rsidR="00F62280" w:rsidRPr="005339C4">
        <w:rPr>
          <w:lang w:val="fr"/>
        </w:rPr>
        <w:t>l</w:t>
      </w:r>
      <w:r w:rsidRPr="005339C4">
        <w:rPr>
          <w:lang w:val="fr"/>
        </w:rPr>
        <w:t>es demandes soumises par les États parties non</w:t>
      </w:r>
      <w:r w:rsidR="00770CB2" w:rsidRPr="005339C4">
        <w:rPr>
          <w:lang w:val="fr"/>
        </w:rPr>
        <w:t>-</w:t>
      </w:r>
      <w:r w:rsidRPr="005339C4">
        <w:rPr>
          <w:lang w:val="fr"/>
        </w:rPr>
        <w:t>membres du Comité et les organisations non gouvernementales accréditées.</w:t>
      </w:r>
    </w:p>
    <w:p w14:paraId="69184478" w14:textId="2089D479" w:rsidR="00370E80" w:rsidRPr="005339C4" w:rsidRDefault="00370E80" w:rsidP="002B4891">
      <w:pPr>
        <w:pStyle w:val="GAPara"/>
        <w:keepNext/>
        <w:numPr>
          <w:ilvl w:val="0"/>
          <w:numId w:val="0"/>
        </w:numPr>
        <w:spacing w:before="240"/>
        <w:ind w:firstLine="567"/>
        <w:rPr>
          <w:b/>
          <w:bCs/>
        </w:rPr>
      </w:pPr>
      <w:r w:rsidRPr="005339C4">
        <w:rPr>
          <w:b/>
          <w:bCs/>
          <w:lang w:val="fr"/>
        </w:rPr>
        <w:t>Services consultatifs pour le Comité</w:t>
      </w:r>
    </w:p>
    <w:p w14:paraId="3B60C94D" w14:textId="655DF896" w:rsidR="00397D99" w:rsidRPr="005339C4" w:rsidRDefault="00D60A77" w:rsidP="009B678F">
      <w:pPr>
        <w:pStyle w:val="COMPara"/>
        <w:ind w:left="567" w:hanging="567"/>
        <w:jc w:val="both"/>
        <w:rPr>
          <w:lang w:val="fr-FR"/>
        </w:rPr>
      </w:pPr>
      <w:r w:rsidRPr="005339C4">
        <w:rPr>
          <w:lang w:val="fr"/>
        </w:rPr>
        <w:t xml:space="preserve">Il est proposé de diminuer légèrement la </w:t>
      </w:r>
      <w:r w:rsidRPr="005339C4">
        <w:rPr>
          <w:b/>
          <w:bCs/>
          <w:lang w:val="fr"/>
        </w:rPr>
        <w:t>ligne budgétaire 7</w:t>
      </w:r>
      <w:r w:rsidRPr="005339C4">
        <w:rPr>
          <w:lang w:val="fr"/>
        </w:rPr>
        <w:t xml:space="preserve"> de 7,7</w:t>
      </w:r>
      <w:r w:rsidR="00FC548C" w:rsidRPr="005339C4">
        <w:rPr>
          <w:lang w:val="fr"/>
        </w:rPr>
        <w:t> </w:t>
      </w:r>
      <w:r w:rsidRPr="005339C4">
        <w:rPr>
          <w:lang w:val="fr"/>
        </w:rPr>
        <w:t>% à 7</w:t>
      </w:r>
      <w:r w:rsidR="00FC548C" w:rsidRPr="005339C4">
        <w:rPr>
          <w:lang w:val="fr"/>
        </w:rPr>
        <w:t> </w:t>
      </w:r>
      <w:r w:rsidRPr="005339C4">
        <w:rPr>
          <w:lang w:val="fr"/>
        </w:rPr>
        <w:t>% pour couvrir le coût des services consultatifs fournis à la demande du Comité de janvier 2024 à décembre 2025, en particulier ceux associés aux travaux de l</w:t>
      </w:r>
      <w:r w:rsidR="007D1B10">
        <w:rPr>
          <w:lang w:val="fr"/>
        </w:rPr>
        <w:t>’</w:t>
      </w:r>
      <w:r w:rsidR="00907664" w:rsidRPr="005339C4">
        <w:rPr>
          <w:lang w:val="fr"/>
        </w:rPr>
        <w:t>O</w:t>
      </w:r>
      <w:r w:rsidRPr="005339C4">
        <w:rPr>
          <w:lang w:val="fr"/>
        </w:rPr>
        <w:t>rgane d</w:t>
      </w:r>
      <w:r w:rsidR="007D1B10">
        <w:rPr>
          <w:lang w:val="fr"/>
        </w:rPr>
        <w:t>’</w:t>
      </w:r>
      <w:r w:rsidRPr="005339C4">
        <w:rPr>
          <w:lang w:val="fr"/>
        </w:rPr>
        <w:t xml:space="preserve">évaluation. Selon cette proposition, cette ligne devrait continuer à couvrir les coûts </w:t>
      </w:r>
      <w:r w:rsidR="00907664" w:rsidRPr="005339C4">
        <w:rPr>
          <w:lang w:val="fr"/>
        </w:rPr>
        <w:t>des</w:t>
      </w:r>
      <w:r w:rsidRPr="005339C4">
        <w:rPr>
          <w:lang w:val="fr"/>
        </w:rPr>
        <w:t xml:space="preserve"> service</w:t>
      </w:r>
      <w:r w:rsidR="00907664" w:rsidRPr="005339C4">
        <w:rPr>
          <w:lang w:val="fr"/>
        </w:rPr>
        <w:t>s</w:t>
      </w:r>
      <w:r w:rsidRPr="005339C4">
        <w:rPr>
          <w:lang w:val="fr"/>
        </w:rPr>
        <w:t xml:space="preserve"> consultatif</w:t>
      </w:r>
      <w:r w:rsidR="00907664" w:rsidRPr="005339C4">
        <w:rPr>
          <w:lang w:val="fr"/>
        </w:rPr>
        <w:t>s</w:t>
      </w:r>
      <w:r w:rsidRPr="005339C4">
        <w:rPr>
          <w:lang w:val="fr"/>
        </w:rPr>
        <w:t xml:space="preserve"> fourni</w:t>
      </w:r>
      <w:r w:rsidR="00907664" w:rsidRPr="005339C4">
        <w:rPr>
          <w:lang w:val="fr"/>
        </w:rPr>
        <w:t>s</w:t>
      </w:r>
      <w:r w:rsidRPr="005339C4">
        <w:rPr>
          <w:lang w:val="fr"/>
        </w:rPr>
        <w:t xml:space="preserve"> par l</w:t>
      </w:r>
      <w:r w:rsidR="007D1B10">
        <w:rPr>
          <w:lang w:val="fr"/>
        </w:rPr>
        <w:t>’</w:t>
      </w:r>
      <w:r w:rsidRPr="005339C4">
        <w:rPr>
          <w:lang w:val="fr"/>
        </w:rPr>
        <w:t>Organe d</w:t>
      </w:r>
      <w:r w:rsidR="007D1B10">
        <w:rPr>
          <w:lang w:val="fr"/>
        </w:rPr>
        <w:t>’</w:t>
      </w:r>
      <w:r w:rsidRPr="005339C4">
        <w:rPr>
          <w:lang w:val="fr"/>
        </w:rPr>
        <w:t>évaluation en 2024 et 2025, même en tenant compte de l</w:t>
      </w:r>
      <w:r w:rsidR="007D1B10">
        <w:rPr>
          <w:lang w:val="fr"/>
        </w:rPr>
        <w:t>’</w:t>
      </w:r>
      <w:r w:rsidRPr="005339C4">
        <w:rPr>
          <w:lang w:val="fr"/>
        </w:rPr>
        <w:t>augmentation du nombre de dossiers pour les deux cycles correspondants à la suite de la décision du Comité de traiter les demandes de transfert d</w:t>
      </w:r>
      <w:r w:rsidR="007D1B10">
        <w:rPr>
          <w:lang w:val="fr"/>
        </w:rPr>
        <w:t>’</w:t>
      </w:r>
      <w:r w:rsidRPr="005339C4">
        <w:rPr>
          <w:lang w:val="fr"/>
        </w:rPr>
        <w:t>éléments d</w:t>
      </w:r>
      <w:r w:rsidR="007D1B10">
        <w:rPr>
          <w:lang w:val="fr"/>
        </w:rPr>
        <w:t>’</w:t>
      </w:r>
      <w:r w:rsidRPr="005339C4">
        <w:rPr>
          <w:lang w:val="fr"/>
        </w:rPr>
        <w:t xml:space="preserve">une </w:t>
      </w:r>
      <w:r w:rsidR="00907664" w:rsidRPr="005339C4">
        <w:rPr>
          <w:lang w:val="fr"/>
        </w:rPr>
        <w:t>L</w:t>
      </w:r>
      <w:r w:rsidRPr="005339C4">
        <w:rPr>
          <w:lang w:val="fr"/>
        </w:rPr>
        <w:t>iste à l</w:t>
      </w:r>
      <w:r w:rsidR="007D1B10">
        <w:rPr>
          <w:lang w:val="fr"/>
        </w:rPr>
        <w:t>’</w:t>
      </w:r>
      <w:r w:rsidRPr="005339C4">
        <w:rPr>
          <w:lang w:val="fr"/>
        </w:rPr>
        <w:t>autre, l</w:t>
      </w:r>
      <w:r w:rsidR="007D1B10">
        <w:rPr>
          <w:lang w:val="fr"/>
        </w:rPr>
        <w:t>’</w:t>
      </w:r>
      <w:r w:rsidRPr="005339C4">
        <w:rPr>
          <w:lang w:val="fr"/>
        </w:rPr>
        <w:t>inclusion au Registre de bonnes pratiques de sauvegarde de l</w:t>
      </w:r>
      <w:r w:rsidR="007D1B10">
        <w:rPr>
          <w:lang w:val="fr"/>
        </w:rPr>
        <w:t>’</w:t>
      </w:r>
      <w:r w:rsidRPr="005339C4">
        <w:rPr>
          <w:lang w:val="fr"/>
        </w:rPr>
        <w:t>expérience de sauvegarde réussie résultant d</w:t>
      </w:r>
      <w:r w:rsidR="007D1B10">
        <w:rPr>
          <w:lang w:val="fr"/>
        </w:rPr>
        <w:t>’</w:t>
      </w:r>
      <w:r w:rsidRPr="005339C4">
        <w:rPr>
          <w:lang w:val="fr"/>
        </w:rPr>
        <w:t>un transfert de la Liste de sauvegarde urgente à la Liste représentative, les demandes d</w:t>
      </w:r>
      <w:r w:rsidR="007D1B10">
        <w:rPr>
          <w:lang w:val="fr"/>
        </w:rPr>
        <w:t>’</w:t>
      </w:r>
      <w:r w:rsidRPr="005339C4">
        <w:rPr>
          <w:lang w:val="fr"/>
        </w:rPr>
        <w:t>inscription sur une base élargie ou réduite, ainsi que le suivi des éléments inscrits en dehors du plafond annuel (</w:t>
      </w:r>
      <w:r w:rsidR="00F62280" w:rsidRPr="005339C4">
        <w:rPr>
          <w:lang w:val="fr"/>
        </w:rPr>
        <w:t>D</w:t>
      </w:r>
      <w:r w:rsidRPr="005339C4">
        <w:rPr>
          <w:lang w:val="fr"/>
        </w:rPr>
        <w:t xml:space="preserve">écision </w:t>
      </w:r>
      <w:hyperlink r:id="rId48" w:history="1">
        <w:r w:rsidRPr="005339C4">
          <w:rPr>
            <w:rStyle w:val="Hyperlink"/>
            <w:lang w:val="fr"/>
          </w:rPr>
          <w:t>17.COM 15</w:t>
        </w:r>
      </w:hyperlink>
      <w:r w:rsidRPr="005339C4">
        <w:rPr>
          <w:lang w:val="fr"/>
        </w:rPr>
        <w:t>).</w:t>
      </w:r>
    </w:p>
    <w:p w14:paraId="4053D2DD" w14:textId="55F89445" w:rsidR="008E7100" w:rsidRPr="005339C4" w:rsidRDefault="007B75D6" w:rsidP="002A70F8">
      <w:pPr>
        <w:pStyle w:val="COMPara"/>
        <w:ind w:left="567" w:hanging="567"/>
        <w:jc w:val="both"/>
        <w:rPr>
          <w:lang w:val="fr-FR"/>
        </w:rPr>
      </w:pPr>
      <w:r w:rsidRPr="005339C4">
        <w:rPr>
          <w:lang w:val="fr"/>
        </w:rPr>
        <w:t>En outre, cette ligne budgétaire est prévue pour couvrir les coûts associés à la mise en place initiale d</w:t>
      </w:r>
      <w:r w:rsidR="007D1B10">
        <w:rPr>
          <w:lang w:val="fr"/>
        </w:rPr>
        <w:t>’</w:t>
      </w:r>
      <w:r w:rsidRPr="005339C4">
        <w:rPr>
          <w:lang w:val="fr"/>
        </w:rPr>
        <w:t xml:space="preserve">une plateforme en ligne </w:t>
      </w:r>
      <w:bookmarkStart w:id="7" w:name="_Hlk149417398"/>
      <w:r w:rsidRPr="005339C4">
        <w:rPr>
          <w:lang w:val="fr"/>
        </w:rPr>
        <w:t>pour le partage des bonnes expériences de sauvegarde</w:t>
      </w:r>
      <w:bookmarkEnd w:id="7"/>
      <w:r w:rsidRPr="005339C4">
        <w:rPr>
          <w:lang w:val="fr"/>
        </w:rPr>
        <w:t xml:space="preserve">, y compris les développements </w:t>
      </w:r>
      <w:r w:rsidR="00907664" w:rsidRPr="005339C4">
        <w:rPr>
          <w:lang w:val="fr"/>
        </w:rPr>
        <w:t>des technologies de l</w:t>
      </w:r>
      <w:r w:rsidR="007D1B10">
        <w:rPr>
          <w:lang w:val="fr"/>
        </w:rPr>
        <w:t>’</w:t>
      </w:r>
      <w:r w:rsidR="00907664" w:rsidRPr="005339C4">
        <w:rPr>
          <w:lang w:val="fr"/>
        </w:rPr>
        <w:t>information</w:t>
      </w:r>
      <w:r w:rsidRPr="005339C4">
        <w:rPr>
          <w:lang w:val="fr"/>
        </w:rPr>
        <w:t>, la préparation du contenu et le test initial du système, afin de mettre pleinement en œuvre l</w:t>
      </w:r>
      <w:r w:rsidR="007D1B10">
        <w:rPr>
          <w:lang w:val="fr"/>
        </w:rPr>
        <w:t>’</w:t>
      </w:r>
      <w:r w:rsidRPr="005339C4">
        <w:rPr>
          <w:lang w:val="fr"/>
        </w:rPr>
        <w:t xml:space="preserve">article 18 de la Convention, si le Comité (au titre du point 11 de la présente session, voir le document </w:t>
      </w:r>
      <w:hyperlink r:id="rId49" w:history="1">
        <w:r w:rsidRPr="005339C4">
          <w:rPr>
            <w:rStyle w:val="Hyperlink"/>
            <w:lang w:val="fr"/>
          </w:rPr>
          <w:t>LHE/23/18.COM/11</w:t>
        </w:r>
      </w:hyperlink>
      <w:r w:rsidRPr="005339C4">
        <w:rPr>
          <w:lang w:val="fr"/>
        </w:rPr>
        <w:t>) et l</w:t>
      </w:r>
      <w:r w:rsidR="007D1B10">
        <w:rPr>
          <w:lang w:val="fr"/>
        </w:rPr>
        <w:t>’</w:t>
      </w:r>
      <w:r w:rsidRPr="005339C4">
        <w:rPr>
          <w:lang w:val="fr"/>
        </w:rPr>
        <w:t xml:space="preserve">Assemblée générale approuvent les recommandations du </w:t>
      </w:r>
      <w:r w:rsidR="00907664" w:rsidRPr="005339C4">
        <w:rPr>
          <w:lang w:val="fr"/>
        </w:rPr>
        <w:t>g</w:t>
      </w:r>
      <w:r w:rsidRPr="005339C4">
        <w:rPr>
          <w:lang w:val="fr"/>
        </w:rPr>
        <w:t>roupe de travail intergouvernemental à composition non limitée dans le cadre de la réflexion sur une mise en œuvre plus large de l</w:t>
      </w:r>
      <w:r w:rsidR="007D1B10">
        <w:rPr>
          <w:lang w:val="fr"/>
        </w:rPr>
        <w:t>’</w:t>
      </w:r>
      <w:r w:rsidRPr="005339C4">
        <w:rPr>
          <w:lang w:val="fr"/>
        </w:rPr>
        <w:t xml:space="preserve">article 18 de la Convention (Recommandations 8 à 13 du document </w:t>
      </w:r>
      <w:hyperlink r:id="rId50" w:history="1">
        <w:r w:rsidRPr="005339C4">
          <w:rPr>
            <w:rStyle w:val="Hyperlink"/>
            <w:lang w:val="fr"/>
          </w:rPr>
          <w:t>LHE/23/18.COM WG ART18/4 Rev.</w:t>
        </w:r>
      </w:hyperlink>
      <w:r w:rsidRPr="005339C4">
        <w:rPr>
          <w:lang w:val="fr"/>
        </w:rPr>
        <w:t xml:space="preserve">). </w:t>
      </w:r>
    </w:p>
    <w:p w14:paraId="7893B563" w14:textId="13E5ED2F" w:rsidR="00D4169A" w:rsidRPr="005339C4" w:rsidRDefault="00D4169A" w:rsidP="004666AA">
      <w:pPr>
        <w:pStyle w:val="COMPara"/>
        <w:ind w:left="567" w:hanging="567"/>
        <w:jc w:val="both"/>
        <w:rPr>
          <w:lang w:val="fr-FR"/>
        </w:rPr>
      </w:pPr>
      <w:r w:rsidRPr="005339C4">
        <w:rPr>
          <w:lang w:val="fr"/>
        </w:rPr>
        <w:t>Lors de sa neuvième session, l</w:t>
      </w:r>
      <w:r w:rsidR="007D1B10">
        <w:rPr>
          <w:lang w:val="fr"/>
        </w:rPr>
        <w:t>’</w:t>
      </w:r>
      <w:r w:rsidRPr="005339C4">
        <w:rPr>
          <w:lang w:val="fr"/>
        </w:rPr>
        <w:t xml:space="preserve">Assemblée générale a recommandé que le Secrétariat soit autorisé à effectuer des transferts entre les lignes budgétaires 4, 5, 6 et 7, à hauteur de 30 % de leur allocation </w:t>
      </w:r>
      <w:r w:rsidR="00BE4A5A" w:rsidRPr="005339C4">
        <w:rPr>
          <w:lang w:val="fr"/>
        </w:rPr>
        <w:t xml:space="preserve">initiale </w:t>
      </w:r>
      <w:r w:rsidRPr="005339C4">
        <w:rPr>
          <w:lang w:val="fr"/>
        </w:rPr>
        <w:t xml:space="preserve">totale (Résolution </w:t>
      </w:r>
      <w:hyperlink r:id="rId51" w:history="1">
        <w:r w:rsidRPr="005339C4">
          <w:rPr>
            <w:rStyle w:val="Hyperlink"/>
            <w:lang w:val="fr"/>
          </w:rPr>
          <w:t>9.GA 10</w:t>
        </w:r>
      </w:hyperlink>
      <w:r w:rsidRPr="005339C4">
        <w:rPr>
          <w:lang w:val="fr"/>
        </w:rPr>
        <w:t xml:space="preserve">). Après la période </w:t>
      </w:r>
      <w:r w:rsidR="00907664" w:rsidRPr="005339C4">
        <w:rPr>
          <w:lang w:val="fr"/>
        </w:rPr>
        <w:t>considérée</w:t>
      </w:r>
      <w:r w:rsidRPr="005339C4">
        <w:rPr>
          <w:lang w:val="fr"/>
        </w:rPr>
        <w:t xml:space="preserve"> et avant la présente session du Comité, deux transferts budgétaires ont été effectués simultanément en octobre 2023, respectivement de la ligne budgétaire 4 à la ligne budgétaire 5 (20 000 </w:t>
      </w:r>
      <w:r w:rsidR="00907664" w:rsidRPr="005339C4">
        <w:rPr>
          <w:lang w:val="fr"/>
        </w:rPr>
        <w:t>dollars des États-Unis</w:t>
      </w:r>
      <w:r w:rsidRPr="005339C4">
        <w:rPr>
          <w:lang w:val="fr"/>
        </w:rPr>
        <w:t xml:space="preserve">) et de la ligne budgétaire 4 à la ligne budgétaire 6 (60 000 </w:t>
      </w:r>
      <w:r w:rsidR="00907664" w:rsidRPr="005339C4">
        <w:rPr>
          <w:lang w:val="fr"/>
        </w:rPr>
        <w:t>dollars des États-Unis</w:t>
      </w:r>
      <w:r w:rsidRPr="005339C4">
        <w:rPr>
          <w:lang w:val="fr"/>
        </w:rPr>
        <w:t>). Ces transferts sont destinés à permettre au Fonds de répondre positivement à autant de demandes que possible pour couvrir les coûts de participation des experts représentant les États parties en développement non</w:t>
      </w:r>
      <w:r w:rsidR="00770CB2" w:rsidRPr="005339C4">
        <w:rPr>
          <w:lang w:val="fr"/>
        </w:rPr>
        <w:t>-</w:t>
      </w:r>
      <w:r w:rsidRPr="005339C4">
        <w:rPr>
          <w:lang w:val="fr"/>
        </w:rPr>
        <w:t>membres du Comité (ligne budgétaire 5) et les ONG accréditées des pays en développement (ligne budgétaire 6) à la présente session du Comité. Afin de pouvoir répondre au plus grand nombre possible de demandes d</w:t>
      </w:r>
      <w:r w:rsidR="007D1B10">
        <w:rPr>
          <w:lang w:val="fr"/>
        </w:rPr>
        <w:t>’</w:t>
      </w:r>
      <w:r w:rsidRPr="005339C4">
        <w:rPr>
          <w:lang w:val="fr"/>
        </w:rPr>
        <w:t>assistance financière de la part des différentes catégories de participants au cours du prochain exercice biennal, il est proposé que le Comité recommande à nouveau à l</w:t>
      </w:r>
      <w:r w:rsidR="007D1B10">
        <w:rPr>
          <w:lang w:val="fr"/>
        </w:rPr>
        <w:t>’</w:t>
      </w:r>
      <w:r w:rsidRPr="005339C4">
        <w:rPr>
          <w:lang w:val="fr"/>
        </w:rPr>
        <w:t>Assemblée générale de continuer à autoriser le Secrétariat à effectuer des transferts entre les lignes budgétaires 4, 5, 6 et 7, jusqu</w:t>
      </w:r>
      <w:r w:rsidR="007D1B10">
        <w:rPr>
          <w:lang w:val="fr"/>
        </w:rPr>
        <w:t>’</w:t>
      </w:r>
      <w:r w:rsidRPr="005339C4">
        <w:rPr>
          <w:lang w:val="fr"/>
        </w:rPr>
        <w:t>à un montant équivalent à 30 % de leur total initial. Si un tel transfert s</w:t>
      </w:r>
      <w:r w:rsidR="007D1B10">
        <w:rPr>
          <w:lang w:val="fr"/>
        </w:rPr>
        <w:t>’</w:t>
      </w:r>
      <w:r w:rsidRPr="005339C4">
        <w:rPr>
          <w:lang w:val="fr"/>
        </w:rPr>
        <w:t>avérait nécessaire, le Secrétariat devrait informer par écrit le Comité et l</w:t>
      </w:r>
      <w:r w:rsidR="007D1B10">
        <w:rPr>
          <w:lang w:val="fr"/>
        </w:rPr>
        <w:t>’</w:t>
      </w:r>
      <w:r w:rsidRPr="005339C4">
        <w:rPr>
          <w:lang w:val="fr"/>
        </w:rPr>
        <w:t xml:space="preserve">Assemblée générale, lors de la session suivant cette action, des détails et des </w:t>
      </w:r>
      <w:r w:rsidR="009524DE" w:rsidRPr="005339C4">
        <w:rPr>
          <w:lang w:val="fr"/>
        </w:rPr>
        <w:t>motifs</w:t>
      </w:r>
      <w:r w:rsidRPr="005339C4">
        <w:rPr>
          <w:lang w:val="fr"/>
        </w:rPr>
        <w:t xml:space="preserve"> de ces transferts.</w:t>
      </w:r>
    </w:p>
    <w:p w14:paraId="50D3EAFF" w14:textId="08DD3394" w:rsidR="00D95C4C" w:rsidRPr="005339C4" w:rsidRDefault="000B1C8F" w:rsidP="00AC18C1">
      <w:pPr>
        <w:pStyle w:val="COMPara"/>
        <w:ind w:left="567" w:hanging="567"/>
        <w:rPr>
          <w:lang w:val="fr-FR"/>
        </w:rPr>
      </w:pPr>
      <w:r w:rsidRPr="005339C4">
        <w:rPr>
          <w:lang w:val="fr"/>
        </w:rPr>
        <w:t>Le Comité souhaitera peut-être adopter la décision suivante</w:t>
      </w:r>
      <w:r w:rsidR="007164BB" w:rsidRPr="005339C4">
        <w:rPr>
          <w:lang w:val="fr"/>
        </w:rPr>
        <w:t> </w:t>
      </w:r>
      <w:r w:rsidRPr="005339C4">
        <w:rPr>
          <w:lang w:val="fr"/>
        </w:rPr>
        <w:t>:</w:t>
      </w:r>
    </w:p>
    <w:p w14:paraId="6CEB1E9D" w14:textId="50DDD5AF" w:rsidR="00D95C4C" w:rsidRPr="005339C4" w:rsidRDefault="004A34A0" w:rsidP="001D14FE">
      <w:pPr>
        <w:pStyle w:val="COMTitleDecision"/>
        <w:rPr>
          <w:rFonts w:eastAsia="SimSun"/>
          <w:lang w:val="fr-FR"/>
        </w:rPr>
      </w:pPr>
      <w:r w:rsidRPr="005339C4">
        <w:rPr>
          <w:bCs/>
          <w:lang w:val="fr"/>
        </w:rPr>
        <w:t>PROJET DE DÉCISION 18.COM 14</w:t>
      </w:r>
    </w:p>
    <w:p w14:paraId="13024F0B" w14:textId="77777777" w:rsidR="00D95C4C" w:rsidRPr="005339C4" w:rsidRDefault="00285BB4" w:rsidP="00285BB4">
      <w:pPr>
        <w:pStyle w:val="COMPreambulaDecisions"/>
        <w:rPr>
          <w:rFonts w:eastAsia="SimSun"/>
          <w:lang w:val="fr-FR"/>
        </w:rPr>
      </w:pPr>
      <w:r w:rsidRPr="005339C4">
        <w:rPr>
          <w:lang w:val="fr"/>
        </w:rPr>
        <w:t>Le Comité,</w:t>
      </w:r>
    </w:p>
    <w:p w14:paraId="5A9F22F3" w14:textId="477FE8B2" w:rsidR="0057439C" w:rsidRPr="005339C4" w:rsidRDefault="00D95C4C" w:rsidP="004A2875">
      <w:pPr>
        <w:pStyle w:val="COMParaDecision"/>
        <w:rPr>
          <w:lang w:val="fr-FR"/>
        </w:rPr>
      </w:pPr>
      <w:r w:rsidRPr="005339C4">
        <w:rPr>
          <w:lang w:val="fr"/>
        </w:rPr>
        <w:t>Ayant examiné</w:t>
      </w:r>
      <w:r w:rsidRPr="0047050C">
        <w:rPr>
          <w:u w:val="none"/>
          <w:lang w:val="fr"/>
        </w:rPr>
        <w:t xml:space="preserve"> les</w:t>
      </w:r>
      <w:r w:rsidRPr="005339C4">
        <w:rPr>
          <w:u w:val="none"/>
          <w:lang w:val="fr"/>
        </w:rPr>
        <w:t xml:space="preserve"> documents LHE/23/18.COM/14, </w:t>
      </w:r>
      <w:hyperlink r:id="rId52" w:history="1">
        <w:r w:rsidRPr="005339C4">
          <w:rPr>
            <w:rStyle w:val="Hyperlink"/>
            <w:lang w:val="fr"/>
          </w:rPr>
          <w:t>LHE/23/18.COM/INF.14</w:t>
        </w:r>
      </w:hyperlink>
      <w:r w:rsidRPr="005339C4">
        <w:rPr>
          <w:u w:val="none"/>
          <w:lang w:val="fr"/>
        </w:rPr>
        <w:t xml:space="preserve"> et leurs annexes respectives,</w:t>
      </w:r>
    </w:p>
    <w:p w14:paraId="260CA8D5" w14:textId="13A2DB25" w:rsidR="0057439C" w:rsidRPr="005339C4" w:rsidRDefault="0057439C" w:rsidP="004A2875">
      <w:pPr>
        <w:pStyle w:val="COMParaDecision"/>
        <w:rPr>
          <w:lang w:val="fr-FR"/>
        </w:rPr>
      </w:pPr>
      <w:r w:rsidRPr="005339C4">
        <w:rPr>
          <w:lang w:val="fr"/>
        </w:rPr>
        <w:t>Rappelant</w:t>
      </w:r>
      <w:r w:rsidRPr="005339C4">
        <w:rPr>
          <w:u w:val="none"/>
          <w:lang w:val="fr"/>
        </w:rPr>
        <w:t xml:space="preserve"> l</w:t>
      </w:r>
      <w:r w:rsidR="007D1B10">
        <w:rPr>
          <w:u w:val="none"/>
          <w:lang w:val="fr"/>
        </w:rPr>
        <w:t>’</w:t>
      </w:r>
      <w:r w:rsidRPr="005339C4">
        <w:rPr>
          <w:u w:val="none"/>
          <w:lang w:val="fr"/>
        </w:rPr>
        <w:t>article 7</w:t>
      </w:r>
      <w:r w:rsidR="00770CB2" w:rsidRPr="005339C4">
        <w:rPr>
          <w:u w:val="none"/>
          <w:lang w:val="fr"/>
        </w:rPr>
        <w:t>(c )</w:t>
      </w:r>
      <w:r w:rsidRPr="005339C4">
        <w:rPr>
          <w:u w:val="none"/>
          <w:lang w:val="fr"/>
        </w:rPr>
        <w:t xml:space="preserve"> de la Convention, la résolution </w:t>
      </w:r>
      <w:hyperlink r:id="rId53" w:history="1">
        <w:r w:rsidRPr="005339C4">
          <w:rPr>
            <w:rStyle w:val="Hyperlink"/>
            <w:lang w:val="fr"/>
          </w:rPr>
          <w:t>9.GA</w:t>
        </w:r>
        <w:r w:rsidR="005339C4">
          <w:rPr>
            <w:rStyle w:val="Hyperlink"/>
            <w:lang w:val="fr"/>
          </w:rPr>
          <w:t> </w:t>
        </w:r>
        <w:r w:rsidRPr="005339C4">
          <w:rPr>
            <w:rStyle w:val="Hyperlink"/>
            <w:lang w:val="fr"/>
          </w:rPr>
          <w:t>10</w:t>
        </w:r>
      </w:hyperlink>
      <w:r w:rsidRPr="005339C4">
        <w:rPr>
          <w:u w:val="none"/>
          <w:lang w:val="fr"/>
        </w:rPr>
        <w:t xml:space="preserve"> et la décision </w:t>
      </w:r>
      <w:hyperlink r:id="rId54" w:history="1">
        <w:r w:rsidRPr="005339C4">
          <w:rPr>
            <w:rStyle w:val="Hyperlink"/>
            <w:lang w:val="fr"/>
          </w:rPr>
          <w:t>16.COM</w:t>
        </w:r>
        <w:r w:rsidR="00770CB2" w:rsidRPr="005339C4">
          <w:rPr>
            <w:rStyle w:val="Hyperlink"/>
            <w:lang w:val="fr"/>
          </w:rPr>
          <w:t> </w:t>
        </w:r>
        <w:r w:rsidRPr="005339C4">
          <w:rPr>
            <w:rStyle w:val="Hyperlink"/>
            <w:lang w:val="fr"/>
          </w:rPr>
          <w:t>13</w:t>
        </w:r>
      </w:hyperlink>
      <w:r w:rsidRPr="005339C4">
        <w:rPr>
          <w:u w:val="none"/>
          <w:lang w:val="fr"/>
        </w:rPr>
        <w:t>,</w:t>
      </w:r>
    </w:p>
    <w:p w14:paraId="5A637D8F" w14:textId="6BEDCD25" w:rsidR="00BE1047" w:rsidRPr="005339C4" w:rsidRDefault="00BE1047" w:rsidP="00BE1047">
      <w:pPr>
        <w:pStyle w:val="COMParaDecision"/>
        <w:rPr>
          <w:u w:val="none"/>
          <w:lang w:val="fr-FR"/>
        </w:rPr>
      </w:pPr>
      <w:r w:rsidRPr="005339C4">
        <w:rPr>
          <w:lang w:val="fr"/>
        </w:rPr>
        <w:t>Rappelant en outre</w:t>
      </w:r>
      <w:r w:rsidRPr="005339C4">
        <w:rPr>
          <w:u w:val="none"/>
          <w:lang w:val="fr"/>
        </w:rPr>
        <w:t xml:space="preserve"> la résolution </w:t>
      </w:r>
      <w:r w:rsidR="00E22B41" w:rsidRPr="005339C4">
        <w:rPr>
          <w:u w:val="none"/>
          <w:lang w:val="fr"/>
        </w:rPr>
        <w:t xml:space="preserve">portant ouverture de crédits </w:t>
      </w:r>
      <w:r w:rsidRPr="005339C4">
        <w:rPr>
          <w:u w:val="none"/>
          <w:lang w:val="fr"/>
        </w:rPr>
        <w:t>de la Conférence générale d</w:t>
      </w:r>
      <w:r w:rsidR="00770CB2" w:rsidRPr="005339C4">
        <w:rPr>
          <w:u w:val="none"/>
          <w:lang w:val="fr"/>
        </w:rPr>
        <w:t>e</w:t>
      </w:r>
      <w:r w:rsidRPr="005339C4">
        <w:rPr>
          <w:u w:val="none"/>
          <w:lang w:val="fr"/>
        </w:rPr>
        <w:t xml:space="preserve"> l</w:t>
      </w:r>
      <w:r w:rsidR="007D1B10">
        <w:rPr>
          <w:u w:val="none"/>
          <w:lang w:val="fr"/>
        </w:rPr>
        <w:t>’</w:t>
      </w:r>
      <w:r w:rsidR="003C4BE9" w:rsidRPr="005339C4">
        <w:rPr>
          <w:u w:val="none"/>
          <w:lang w:val="fr"/>
        </w:rPr>
        <w:t>U</w:t>
      </w:r>
      <w:r w:rsidRPr="005339C4">
        <w:rPr>
          <w:u w:val="none"/>
          <w:lang w:val="fr"/>
        </w:rPr>
        <w:t>NESCO pour 2022</w:t>
      </w:r>
      <w:r w:rsidR="0047050C" w:rsidRPr="0047050C">
        <w:rPr>
          <w:u w:val="none"/>
          <w:lang w:val="fr-FR"/>
        </w:rPr>
        <w:t>–</w:t>
      </w:r>
      <w:r w:rsidRPr="005339C4">
        <w:rPr>
          <w:u w:val="none"/>
          <w:lang w:val="fr"/>
        </w:rPr>
        <w:t xml:space="preserve">2023 </w:t>
      </w:r>
      <w:r w:rsidRPr="005339C4">
        <w:rPr>
          <w:color w:val="212121"/>
          <w:u w:val="none"/>
          <w:shd w:val="clear" w:color="auto" w:fill="FFFFFF"/>
          <w:lang w:val="fr"/>
        </w:rPr>
        <w:t>(</w:t>
      </w:r>
      <w:hyperlink r:id="rId55" w:history="1">
        <w:r w:rsidRPr="0054114F">
          <w:rPr>
            <w:rStyle w:val="Hyperlink"/>
            <w:color w:val="0000FF"/>
            <w:lang w:val="fr"/>
          </w:rPr>
          <w:t>résolution 41 C/76</w:t>
        </w:r>
      </w:hyperlink>
      <w:r w:rsidRPr="005339C4">
        <w:rPr>
          <w:color w:val="212121"/>
          <w:u w:val="none"/>
          <w:shd w:val="clear" w:color="auto" w:fill="FFFFFF"/>
          <w:lang w:val="fr"/>
        </w:rPr>
        <w:t>)</w:t>
      </w:r>
      <w:r w:rsidRPr="005339C4">
        <w:rPr>
          <w:u w:val="none"/>
          <w:lang w:val="fr"/>
        </w:rPr>
        <w:t>,</w:t>
      </w:r>
    </w:p>
    <w:p w14:paraId="7E3B50D3" w14:textId="7C8F1B78" w:rsidR="00C93756" w:rsidRPr="005339C4" w:rsidRDefault="00C93756" w:rsidP="00C93756">
      <w:pPr>
        <w:pStyle w:val="COMParaDecision"/>
        <w:rPr>
          <w:u w:val="none"/>
          <w:lang w:val="fr-FR"/>
        </w:rPr>
      </w:pPr>
      <w:r w:rsidRPr="005339C4">
        <w:rPr>
          <w:lang w:val="fr"/>
        </w:rPr>
        <w:t>Prend note</w:t>
      </w:r>
      <w:r w:rsidRPr="005339C4">
        <w:rPr>
          <w:u w:val="none"/>
          <w:lang w:val="fr"/>
        </w:rPr>
        <w:t xml:space="preserve"> d</w:t>
      </w:r>
      <w:r w:rsidR="00770CB2" w:rsidRPr="005339C4">
        <w:rPr>
          <w:u w:val="none"/>
          <w:lang w:val="fr"/>
        </w:rPr>
        <w:t>e</w:t>
      </w:r>
      <w:r w:rsidRPr="005339C4">
        <w:rPr>
          <w:u w:val="none"/>
          <w:lang w:val="fr"/>
        </w:rPr>
        <w:t xml:space="preserve"> l</w:t>
      </w:r>
      <w:r w:rsidR="007D1B10">
        <w:rPr>
          <w:u w:val="none"/>
          <w:lang w:val="fr"/>
        </w:rPr>
        <w:t>’</w:t>
      </w:r>
      <w:r w:rsidRPr="005339C4">
        <w:rPr>
          <w:u w:val="none"/>
          <w:lang w:val="fr"/>
        </w:rPr>
        <w:t>état des comptes du Fonds pour 2022</w:t>
      </w:r>
      <w:r w:rsidR="0047050C" w:rsidRPr="0047050C">
        <w:rPr>
          <w:u w:val="none"/>
          <w:lang w:val="fr-FR"/>
        </w:rPr>
        <w:t>–</w:t>
      </w:r>
      <w:r w:rsidRPr="005339C4">
        <w:rPr>
          <w:u w:val="none"/>
          <w:lang w:val="fr"/>
        </w:rPr>
        <w:t xml:space="preserve">2023 au 30 juin 2023, </w:t>
      </w:r>
      <w:r w:rsidRPr="005339C4">
        <w:rPr>
          <w:lang w:val="fr"/>
        </w:rPr>
        <w:t>rappelle</w:t>
      </w:r>
      <w:r w:rsidRPr="005339C4">
        <w:rPr>
          <w:u w:val="none"/>
          <w:lang w:val="fr"/>
        </w:rPr>
        <w:t xml:space="preserve"> que le paiement des contributions obligatoires et volontaires mises en recouvrement est, en vertu d</w:t>
      </w:r>
      <w:r w:rsidR="00770CB2" w:rsidRPr="005339C4">
        <w:rPr>
          <w:u w:val="none"/>
          <w:lang w:val="fr"/>
        </w:rPr>
        <w:t>e</w:t>
      </w:r>
      <w:r w:rsidRPr="005339C4">
        <w:rPr>
          <w:u w:val="none"/>
          <w:lang w:val="fr"/>
        </w:rPr>
        <w:t xml:space="preserve"> l</w:t>
      </w:r>
      <w:r w:rsidR="007D1B10">
        <w:rPr>
          <w:u w:val="none"/>
          <w:lang w:val="fr"/>
        </w:rPr>
        <w:t>’</w:t>
      </w:r>
      <w:r w:rsidRPr="005339C4">
        <w:rPr>
          <w:u w:val="none"/>
          <w:lang w:val="fr"/>
        </w:rPr>
        <w:t xml:space="preserve">article 26 de la Convention, une obligation qui incombe à tous les États parties ayant ratifié la Convention, et </w:t>
      </w:r>
      <w:r w:rsidRPr="005339C4">
        <w:rPr>
          <w:lang w:val="fr"/>
        </w:rPr>
        <w:t>appelle</w:t>
      </w:r>
      <w:r w:rsidRPr="005339C4">
        <w:rPr>
          <w:u w:val="none"/>
          <w:lang w:val="fr"/>
        </w:rPr>
        <w:t xml:space="preserve"> tous les États parties qu</w:t>
      </w:r>
      <w:r w:rsidR="00E96231" w:rsidRPr="005339C4">
        <w:rPr>
          <w:u w:val="none"/>
          <w:lang w:val="fr"/>
        </w:rPr>
        <w:t>i</w:t>
      </w:r>
      <w:r w:rsidRPr="005339C4">
        <w:rPr>
          <w:u w:val="none"/>
          <w:lang w:val="fr"/>
        </w:rPr>
        <w:t xml:space="preserve"> n</w:t>
      </w:r>
      <w:r w:rsidR="007D1B10">
        <w:rPr>
          <w:u w:val="none"/>
          <w:lang w:val="fr"/>
        </w:rPr>
        <w:t>’</w:t>
      </w:r>
      <w:r w:rsidRPr="005339C4">
        <w:rPr>
          <w:u w:val="none"/>
          <w:lang w:val="fr"/>
        </w:rPr>
        <w:t>ont pas encore réglé la totalité de leurs contributions</w:t>
      </w:r>
      <w:r w:rsidR="00E22B41" w:rsidRPr="005339C4">
        <w:rPr>
          <w:u w:val="none"/>
          <w:lang w:val="fr"/>
        </w:rPr>
        <w:t xml:space="preserve"> mises en recouvrement</w:t>
      </w:r>
      <w:r w:rsidRPr="005339C4">
        <w:rPr>
          <w:u w:val="none"/>
          <w:lang w:val="fr"/>
        </w:rPr>
        <w:t xml:space="preserve"> pour 2022</w:t>
      </w:r>
      <w:r w:rsidR="0047050C" w:rsidRPr="0047050C">
        <w:rPr>
          <w:u w:val="none"/>
          <w:lang w:val="fr-FR"/>
        </w:rPr>
        <w:t>–</w:t>
      </w:r>
      <w:r w:rsidRPr="005339C4">
        <w:rPr>
          <w:u w:val="none"/>
          <w:lang w:val="fr"/>
        </w:rPr>
        <w:t>2023 ou pour des années antérieures, y compris leurs contributions volontaires mises en recouvrement, à s</w:t>
      </w:r>
      <w:r w:rsidR="007D1B10">
        <w:rPr>
          <w:u w:val="none"/>
          <w:lang w:val="fr"/>
        </w:rPr>
        <w:t>’</w:t>
      </w:r>
      <w:r w:rsidRPr="005339C4">
        <w:rPr>
          <w:u w:val="none"/>
          <w:lang w:val="fr"/>
        </w:rPr>
        <w:t>assurer du règlement de leurs contributions le plus tôt possi</w:t>
      </w:r>
      <w:r w:rsidR="00770CB2" w:rsidRPr="005339C4">
        <w:rPr>
          <w:u w:val="none"/>
          <w:lang w:val="fr"/>
        </w:rPr>
        <w:t>bl</w:t>
      </w:r>
      <w:r w:rsidRPr="005339C4">
        <w:rPr>
          <w:u w:val="none"/>
          <w:lang w:val="fr"/>
        </w:rPr>
        <w:t>e ;</w:t>
      </w:r>
    </w:p>
    <w:p w14:paraId="7B3345E7" w14:textId="3835AE94" w:rsidR="003337D4" w:rsidRPr="005339C4" w:rsidRDefault="004666AA" w:rsidP="00C93756">
      <w:pPr>
        <w:pStyle w:val="COMParaDecision"/>
        <w:rPr>
          <w:u w:val="none"/>
          <w:lang w:val="fr-FR"/>
        </w:rPr>
      </w:pPr>
      <w:r w:rsidRPr="005339C4">
        <w:rPr>
          <w:lang w:val="fr"/>
        </w:rPr>
        <w:t>Prend note</w:t>
      </w:r>
      <w:r w:rsidR="00E22B41" w:rsidRPr="005339C4">
        <w:rPr>
          <w:lang w:val="fr"/>
        </w:rPr>
        <w:t xml:space="preserve"> en outre</w:t>
      </w:r>
      <w:r w:rsidRPr="005339C4">
        <w:rPr>
          <w:u w:val="none"/>
          <w:lang w:val="fr"/>
        </w:rPr>
        <w:t xml:space="preserve"> des transferts effectués au cours du second semestre 2023, entre les lignes budgétaires 4, 5 et 6, pour permettre à des expert</w:t>
      </w:r>
      <w:r w:rsidR="00E96231" w:rsidRPr="005339C4">
        <w:rPr>
          <w:u w:val="none"/>
          <w:lang w:val="fr"/>
        </w:rPr>
        <w:t>s</w:t>
      </w:r>
      <w:r w:rsidRPr="005339C4">
        <w:rPr>
          <w:u w:val="none"/>
          <w:lang w:val="fr"/>
        </w:rPr>
        <w:t xml:space="preserve"> d</w:t>
      </w:r>
      <w:r w:rsidR="007D1B10">
        <w:rPr>
          <w:u w:val="none"/>
          <w:lang w:val="fr"/>
        </w:rPr>
        <w:t>’</w:t>
      </w:r>
      <w:r w:rsidRPr="005339C4">
        <w:rPr>
          <w:u w:val="none"/>
          <w:lang w:val="fr"/>
        </w:rPr>
        <w:t>États en développement de participer à sa présente sess</w:t>
      </w:r>
      <w:r w:rsidR="00770CB2" w:rsidRPr="005339C4">
        <w:rPr>
          <w:u w:val="none"/>
          <w:lang w:val="fr"/>
        </w:rPr>
        <w:t>i</w:t>
      </w:r>
      <w:r w:rsidRPr="005339C4">
        <w:rPr>
          <w:u w:val="none"/>
          <w:lang w:val="fr"/>
        </w:rPr>
        <w:t xml:space="preserve">on ; </w:t>
      </w:r>
    </w:p>
    <w:p w14:paraId="5BBC8AAF" w14:textId="1EA319F4" w:rsidR="00C93756" w:rsidRPr="005339C4" w:rsidRDefault="004666AA" w:rsidP="00C93756">
      <w:pPr>
        <w:pStyle w:val="COMParaDecision"/>
        <w:rPr>
          <w:u w:val="none"/>
          <w:lang w:val="fr-FR"/>
        </w:rPr>
      </w:pPr>
      <w:r w:rsidRPr="005339C4">
        <w:rPr>
          <w:lang w:val="fr"/>
        </w:rPr>
        <w:t>Prend également note</w:t>
      </w:r>
      <w:r w:rsidRPr="005339C4">
        <w:rPr>
          <w:u w:val="none"/>
          <w:lang w:val="fr"/>
        </w:rPr>
        <w:t xml:space="preserve"> que le projet de pla</w:t>
      </w:r>
      <w:r w:rsidR="00770CB2" w:rsidRPr="005339C4">
        <w:rPr>
          <w:u w:val="none"/>
          <w:lang w:val="fr"/>
        </w:rPr>
        <w:t>n</w:t>
      </w:r>
      <w:r w:rsidRPr="005339C4">
        <w:rPr>
          <w:u w:val="none"/>
          <w:lang w:val="fr"/>
        </w:rPr>
        <w:t xml:space="preserve"> d</w:t>
      </w:r>
      <w:r w:rsidR="007D1B10">
        <w:rPr>
          <w:u w:val="none"/>
          <w:lang w:val="fr"/>
        </w:rPr>
        <w:t>’</w:t>
      </w:r>
      <w:r w:rsidRPr="005339C4">
        <w:rPr>
          <w:u w:val="none"/>
          <w:lang w:val="fr"/>
        </w:rPr>
        <w:t>utilisation des ressources du Fonds tient compte des coûts supplémentaires potentiels qui pourraient découler de la révision des Directives opérationnelles qui seront examinées par la dixième session d</w:t>
      </w:r>
      <w:r w:rsidR="00E96231" w:rsidRPr="005339C4">
        <w:rPr>
          <w:u w:val="none"/>
          <w:lang w:val="fr"/>
        </w:rPr>
        <w:t>e</w:t>
      </w:r>
      <w:r w:rsidRPr="005339C4">
        <w:rPr>
          <w:u w:val="none"/>
          <w:lang w:val="fr"/>
        </w:rPr>
        <w:t xml:space="preserve"> l</w:t>
      </w:r>
      <w:r w:rsidR="007D1B10">
        <w:rPr>
          <w:u w:val="none"/>
          <w:lang w:val="fr"/>
        </w:rPr>
        <w:t>’</w:t>
      </w:r>
      <w:r w:rsidRPr="005339C4">
        <w:rPr>
          <w:u w:val="none"/>
          <w:lang w:val="fr"/>
        </w:rPr>
        <w:t>Assemblée générale en 2</w:t>
      </w:r>
      <w:r w:rsidR="00E96231" w:rsidRPr="005339C4">
        <w:rPr>
          <w:u w:val="none"/>
          <w:lang w:val="fr"/>
        </w:rPr>
        <w:t>0</w:t>
      </w:r>
      <w:r w:rsidRPr="005339C4">
        <w:rPr>
          <w:u w:val="none"/>
          <w:lang w:val="fr"/>
        </w:rPr>
        <w:t xml:space="preserve">24 ; </w:t>
      </w:r>
    </w:p>
    <w:p w14:paraId="3FF40D12" w14:textId="7AF72E4C" w:rsidR="00C93756" w:rsidRPr="005339C4" w:rsidRDefault="00C93756" w:rsidP="00C93756">
      <w:pPr>
        <w:pStyle w:val="COMParaDecision"/>
        <w:rPr>
          <w:u w:val="none"/>
          <w:lang w:val="fr-FR"/>
        </w:rPr>
      </w:pPr>
      <w:r w:rsidRPr="005339C4">
        <w:rPr>
          <w:lang w:val="fr"/>
        </w:rPr>
        <w:t>Décide</w:t>
      </w:r>
      <w:r w:rsidRPr="005339C4">
        <w:rPr>
          <w:u w:val="none"/>
          <w:lang w:val="fr"/>
        </w:rPr>
        <w:t xml:space="preserve"> de fonder le projet de pla</w:t>
      </w:r>
      <w:r w:rsidR="00770CB2" w:rsidRPr="005339C4">
        <w:rPr>
          <w:u w:val="none"/>
          <w:lang w:val="fr"/>
        </w:rPr>
        <w:t>n</w:t>
      </w:r>
      <w:r w:rsidRPr="005339C4">
        <w:rPr>
          <w:u w:val="none"/>
          <w:lang w:val="fr"/>
        </w:rPr>
        <w:t xml:space="preserve"> d</w:t>
      </w:r>
      <w:r w:rsidR="007D1B10">
        <w:rPr>
          <w:u w:val="none"/>
          <w:lang w:val="fr"/>
        </w:rPr>
        <w:t>’</w:t>
      </w:r>
      <w:r w:rsidRPr="005339C4">
        <w:rPr>
          <w:u w:val="none"/>
          <w:lang w:val="fr"/>
        </w:rPr>
        <w:t xml:space="preserve">utilisation des ressources du Fonds pour les périodes </w:t>
      </w:r>
      <w:r w:rsidR="00E96231" w:rsidRPr="005339C4">
        <w:rPr>
          <w:u w:val="none"/>
          <w:lang w:val="fr"/>
        </w:rPr>
        <w:t xml:space="preserve">du </w:t>
      </w:r>
      <w:r w:rsidRPr="005339C4">
        <w:rPr>
          <w:u w:val="none"/>
          <w:lang w:val="fr"/>
        </w:rPr>
        <w:t>1er janvier 2024 au 31 décembre 2025 et du</w:t>
      </w:r>
      <w:r w:rsidRPr="005339C4">
        <w:rPr>
          <w:u w:val="none"/>
          <w:vertAlign w:val="superscript"/>
          <w:lang w:val="fr"/>
        </w:rPr>
        <w:t xml:space="preserve"> </w:t>
      </w:r>
      <w:r w:rsidRPr="005339C4">
        <w:rPr>
          <w:u w:val="none"/>
          <w:lang w:val="fr"/>
        </w:rPr>
        <w:t>1er janvier 2026 au 30</w:t>
      </w:r>
      <w:r w:rsidR="00E96231" w:rsidRPr="005339C4">
        <w:rPr>
          <w:u w:val="none"/>
          <w:lang w:val="fr"/>
        </w:rPr>
        <w:t> </w:t>
      </w:r>
      <w:r w:rsidRPr="005339C4">
        <w:rPr>
          <w:u w:val="none"/>
          <w:lang w:val="fr"/>
        </w:rPr>
        <w:t xml:space="preserve">juin 2026 sur </w:t>
      </w:r>
      <w:r w:rsidR="004C14B0" w:rsidRPr="005339C4">
        <w:rPr>
          <w:u w:val="none"/>
          <w:lang w:val="fr"/>
        </w:rPr>
        <w:t>la totalité</w:t>
      </w:r>
      <w:r w:rsidRPr="005339C4">
        <w:rPr>
          <w:u w:val="none"/>
          <w:lang w:val="fr"/>
        </w:rPr>
        <w:t xml:space="preserve"> des réserves </w:t>
      </w:r>
      <w:r w:rsidR="004C14B0" w:rsidRPr="005339C4">
        <w:rPr>
          <w:u w:val="none"/>
          <w:lang w:val="fr"/>
        </w:rPr>
        <w:t>d</w:t>
      </w:r>
      <w:r w:rsidR="007D1B10">
        <w:rPr>
          <w:u w:val="none"/>
          <w:lang w:val="fr"/>
        </w:rPr>
        <w:t>’</w:t>
      </w:r>
      <w:r w:rsidR="004C14B0" w:rsidRPr="005339C4">
        <w:rPr>
          <w:u w:val="none"/>
          <w:lang w:val="fr"/>
        </w:rPr>
        <w:t>exploitation</w:t>
      </w:r>
      <w:r w:rsidRPr="005339C4">
        <w:rPr>
          <w:u w:val="none"/>
          <w:lang w:val="fr"/>
        </w:rPr>
        <w:t xml:space="preserve"> non restreintes disponibles au 31</w:t>
      </w:r>
      <w:r w:rsidR="00E96231" w:rsidRPr="005339C4">
        <w:rPr>
          <w:u w:val="none"/>
          <w:lang w:val="fr"/>
        </w:rPr>
        <w:t> </w:t>
      </w:r>
      <w:r w:rsidRPr="005339C4">
        <w:rPr>
          <w:u w:val="none"/>
          <w:lang w:val="fr"/>
        </w:rPr>
        <w:t>décembre 2</w:t>
      </w:r>
      <w:r w:rsidR="00E96231" w:rsidRPr="005339C4">
        <w:rPr>
          <w:u w:val="none"/>
          <w:lang w:val="fr"/>
        </w:rPr>
        <w:t>0</w:t>
      </w:r>
      <w:r w:rsidRPr="005339C4">
        <w:rPr>
          <w:u w:val="none"/>
          <w:lang w:val="fr"/>
        </w:rPr>
        <w:t>23 ;</w:t>
      </w:r>
    </w:p>
    <w:p w14:paraId="62D44658" w14:textId="33E78897" w:rsidR="00C93756" w:rsidRPr="005339C4" w:rsidRDefault="00C93756" w:rsidP="00C93756">
      <w:pPr>
        <w:pStyle w:val="COMParaDecision"/>
        <w:keepLines/>
        <w:rPr>
          <w:u w:val="none"/>
          <w:lang w:val="fr-FR"/>
        </w:rPr>
      </w:pPr>
      <w:r w:rsidRPr="005339C4">
        <w:rPr>
          <w:lang w:val="fr"/>
        </w:rPr>
        <w:t>Soumet</w:t>
      </w:r>
      <w:r w:rsidRPr="005339C4">
        <w:rPr>
          <w:u w:val="none"/>
          <w:lang w:val="fr"/>
        </w:rPr>
        <w:t xml:space="preserve"> </w:t>
      </w:r>
      <w:r w:rsidR="009524DE" w:rsidRPr="005339C4">
        <w:rPr>
          <w:u w:val="none"/>
          <w:lang w:val="fr"/>
        </w:rPr>
        <w:t>à l</w:t>
      </w:r>
      <w:r w:rsidR="007D1B10">
        <w:rPr>
          <w:u w:val="none"/>
          <w:lang w:val="fr"/>
        </w:rPr>
        <w:t>’</w:t>
      </w:r>
      <w:r w:rsidR="009524DE" w:rsidRPr="005339C4">
        <w:rPr>
          <w:u w:val="none"/>
          <w:lang w:val="fr"/>
        </w:rPr>
        <w:t>approbation de l</w:t>
      </w:r>
      <w:r w:rsidR="00C76FED">
        <w:rPr>
          <w:u w:val="none"/>
          <w:lang w:val="fr"/>
        </w:rPr>
        <w:t>a dixième session de l’</w:t>
      </w:r>
      <w:r w:rsidR="009524DE" w:rsidRPr="005339C4">
        <w:rPr>
          <w:u w:val="none"/>
          <w:lang w:val="fr"/>
        </w:rPr>
        <w:t>Assemblée générale</w:t>
      </w:r>
      <w:r w:rsidR="00E96231" w:rsidRPr="005339C4">
        <w:rPr>
          <w:u w:val="none"/>
          <w:lang w:val="fr"/>
        </w:rPr>
        <w:t xml:space="preserve"> </w:t>
      </w:r>
      <w:r w:rsidRPr="005339C4">
        <w:rPr>
          <w:u w:val="none"/>
          <w:lang w:val="fr"/>
        </w:rPr>
        <w:t>le projet de pla</w:t>
      </w:r>
      <w:r w:rsidR="00E96231" w:rsidRPr="005339C4">
        <w:rPr>
          <w:u w:val="none"/>
          <w:lang w:val="fr"/>
        </w:rPr>
        <w:t>n</w:t>
      </w:r>
      <w:r w:rsidRPr="005339C4">
        <w:rPr>
          <w:u w:val="none"/>
          <w:lang w:val="fr"/>
        </w:rPr>
        <w:t xml:space="preserve"> d</w:t>
      </w:r>
      <w:r w:rsidR="007D1B10">
        <w:rPr>
          <w:u w:val="none"/>
          <w:lang w:val="fr"/>
        </w:rPr>
        <w:t>’</w:t>
      </w:r>
      <w:r w:rsidRPr="005339C4">
        <w:rPr>
          <w:u w:val="none"/>
          <w:lang w:val="fr"/>
        </w:rPr>
        <w:t>utilisation des ressources du Fonds, tel</w:t>
      </w:r>
      <w:r w:rsidR="00770CB2" w:rsidRPr="005339C4">
        <w:rPr>
          <w:u w:val="none"/>
          <w:lang w:val="fr"/>
        </w:rPr>
        <w:t xml:space="preserve"> </w:t>
      </w:r>
      <w:r w:rsidRPr="005339C4">
        <w:rPr>
          <w:u w:val="none"/>
          <w:lang w:val="fr"/>
        </w:rPr>
        <w:t>qu</w:t>
      </w:r>
      <w:r w:rsidR="007D1B10">
        <w:rPr>
          <w:u w:val="none"/>
          <w:lang w:val="fr"/>
        </w:rPr>
        <w:t>’</w:t>
      </w:r>
      <w:r w:rsidRPr="005339C4">
        <w:rPr>
          <w:u w:val="none"/>
          <w:lang w:val="fr"/>
        </w:rPr>
        <w:t>il figure</w:t>
      </w:r>
      <w:r w:rsidR="00E96231" w:rsidRPr="005339C4">
        <w:rPr>
          <w:u w:val="none"/>
          <w:lang w:val="fr"/>
        </w:rPr>
        <w:t xml:space="preserve"> à l</w:t>
      </w:r>
      <w:r w:rsidR="007D1B10">
        <w:rPr>
          <w:u w:val="none"/>
          <w:lang w:val="fr"/>
        </w:rPr>
        <w:t>’</w:t>
      </w:r>
      <w:r w:rsidRPr="005339C4">
        <w:rPr>
          <w:u w:val="none"/>
          <w:lang w:val="fr"/>
        </w:rPr>
        <w:t xml:space="preserve">annexe du document LHE/23/18.COM/14, et </w:t>
      </w:r>
      <w:r w:rsidRPr="005339C4">
        <w:rPr>
          <w:lang w:val="fr"/>
        </w:rPr>
        <w:t>propose</w:t>
      </w:r>
      <w:r w:rsidRPr="005339C4">
        <w:rPr>
          <w:u w:val="none"/>
          <w:lang w:val="fr"/>
        </w:rPr>
        <w:t xml:space="preserve"> </w:t>
      </w:r>
      <w:r w:rsidR="00E96231" w:rsidRPr="005339C4">
        <w:rPr>
          <w:u w:val="none"/>
          <w:lang w:val="fr"/>
        </w:rPr>
        <w:t xml:space="preserve">à </w:t>
      </w:r>
      <w:r w:rsidRPr="005339C4">
        <w:rPr>
          <w:u w:val="none"/>
          <w:lang w:val="fr"/>
        </w:rPr>
        <w:t>l</w:t>
      </w:r>
      <w:r w:rsidR="007D1B10">
        <w:rPr>
          <w:u w:val="none"/>
          <w:lang w:val="fr"/>
        </w:rPr>
        <w:t>’</w:t>
      </w:r>
      <w:r w:rsidRPr="005339C4">
        <w:rPr>
          <w:u w:val="none"/>
          <w:lang w:val="fr"/>
        </w:rPr>
        <w:t>Assemblée générale</w:t>
      </w:r>
      <w:r w:rsidR="00E96231" w:rsidRPr="005339C4">
        <w:rPr>
          <w:u w:val="none"/>
          <w:lang w:val="fr"/>
        </w:rPr>
        <w:t xml:space="preserve"> </w:t>
      </w:r>
      <w:r w:rsidRPr="005339C4">
        <w:rPr>
          <w:u w:val="none"/>
          <w:lang w:val="fr"/>
        </w:rPr>
        <w:t>qu</w:t>
      </w:r>
      <w:r w:rsidR="007D1B10">
        <w:rPr>
          <w:u w:val="none"/>
          <w:lang w:val="fr"/>
        </w:rPr>
        <w:t>’</w:t>
      </w:r>
      <w:r w:rsidRPr="005339C4">
        <w:rPr>
          <w:u w:val="none"/>
          <w:lang w:val="fr"/>
        </w:rPr>
        <w:t>un quart du montant fixé pour la période de deux ans du</w:t>
      </w:r>
      <w:r w:rsidRPr="005339C4">
        <w:rPr>
          <w:u w:val="none"/>
          <w:vertAlign w:val="superscript"/>
          <w:lang w:val="fr"/>
        </w:rPr>
        <w:t xml:space="preserve"> </w:t>
      </w:r>
      <w:r w:rsidRPr="005339C4">
        <w:rPr>
          <w:u w:val="none"/>
          <w:lang w:val="fr"/>
        </w:rPr>
        <w:t>1er janvier</w:t>
      </w:r>
      <w:r w:rsidR="00E96231" w:rsidRPr="005339C4">
        <w:rPr>
          <w:u w:val="none"/>
          <w:lang w:val="fr"/>
        </w:rPr>
        <w:t> </w:t>
      </w:r>
      <w:r w:rsidRPr="005339C4">
        <w:rPr>
          <w:u w:val="none"/>
          <w:lang w:val="fr"/>
        </w:rPr>
        <w:t>2024 au 31 décembre</w:t>
      </w:r>
      <w:r w:rsidR="00E96231" w:rsidRPr="005339C4">
        <w:rPr>
          <w:u w:val="none"/>
          <w:lang w:val="fr"/>
        </w:rPr>
        <w:t> </w:t>
      </w:r>
      <w:r w:rsidRPr="005339C4">
        <w:rPr>
          <w:u w:val="none"/>
          <w:lang w:val="fr"/>
        </w:rPr>
        <w:t>2025 soit provisoirement alloué au premier semestre de 2</w:t>
      </w:r>
      <w:r w:rsidR="00E96231" w:rsidRPr="005339C4">
        <w:rPr>
          <w:u w:val="none"/>
          <w:lang w:val="fr"/>
        </w:rPr>
        <w:t>0</w:t>
      </w:r>
      <w:r w:rsidRPr="005339C4">
        <w:rPr>
          <w:u w:val="none"/>
          <w:lang w:val="fr"/>
        </w:rPr>
        <w:t>26 ;</w:t>
      </w:r>
    </w:p>
    <w:p w14:paraId="7B0BC1D3" w14:textId="3E237254" w:rsidR="008072E1" w:rsidRPr="005339C4" w:rsidRDefault="001C728D" w:rsidP="00C93756">
      <w:pPr>
        <w:pStyle w:val="COMParaDecision"/>
        <w:rPr>
          <w:u w:val="none"/>
          <w:lang w:val="fr-FR"/>
        </w:rPr>
      </w:pPr>
      <w:r w:rsidRPr="005339C4">
        <w:rPr>
          <w:lang w:val="fr"/>
        </w:rPr>
        <w:t>Autorise</w:t>
      </w:r>
      <w:r w:rsidRPr="005339C4">
        <w:rPr>
          <w:u w:val="none"/>
          <w:lang w:val="fr"/>
        </w:rPr>
        <w:t xml:space="preserve"> le Secrétariat à utiliser à titre expérimental un montant ne dépassant pas 10 % du budget approuvé de chaque proje</w:t>
      </w:r>
      <w:r w:rsidR="00770CB2" w:rsidRPr="005339C4">
        <w:rPr>
          <w:u w:val="none"/>
          <w:lang w:val="fr"/>
        </w:rPr>
        <w:t>t</w:t>
      </w:r>
      <w:r w:rsidRPr="005339C4">
        <w:rPr>
          <w:u w:val="none"/>
          <w:lang w:val="fr"/>
        </w:rPr>
        <w:t xml:space="preserve"> d</w:t>
      </w:r>
      <w:r w:rsidR="007D1B10">
        <w:rPr>
          <w:u w:val="none"/>
          <w:lang w:val="fr"/>
        </w:rPr>
        <w:t>’</w:t>
      </w:r>
      <w:r w:rsidRPr="005339C4">
        <w:rPr>
          <w:u w:val="none"/>
          <w:lang w:val="fr"/>
        </w:rPr>
        <w:t>assistance internationale identifié, en plus du montant accordé par le Comité ou son Bureau pour chaque projet, afin de suivre e</w:t>
      </w:r>
      <w:r w:rsidR="00E96231" w:rsidRPr="005339C4">
        <w:rPr>
          <w:u w:val="none"/>
          <w:lang w:val="fr"/>
        </w:rPr>
        <w:t xml:space="preserve">t </w:t>
      </w:r>
      <w:r w:rsidRPr="005339C4">
        <w:rPr>
          <w:u w:val="none"/>
          <w:lang w:val="fr"/>
        </w:rPr>
        <w:t>d</w:t>
      </w:r>
      <w:r w:rsidR="007D1B10">
        <w:rPr>
          <w:u w:val="none"/>
          <w:lang w:val="fr"/>
        </w:rPr>
        <w:t>’</w:t>
      </w:r>
      <w:r w:rsidRPr="005339C4">
        <w:rPr>
          <w:u w:val="none"/>
          <w:lang w:val="fr"/>
        </w:rPr>
        <w:t>évalue</w:t>
      </w:r>
      <w:r w:rsidR="00E96231" w:rsidRPr="005339C4">
        <w:rPr>
          <w:u w:val="none"/>
          <w:lang w:val="fr"/>
        </w:rPr>
        <w:t>r</w:t>
      </w:r>
      <w:r w:rsidRPr="005339C4">
        <w:rPr>
          <w:u w:val="none"/>
          <w:lang w:val="fr"/>
        </w:rPr>
        <w:t xml:space="preserve"> l</w:t>
      </w:r>
      <w:r w:rsidR="007D1B10">
        <w:rPr>
          <w:u w:val="none"/>
          <w:lang w:val="fr"/>
        </w:rPr>
        <w:t>’</w:t>
      </w:r>
      <w:r w:rsidRPr="005339C4">
        <w:rPr>
          <w:u w:val="none"/>
          <w:lang w:val="fr"/>
        </w:rPr>
        <w:t xml:space="preserve">impact des projets soutenus par le Fonds, et </w:t>
      </w:r>
      <w:r w:rsidRPr="005339C4">
        <w:rPr>
          <w:lang w:val="fr"/>
        </w:rPr>
        <w:t>demande</w:t>
      </w:r>
      <w:r w:rsidRPr="005339C4">
        <w:rPr>
          <w:u w:val="none"/>
          <w:lang w:val="fr"/>
        </w:rPr>
        <w:t xml:space="preserve"> au Secrétariat de faire un rapport su</w:t>
      </w:r>
      <w:r w:rsidR="00E96231" w:rsidRPr="005339C4">
        <w:rPr>
          <w:u w:val="none"/>
          <w:lang w:val="fr"/>
        </w:rPr>
        <w:t>r</w:t>
      </w:r>
      <w:r w:rsidRPr="005339C4">
        <w:rPr>
          <w:u w:val="none"/>
          <w:lang w:val="fr"/>
        </w:rPr>
        <w:t xml:space="preserve"> l</w:t>
      </w:r>
      <w:r w:rsidR="007D1B10">
        <w:rPr>
          <w:u w:val="none"/>
          <w:lang w:val="fr"/>
        </w:rPr>
        <w:t>’</w:t>
      </w:r>
      <w:r w:rsidRPr="005339C4">
        <w:rPr>
          <w:u w:val="none"/>
          <w:lang w:val="fr"/>
        </w:rPr>
        <w:t>utilisation des fonds à cette fin lors de sa vingtième sess</w:t>
      </w:r>
      <w:r w:rsidR="00E96231" w:rsidRPr="005339C4">
        <w:rPr>
          <w:u w:val="none"/>
          <w:lang w:val="fr"/>
        </w:rPr>
        <w:t>i</w:t>
      </w:r>
      <w:r w:rsidRPr="005339C4">
        <w:rPr>
          <w:u w:val="none"/>
          <w:lang w:val="fr"/>
        </w:rPr>
        <w:t xml:space="preserve">on ; </w:t>
      </w:r>
    </w:p>
    <w:p w14:paraId="18370BDC" w14:textId="2588D511" w:rsidR="00C93756" w:rsidRPr="005339C4" w:rsidRDefault="00F737BF" w:rsidP="00C93756">
      <w:pPr>
        <w:pStyle w:val="COMParaDecision"/>
        <w:rPr>
          <w:lang w:val="fr-FR"/>
        </w:rPr>
      </w:pPr>
      <w:r w:rsidRPr="005339C4">
        <w:rPr>
          <w:lang w:val="fr"/>
        </w:rPr>
        <w:t>Autorise en outre</w:t>
      </w:r>
      <w:r w:rsidRPr="005339C4">
        <w:rPr>
          <w:u w:val="none"/>
          <w:lang w:val="fr"/>
        </w:rPr>
        <w:t xml:space="preserve"> le Secrétariat, lors d</w:t>
      </w:r>
      <w:r w:rsidR="00E96231" w:rsidRPr="005339C4">
        <w:rPr>
          <w:u w:val="none"/>
          <w:lang w:val="fr"/>
        </w:rPr>
        <w:t>e</w:t>
      </w:r>
      <w:r w:rsidRPr="005339C4">
        <w:rPr>
          <w:u w:val="none"/>
          <w:lang w:val="fr"/>
        </w:rPr>
        <w:t xml:space="preserve"> l</w:t>
      </w:r>
      <w:r w:rsidR="007D1B10">
        <w:rPr>
          <w:u w:val="none"/>
          <w:lang w:val="fr"/>
        </w:rPr>
        <w:t>’</w:t>
      </w:r>
      <w:r w:rsidRPr="005339C4">
        <w:rPr>
          <w:u w:val="none"/>
          <w:lang w:val="fr"/>
        </w:rPr>
        <w:t xml:space="preserve">utilisation des fonds alloués au titre de la ligne budgétaire 3 du </w:t>
      </w:r>
      <w:r w:rsidR="009524DE" w:rsidRPr="005339C4">
        <w:rPr>
          <w:u w:val="none"/>
          <w:lang w:val="fr"/>
        </w:rPr>
        <w:t>p</w:t>
      </w:r>
      <w:r w:rsidRPr="005339C4">
        <w:rPr>
          <w:u w:val="none"/>
          <w:lang w:val="fr"/>
        </w:rPr>
        <w:t>lan, à effectuer des transferts entre les activités figurant dans les propositions spécifiques de la ligne budgétaire 3 à concurrence d</w:t>
      </w:r>
      <w:r w:rsidR="007D1B10">
        <w:rPr>
          <w:u w:val="none"/>
          <w:lang w:val="fr"/>
        </w:rPr>
        <w:t>’</w:t>
      </w:r>
      <w:r w:rsidRPr="005339C4">
        <w:rPr>
          <w:u w:val="none"/>
          <w:lang w:val="fr"/>
        </w:rPr>
        <w:t>un montant cumulé équivalent à 5 % d</w:t>
      </w:r>
      <w:r w:rsidR="00EA4E51" w:rsidRPr="005339C4">
        <w:rPr>
          <w:u w:val="none"/>
          <w:lang w:val="fr"/>
        </w:rPr>
        <w:t>e</w:t>
      </w:r>
      <w:r w:rsidRPr="005339C4">
        <w:rPr>
          <w:u w:val="none"/>
          <w:lang w:val="fr"/>
        </w:rPr>
        <w:t xml:space="preserve"> l</w:t>
      </w:r>
      <w:r w:rsidR="007D1B10">
        <w:rPr>
          <w:u w:val="none"/>
          <w:lang w:val="fr"/>
        </w:rPr>
        <w:t>’</w:t>
      </w:r>
      <w:r w:rsidRPr="005339C4">
        <w:rPr>
          <w:u w:val="none"/>
          <w:lang w:val="fr"/>
        </w:rPr>
        <w:t xml:space="preserve">allocation </w:t>
      </w:r>
      <w:r w:rsidR="009524DE" w:rsidRPr="005339C4">
        <w:rPr>
          <w:u w:val="none"/>
          <w:lang w:val="fr"/>
        </w:rPr>
        <w:t xml:space="preserve">initiale </w:t>
      </w:r>
      <w:r w:rsidRPr="005339C4">
        <w:rPr>
          <w:u w:val="none"/>
          <w:lang w:val="fr"/>
        </w:rPr>
        <w:t xml:space="preserve">totale proposée </w:t>
      </w:r>
      <w:r w:rsidR="00E96231" w:rsidRPr="005339C4">
        <w:rPr>
          <w:u w:val="none"/>
          <w:lang w:val="fr"/>
        </w:rPr>
        <w:t>à</w:t>
      </w:r>
      <w:r w:rsidRPr="005339C4">
        <w:rPr>
          <w:u w:val="none"/>
          <w:lang w:val="fr"/>
        </w:rPr>
        <w:t xml:space="preserve"> l</w:t>
      </w:r>
      <w:r w:rsidR="007D1B10">
        <w:rPr>
          <w:u w:val="none"/>
          <w:lang w:val="fr"/>
        </w:rPr>
        <w:t>’</w:t>
      </w:r>
      <w:r w:rsidRPr="005339C4">
        <w:rPr>
          <w:u w:val="none"/>
          <w:lang w:val="fr"/>
        </w:rPr>
        <w:t xml:space="preserve">Assemblée générale à cette fin, et </w:t>
      </w:r>
      <w:r w:rsidRPr="005339C4">
        <w:rPr>
          <w:lang w:val="fr"/>
        </w:rPr>
        <w:t>demande en outre</w:t>
      </w:r>
      <w:r w:rsidRPr="005339C4">
        <w:rPr>
          <w:u w:val="none"/>
          <w:lang w:val="fr"/>
        </w:rPr>
        <w:t xml:space="preserve"> au Secrétariat d</w:t>
      </w:r>
      <w:r w:rsidR="007D1B10">
        <w:rPr>
          <w:u w:val="none"/>
          <w:lang w:val="fr"/>
        </w:rPr>
        <w:t>’</w:t>
      </w:r>
      <w:r w:rsidRPr="005339C4">
        <w:rPr>
          <w:u w:val="none"/>
          <w:lang w:val="fr"/>
        </w:rPr>
        <w:t>informer par écrit le Comité, lors de la session suivant cette action, des détails et motifs de ces transfe</w:t>
      </w:r>
      <w:r w:rsidR="00E96231" w:rsidRPr="005339C4">
        <w:rPr>
          <w:u w:val="none"/>
          <w:lang w:val="fr"/>
        </w:rPr>
        <w:t>r</w:t>
      </w:r>
      <w:r w:rsidRPr="005339C4">
        <w:rPr>
          <w:u w:val="none"/>
          <w:lang w:val="fr"/>
        </w:rPr>
        <w:t>ts ;</w:t>
      </w:r>
    </w:p>
    <w:p w14:paraId="12CEBD6F" w14:textId="2FA11C75" w:rsidR="00C93756" w:rsidRPr="005339C4" w:rsidRDefault="00C93756" w:rsidP="00C93756">
      <w:pPr>
        <w:pStyle w:val="COMParaDecision"/>
        <w:rPr>
          <w:u w:val="none"/>
          <w:lang w:val="fr-FR"/>
        </w:rPr>
      </w:pPr>
      <w:r w:rsidRPr="005339C4">
        <w:rPr>
          <w:lang w:val="fr"/>
        </w:rPr>
        <w:t>Recommande</w:t>
      </w:r>
      <w:r w:rsidRPr="005339C4">
        <w:rPr>
          <w:u w:val="none"/>
          <w:lang w:val="fr"/>
        </w:rPr>
        <w:t xml:space="preserve"> </w:t>
      </w:r>
      <w:r w:rsidR="00E96231" w:rsidRPr="005339C4">
        <w:rPr>
          <w:u w:val="none"/>
          <w:lang w:val="fr"/>
        </w:rPr>
        <w:t xml:space="preserve">à </w:t>
      </w:r>
      <w:r w:rsidRPr="005339C4">
        <w:rPr>
          <w:u w:val="none"/>
          <w:lang w:val="fr"/>
        </w:rPr>
        <w:t>l</w:t>
      </w:r>
      <w:r w:rsidR="007D1B10">
        <w:rPr>
          <w:u w:val="none"/>
          <w:lang w:val="fr"/>
        </w:rPr>
        <w:t>’</w:t>
      </w:r>
      <w:r w:rsidRPr="005339C4">
        <w:rPr>
          <w:u w:val="none"/>
          <w:lang w:val="fr"/>
        </w:rPr>
        <w:t>Assemblée général</w:t>
      </w:r>
      <w:r w:rsidR="00E96231" w:rsidRPr="005339C4">
        <w:rPr>
          <w:u w:val="none"/>
          <w:lang w:val="fr"/>
        </w:rPr>
        <w:t>e</w:t>
      </w:r>
      <w:r w:rsidRPr="005339C4">
        <w:rPr>
          <w:u w:val="none"/>
          <w:lang w:val="fr"/>
        </w:rPr>
        <w:t xml:space="preserve"> d</w:t>
      </w:r>
      <w:r w:rsidR="007D1B10">
        <w:rPr>
          <w:u w:val="none"/>
          <w:lang w:val="fr"/>
        </w:rPr>
        <w:t>’</w:t>
      </w:r>
      <w:r w:rsidRPr="005339C4">
        <w:rPr>
          <w:u w:val="none"/>
          <w:lang w:val="fr"/>
        </w:rPr>
        <w:t xml:space="preserve">autoriser le </w:t>
      </w:r>
      <w:bookmarkStart w:id="8" w:name="_Hlk146895867"/>
      <w:r w:rsidRPr="005339C4">
        <w:rPr>
          <w:u w:val="none"/>
          <w:lang w:val="fr"/>
        </w:rPr>
        <w:t xml:space="preserve">Secrétariat à </w:t>
      </w:r>
      <w:r w:rsidR="009524DE" w:rsidRPr="005339C4">
        <w:rPr>
          <w:u w:val="none"/>
          <w:lang w:val="fr"/>
        </w:rPr>
        <w:t>opérer</w:t>
      </w:r>
      <w:r w:rsidRPr="005339C4">
        <w:rPr>
          <w:u w:val="none"/>
          <w:lang w:val="fr"/>
        </w:rPr>
        <w:t xml:space="preserve"> des transferts entre les lignes budgétaires 4, 5, 6 et 7, jusqu</w:t>
      </w:r>
      <w:r w:rsidR="007D1B10">
        <w:rPr>
          <w:u w:val="none"/>
          <w:lang w:val="fr"/>
        </w:rPr>
        <w:t>’</w:t>
      </w:r>
      <w:r w:rsidRPr="005339C4">
        <w:rPr>
          <w:u w:val="none"/>
          <w:lang w:val="fr"/>
        </w:rPr>
        <w:t xml:space="preserve">à un montant équivalent à 30 % de leur allocation </w:t>
      </w:r>
      <w:r w:rsidR="009524DE" w:rsidRPr="005339C4">
        <w:rPr>
          <w:u w:val="none"/>
          <w:lang w:val="fr"/>
        </w:rPr>
        <w:t xml:space="preserve">initiale </w:t>
      </w:r>
      <w:r w:rsidRPr="005339C4">
        <w:rPr>
          <w:u w:val="none"/>
          <w:lang w:val="fr"/>
        </w:rPr>
        <w:t>totale,</w:t>
      </w:r>
      <w:bookmarkEnd w:id="8"/>
      <w:r w:rsidRPr="005339C4">
        <w:rPr>
          <w:u w:val="none"/>
          <w:lang w:val="fr"/>
        </w:rPr>
        <w:t xml:space="preserve"> et </w:t>
      </w:r>
      <w:r w:rsidRPr="005339C4">
        <w:rPr>
          <w:lang w:val="fr"/>
        </w:rPr>
        <w:t>demande également</w:t>
      </w:r>
      <w:r w:rsidRPr="005339C4">
        <w:rPr>
          <w:u w:val="none"/>
          <w:lang w:val="fr"/>
        </w:rPr>
        <w:t xml:space="preserve"> au Secrétaria</w:t>
      </w:r>
      <w:r w:rsidR="00770CB2" w:rsidRPr="005339C4">
        <w:rPr>
          <w:u w:val="none"/>
          <w:lang w:val="fr"/>
        </w:rPr>
        <w:t>t</w:t>
      </w:r>
      <w:r w:rsidRPr="005339C4">
        <w:rPr>
          <w:u w:val="none"/>
          <w:lang w:val="fr"/>
        </w:rPr>
        <w:t xml:space="preserve"> d</w:t>
      </w:r>
      <w:r w:rsidR="007D1B10">
        <w:rPr>
          <w:u w:val="none"/>
          <w:lang w:val="fr"/>
        </w:rPr>
        <w:t>’</w:t>
      </w:r>
      <w:r w:rsidRPr="005339C4">
        <w:rPr>
          <w:u w:val="none"/>
          <w:lang w:val="fr"/>
        </w:rPr>
        <w:t>informer par écrit le Comité e</w:t>
      </w:r>
      <w:r w:rsidR="00E96231" w:rsidRPr="005339C4">
        <w:rPr>
          <w:u w:val="none"/>
          <w:lang w:val="fr"/>
        </w:rPr>
        <w:t>t</w:t>
      </w:r>
      <w:r w:rsidRPr="005339C4">
        <w:rPr>
          <w:u w:val="none"/>
          <w:lang w:val="fr"/>
        </w:rPr>
        <w:t xml:space="preserve"> l</w:t>
      </w:r>
      <w:r w:rsidR="007D1B10">
        <w:rPr>
          <w:u w:val="none"/>
          <w:lang w:val="fr"/>
        </w:rPr>
        <w:t>’</w:t>
      </w:r>
      <w:r w:rsidRPr="005339C4">
        <w:rPr>
          <w:u w:val="none"/>
          <w:lang w:val="fr"/>
        </w:rPr>
        <w:t xml:space="preserve">Assemblée générale, lors de la session suivant cette action, des détails et des </w:t>
      </w:r>
      <w:r w:rsidR="009524DE" w:rsidRPr="005339C4">
        <w:rPr>
          <w:u w:val="none"/>
          <w:lang w:val="fr"/>
        </w:rPr>
        <w:t>motifs</w:t>
      </w:r>
      <w:r w:rsidRPr="005339C4">
        <w:rPr>
          <w:u w:val="none"/>
          <w:lang w:val="fr"/>
        </w:rPr>
        <w:t xml:space="preserve"> de ces transferts.</w:t>
      </w:r>
    </w:p>
    <w:p w14:paraId="19AC5F4A" w14:textId="23EB7589" w:rsidR="00937D53" w:rsidRPr="005339C4" w:rsidRDefault="00937D53">
      <w:pPr>
        <w:rPr>
          <w:rFonts w:ascii="Arial" w:eastAsia="SimSun" w:hAnsi="Arial" w:cs="Arial"/>
          <w:sz w:val="22"/>
          <w:szCs w:val="22"/>
          <w:u w:val="single"/>
        </w:rPr>
      </w:pPr>
      <w:r w:rsidRPr="005339C4">
        <w:rPr>
          <w:rFonts w:ascii="Arial" w:eastAsia="SimSun" w:hAnsi="Arial" w:cs="Arial"/>
          <w:sz w:val="22"/>
          <w:szCs w:val="22"/>
          <w:u w:val="single"/>
          <w:lang w:val="fr"/>
        </w:rPr>
        <w:br w:type="page"/>
      </w:r>
    </w:p>
    <w:p w14:paraId="0446D2C2" w14:textId="77777777" w:rsidR="001E5E30" w:rsidRPr="005339C4" w:rsidRDefault="001E5E30" w:rsidP="001E5E30">
      <w:pPr>
        <w:pStyle w:val="Annex"/>
        <w:rPr>
          <w:u w:val="single"/>
        </w:rPr>
      </w:pPr>
      <w:r w:rsidRPr="005339C4">
        <w:rPr>
          <w:u w:val="single"/>
          <w:lang w:val="fr"/>
        </w:rPr>
        <w:t>ANNEXE</w:t>
      </w:r>
    </w:p>
    <w:tbl>
      <w:tblPr>
        <w:tblW w:w="9771" w:type="dxa"/>
        <w:tblCellMar>
          <w:left w:w="70" w:type="dxa"/>
          <w:right w:w="70" w:type="dxa"/>
        </w:tblCellMar>
        <w:tblLook w:val="04A0" w:firstRow="1" w:lastRow="0" w:firstColumn="1" w:lastColumn="0" w:noHBand="0" w:noVBand="1"/>
      </w:tblPr>
      <w:tblGrid>
        <w:gridCol w:w="416"/>
        <w:gridCol w:w="6804"/>
        <w:gridCol w:w="1275"/>
        <w:gridCol w:w="1276"/>
      </w:tblGrid>
      <w:tr w:rsidR="001E5E30" w:rsidRPr="005339C4" w14:paraId="3761598B" w14:textId="77777777" w:rsidTr="00085DDB">
        <w:trPr>
          <w:trHeight w:val="315"/>
        </w:trPr>
        <w:tc>
          <w:tcPr>
            <w:tcW w:w="7220" w:type="dxa"/>
            <w:gridSpan w:val="2"/>
            <w:tcBorders>
              <w:top w:val="single" w:sz="8" w:space="0" w:color="auto"/>
              <w:left w:val="single" w:sz="8" w:space="0" w:color="auto"/>
              <w:bottom w:val="single" w:sz="8" w:space="0" w:color="auto"/>
              <w:right w:val="single" w:sz="4" w:space="0" w:color="auto"/>
            </w:tcBorders>
            <w:shd w:val="clear" w:color="000000" w:fill="D8D8D8"/>
            <w:vAlign w:val="center"/>
            <w:hideMark/>
          </w:tcPr>
          <w:p w14:paraId="2C100F48" w14:textId="2E234DF5" w:rsidR="001E5E30" w:rsidRPr="005339C4" w:rsidRDefault="001E5E30" w:rsidP="00D42F6A">
            <w:pPr>
              <w:spacing w:before="60" w:after="60"/>
              <w:jc w:val="center"/>
              <w:rPr>
                <w:rFonts w:ascii="Arial" w:hAnsi="Arial" w:cs="Arial"/>
                <w:b/>
                <w:bCs/>
                <w:color w:val="000000"/>
                <w:sz w:val="18"/>
                <w:szCs w:val="18"/>
              </w:rPr>
            </w:pPr>
            <w:r w:rsidRPr="005339C4">
              <w:rPr>
                <w:rFonts w:ascii="Arial" w:hAnsi="Arial" w:cs="Arial"/>
                <w:b/>
                <w:bCs/>
                <w:color w:val="000000"/>
                <w:sz w:val="18"/>
                <w:szCs w:val="18"/>
                <w:lang w:val="fr"/>
              </w:rPr>
              <w:t>Projet de pla</w:t>
            </w:r>
            <w:r w:rsidR="00EA4E51" w:rsidRPr="005339C4">
              <w:rPr>
                <w:rFonts w:ascii="Arial" w:hAnsi="Arial" w:cs="Arial"/>
                <w:b/>
                <w:bCs/>
                <w:color w:val="000000"/>
                <w:sz w:val="18"/>
                <w:szCs w:val="18"/>
                <w:lang w:val="fr"/>
              </w:rPr>
              <w:t>n</w:t>
            </w:r>
            <w:r w:rsidRPr="005339C4">
              <w:rPr>
                <w:rFonts w:ascii="Arial" w:hAnsi="Arial" w:cs="Arial"/>
                <w:b/>
                <w:bCs/>
                <w:color w:val="000000"/>
                <w:sz w:val="18"/>
                <w:szCs w:val="18"/>
                <w:lang w:val="fr"/>
              </w:rPr>
              <w:t xml:space="preserve"> d</w:t>
            </w:r>
            <w:r w:rsidR="007D1B10">
              <w:rPr>
                <w:rFonts w:ascii="Arial" w:hAnsi="Arial" w:cs="Arial"/>
                <w:b/>
                <w:bCs/>
                <w:color w:val="000000"/>
                <w:sz w:val="18"/>
                <w:szCs w:val="18"/>
                <w:lang w:val="fr"/>
              </w:rPr>
              <w:t>’</w:t>
            </w:r>
            <w:r w:rsidRPr="005339C4">
              <w:rPr>
                <w:rFonts w:ascii="Arial" w:hAnsi="Arial" w:cs="Arial"/>
                <w:b/>
                <w:bCs/>
                <w:color w:val="000000"/>
                <w:sz w:val="18"/>
                <w:szCs w:val="18"/>
                <w:lang w:val="fr"/>
              </w:rPr>
              <w:t>utilisation des ressources du Fonds</w:t>
            </w:r>
          </w:p>
        </w:tc>
        <w:tc>
          <w:tcPr>
            <w:tcW w:w="1275" w:type="dxa"/>
            <w:tcBorders>
              <w:top w:val="single" w:sz="4" w:space="0" w:color="auto"/>
              <w:left w:val="single" w:sz="4" w:space="0" w:color="auto"/>
              <w:bottom w:val="nil"/>
              <w:right w:val="single" w:sz="4" w:space="0" w:color="auto"/>
            </w:tcBorders>
            <w:shd w:val="clear" w:color="auto" w:fill="auto"/>
            <w:vAlign w:val="center"/>
            <w:hideMark/>
          </w:tcPr>
          <w:p w14:paraId="7F26F679" w14:textId="77777777" w:rsidR="001E5E30" w:rsidRPr="005339C4" w:rsidRDefault="001E5E30" w:rsidP="00D42F6A">
            <w:pPr>
              <w:spacing w:before="60" w:after="60"/>
              <w:jc w:val="center"/>
              <w:rPr>
                <w:rFonts w:ascii="Arial" w:hAnsi="Arial" w:cs="Arial"/>
                <w:b/>
                <w:bCs/>
                <w:color w:val="000000"/>
                <w:sz w:val="18"/>
                <w:szCs w:val="18"/>
              </w:rPr>
            </w:pPr>
          </w:p>
        </w:tc>
        <w:tc>
          <w:tcPr>
            <w:tcW w:w="1276" w:type="dxa"/>
            <w:tcBorders>
              <w:top w:val="dashed" w:sz="4" w:space="0" w:color="auto"/>
              <w:left w:val="single" w:sz="4" w:space="0" w:color="auto"/>
              <w:bottom w:val="nil"/>
              <w:right w:val="dashed" w:sz="4" w:space="0" w:color="auto"/>
            </w:tcBorders>
            <w:shd w:val="clear" w:color="auto" w:fill="auto"/>
            <w:noWrap/>
            <w:vAlign w:val="bottom"/>
            <w:hideMark/>
          </w:tcPr>
          <w:p w14:paraId="14CA7E70" w14:textId="77777777" w:rsidR="001E5E30" w:rsidRPr="005339C4" w:rsidRDefault="001E5E30" w:rsidP="00D42F6A">
            <w:pPr>
              <w:spacing w:before="60" w:after="60"/>
              <w:jc w:val="center"/>
              <w:rPr>
                <w:sz w:val="20"/>
                <w:szCs w:val="20"/>
              </w:rPr>
            </w:pPr>
          </w:p>
        </w:tc>
      </w:tr>
      <w:tr w:rsidR="001E5E30" w:rsidRPr="005339C4" w14:paraId="56A0B41D" w14:textId="77777777" w:rsidTr="00D42F6A">
        <w:trPr>
          <w:trHeight w:val="567"/>
        </w:trPr>
        <w:tc>
          <w:tcPr>
            <w:tcW w:w="7220" w:type="dxa"/>
            <w:gridSpan w:val="2"/>
            <w:tcBorders>
              <w:top w:val="single" w:sz="8" w:space="0" w:color="auto"/>
              <w:left w:val="single" w:sz="8" w:space="0" w:color="auto"/>
              <w:bottom w:val="single" w:sz="8" w:space="0" w:color="auto"/>
              <w:right w:val="nil"/>
            </w:tcBorders>
            <w:shd w:val="clear" w:color="auto" w:fill="auto"/>
            <w:vAlign w:val="center"/>
            <w:hideMark/>
          </w:tcPr>
          <w:p w14:paraId="2CB4EE95" w14:textId="59E80F7E" w:rsidR="001E5E30" w:rsidRPr="005339C4" w:rsidRDefault="001E5E30" w:rsidP="00D42F6A">
            <w:pPr>
              <w:spacing w:before="60" w:after="60"/>
              <w:rPr>
                <w:rFonts w:asciiTheme="minorBidi" w:hAnsiTheme="minorBidi" w:cstheme="minorBidi"/>
                <w:color w:val="000000"/>
                <w:sz w:val="18"/>
                <w:szCs w:val="18"/>
              </w:rPr>
            </w:pPr>
            <w:r w:rsidRPr="005339C4">
              <w:rPr>
                <w:rFonts w:asciiTheme="minorBidi" w:hAnsiTheme="minorBidi" w:cstheme="minorBidi"/>
                <w:color w:val="000000"/>
                <w:sz w:val="18"/>
                <w:szCs w:val="18"/>
                <w:lang w:val="fr"/>
              </w:rPr>
              <w:t>Pour la période du</w:t>
            </w:r>
            <w:r w:rsidRPr="005339C4">
              <w:rPr>
                <w:rFonts w:asciiTheme="minorBidi" w:hAnsiTheme="minorBidi" w:cstheme="minorBidi"/>
                <w:color w:val="000000"/>
                <w:sz w:val="18"/>
                <w:szCs w:val="18"/>
                <w:vertAlign w:val="superscript"/>
                <w:lang w:val="fr"/>
              </w:rPr>
              <w:t xml:space="preserve"> </w:t>
            </w:r>
            <w:r w:rsidRPr="005339C4">
              <w:rPr>
                <w:rFonts w:asciiTheme="minorBidi" w:hAnsiTheme="minorBidi" w:cstheme="minorBidi"/>
                <w:color w:val="000000"/>
                <w:sz w:val="18"/>
                <w:szCs w:val="18"/>
                <w:lang w:val="fr"/>
              </w:rPr>
              <w:t>1er janvier 2024 au 31 décembre 2025, ainsi que pour la période du</w:t>
            </w:r>
            <w:r w:rsidRPr="005339C4">
              <w:rPr>
                <w:rFonts w:asciiTheme="minorBidi" w:hAnsiTheme="minorBidi" w:cstheme="minorBidi"/>
                <w:color w:val="000000"/>
                <w:sz w:val="18"/>
                <w:szCs w:val="18"/>
                <w:vertAlign w:val="superscript"/>
                <w:lang w:val="fr"/>
              </w:rPr>
              <w:t xml:space="preserve"> </w:t>
            </w:r>
            <w:r w:rsidRPr="005339C4">
              <w:rPr>
                <w:rFonts w:asciiTheme="minorBidi" w:hAnsiTheme="minorBidi" w:cstheme="minorBidi"/>
                <w:color w:val="000000"/>
                <w:sz w:val="18"/>
                <w:szCs w:val="18"/>
                <w:lang w:val="fr"/>
              </w:rPr>
              <w:t>1er janvier au 30 juin 2026, les ressources du Fonds du patrimoine culturel immatériel peuvent être utilisées aux fins suivan</w:t>
            </w:r>
            <w:r w:rsidR="00EA4E51" w:rsidRPr="005339C4">
              <w:rPr>
                <w:rFonts w:asciiTheme="minorBidi" w:hAnsiTheme="minorBidi" w:cstheme="minorBidi"/>
                <w:color w:val="000000"/>
                <w:sz w:val="18"/>
                <w:szCs w:val="18"/>
                <w:lang w:val="fr"/>
              </w:rPr>
              <w:t>t</w:t>
            </w:r>
            <w:r w:rsidRPr="005339C4">
              <w:rPr>
                <w:rFonts w:asciiTheme="minorBidi" w:hAnsiTheme="minorBidi" w:cstheme="minorBidi"/>
                <w:color w:val="000000"/>
                <w:sz w:val="18"/>
                <w:szCs w:val="18"/>
                <w:lang w:val="fr"/>
              </w:rPr>
              <w:t>es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18FBD" w14:textId="77777777" w:rsidR="001E5E30" w:rsidRPr="005339C4" w:rsidRDefault="001E5E30" w:rsidP="00D42F6A">
            <w:pPr>
              <w:spacing w:before="60" w:after="60"/>
              <w:jc w:val="center"/>
              <w:rPr>
                <w:rFonts w:asciiTheme="minorBidi" w:hAnsiTheme="minorBidi" w:cstheme="minorBidi"/>
                <w:sz w:val="18"/>
                <w:szCs w:val="18"/>
              </w:rPr>
            </w:pPr>
            <w:r w:rsidRPr="005339C4">
              <w:rPr>
                <w:rFonts w:asciiTheme="minorBidi" w:hAnsiTheme="minorBidi" w:cstheme="minorBidi"/>
                <w:sz w:val="18"/>
                <w:szCs w:val="18"/>
                <w:lang w:val="fr"/>
              </w:rPr>
              <w:t xml:space="preserve">% du montant total proposé </w:t>
            </w:r>
          </w:p>
        </w:tc>
        <w:tc>
          <w:tcPr>
            <w:tcW w:w="1276" w:type="dxa"/>
            <w:tcBorders>
              <w:top w:val="dashed" w:sz="4" w:space="0" w:color="auto"/>
              <w:left w:val="nil"/>
              <w:bottom w:val="dashed" w:sz="4" w:space="0" w:color="auto"/>
              <w:right w:val="dashed" w:sz="4" w:space="0" w:color="auto"/>
            </w:tcBorders>
            <w:shd w:val="clear" w:color="auto" w:fill="auto"/>
            <w:vAlign w:val="center"/>
            <w:hideMark/>
          </w:tcPr>
          <w:p w14:paraId="6C6415AE" w14:textId="487F5056" w:rsidR="001E5E30" w:rsidRPr="005339C4" w:rsidRDefault="001E5E30" w:rsidP="00D42F6A">
            <w:pPr>
              <w:spacing w:before="60" w:after="60"/>
              <w:jc w:val="center"/>
              <w:rPr>
                <w:rFonts w:asciiTheme="minorBidi" w:hAnsiTheme="minorBidi" w:cstheme="minorBidi"/>
                <w:color w:val="000000"/>
                <w:sz w:val="18"/>
                <w:szCs w:val="18"/>
              </w:rPr>
            </w:pPr>
            <w:r w:rsidRPr="005339C4">
              <w:rPr>
                <w:rFonts w:asciiTheme="minorBidi" w:hAnsiTheme="minorBidi" w:cstheme="minorBidi"/>
                <w:color w:val="000000"/>
                <w:sz w:val="18"/>
                <w:szCs w:val="18"/>
                <w:lang w:val="fr"/>
              </w:rPr>
              <w:t>Plan</w:t>
            </w:r>
            <w:r w:rsidRPr="005339C4">
              <w:rPr>
                <w:rFonts w:asciiTheme="minorBidi" w:hAnsiTheme="minorBidi" w:cstheme="minorBidi"/>
                <w:color w:val="000000"/>
                <w:sz w:val="18"/>
                <w:szCs w:val="18"/>
                <w:lang w:val="fr"/>
              </w:rPr>
              <w:br/>
              <w:t>2022-2023</w:t>
            </w:r>
          </w:p>
        </w:tc>
      </w:tr>
      <w:tr w:rsidR="001E5E30" w:rsidRPr="005339C4" w14:paraId="60445288" w14:textId="77777777" w:rsidTr="00433ADE">
        <w:trPr>
          <w:trHeight w:val="1074"/>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6E2A98C5" w14:textId="77777777" w:rsidR="001E5E30" w:rsidRPr="005339C4" w:rsidRDefault="001E5E30" w:rsidP="00D42F6A">
            <w:pPr>
              <w:spacing w:before="60" w:after="60"/>
              <w:rPr>
                <w:rFonts w:asciiTheme="minorBidi" w:hAnsiTheme="minorBidi" w:cstheme="minorBidi"/>
                <w:color w:val="000000"/>
                <w:sz w:val="18"/>
                <w:szCs w:val="18"/>
              </w:rPr>
            </w:pPr>
            <w:r w:rsidRPr="005339C4">
              <w:rPr>
                <w:rFonts w:asciiTheme="minorBidi" w:hAnsiTheme="minorBidi" w:cstheme="minorBidi"/>
                <w:color w:val="000000"/>
                <w:sz w:val="18"/>
                <w:szCs w:val="18"/>
                <w:lang w:val="fr"/>
              </w:rPr>
              <w:t>1.</w:t>
            </w:r>
          </w:p>
        </w:tc>
        <w:tc>
          <w:tcPr>
            <w:tcW w:w="6804" w:type="dxa"/>
            <w:tcBorders>
              <w:top w:val="nil"/>
              <w:left w:val="nil"/>
              <w:bottom w:val="single" w:sz="8" w:space="0" w:color="auto"/>
              <w:right w:val="nil"/>
            </w:tcBorders>
            <w:shd w:val="clear" w:color="auto" w:fill="auto"/>
            <w:vAlign w:val="center"/>
            <w:hideMark/>
          </w:tcPr>
          <w:p w14:paraId="7333AE68" w14:textId="4C2D9DF9" w:rsidR="001E5E30" w:rsidRPr="005339C4" w:rsidRDefault="001E5E30" w:rsidP="00D42F6A">
            <w:pPr>
              <w:spacing w:before="60" w:after="60"/>
              <w:rPr>
                <w:rFonts w:asciiTheme="minorBidi" w:hAnsiTheme="minorBidi" w:cstheme="minorBidi"/>
                <w:color w:val="000000"/>
                <w:sz w:val="18"/>
                <w:szCs w:val="18"/>
              </w:rPr>
            </w:pPr>
            <w:r w:rsidRPr="005339C4">
              <w:rPr>
                <w:rFonts w:asciiTheme="minorBidi" w:hAnsiTheme="minorBidi" w:cstheme="minorBidi"/>
                <w:color w:val="000000"/>
                <w:sz w:val="18"/>
                <w:szCs w:val="18"/>
                <w:lang w:val="fr"/>
              </w:rPr>
              <w:t>Assistance internationale, y compris la sauvegarde du patrimoine inscrit sur la Liste du patrimoine culturel immatériel nécessitant une sauvegarde urgente, la préparation d</w:t>
            </w:r>
            <w:r w:rsidR="007D1B10">
              <w:rPr>
                <w:rFonts w:asciiTheme="minorBidi" w:hAnsiTheme="minorBidi" w:cstheme="minorBidi"/>
                <w:color w:val="000000"/>
                <w:sz w:val="18"/>
                <w:szCs w:val="18"/>
                <w:lang w:val="fr"/>
              </w:rPr>
              <w:t>’</w:t>
            </w:r>
            <w:r w:rsidRPr="005339C4">
              <w:rPr>
                <w:rFonts w:asciiTheme="minorBidi" w:hAnsiTheme="minorBidi" w:cstheme="minorBidi"/>
                <w:color w:val="000000"/>
                <w:sz w:val="18"/>
                <w:szCs w:val="18"/>
                <w:lang w:val="fr"/>
              </w:rPr>
              <w:t>inventaires, et l</w:t>
            </w:r>
            <w:r w:rsidR="007D1B10">
              <w:rPr>
                <w:rFonts w:asciiTheme="minorBidi" w:hAnsiTheme="minorBidi" w:cstheme="minorBidi"/>
                <w:color w:val="000000"/>
                <w:sz w:val="18"/>
                <w:szCs w:val="18"/>
                <w:lang w:val="fr"/>
              </w:rPr>
              <w:t>’</w:t>
            </w:r>
            <w:r w:rsidRPr="005339C4">
              <w:rPr>
                <w:rFonts w:asciiTheme="minorBidi" w:hAnsiTheme="minorBidi" w:cstheme="minorBidi"/>
                <w:color w:val="000000"/>
                <w:sz w:val="18"/>
                <w:szCs w:val="18"/>
                <w:lang w:val="fr"/>
              </w:rPr>
              <w:t>appui à d</w:t>
            </w:r>
            <w:r w:rsidR="007D1B10">
              <w:rPr>
                <w:rFonts w:asciiTheme="minorBidi" w:hAnsiTheme="minorBidi" w:cstheme="minorBidi"/>
                <w:color w:val="000000"/>
                <w:sz w:val="18"/>
                <w:szCs w:val="18"/>
                <w:lang w:val="fr"/>
              </w:rPr>
              <w:t>’</w:t>
            </w:r>
            <w:r w:rsidRPr="005339C4">
              <w:rPr>
                <w:rFonts w:asciiTheme="minorBidi" w:hAnsiTheme="minorBidi" w:cstheme="minorBidi"/>
                <w:color w:val="000000"/>
                <w:sz w:val="18"/>
                <w:szCs w:val="18"/>
                <w:lang w:val="fr"/>
              </w:rPr>
              <w:t>autres programmes, projets ou activités de sauvegarde, y compris le suivi et l</w:t>
            </w:r>
            <w:r w:rsidR="007D1B10">
              <w:rPr>
                <w:rFonts w:asciiTheme="minorBidi" w:hAnsiTheme="minorBidi" w:cstheme="minorBidi"/>
                <w:color w:val="000000"/>
                <w:sz w:val="18"/>
                <w:szCs w:val="18"/>
                <w:lang w:val="fr"/>
              </w:rPr>
              <w:t>’</w:t>
            </w:r>
            <w:r w:rsidRPr="005339C4">
              <w:rPr>
                <w:rFonts w:asciiTheme="minorBidi" w:hAnsiTheme="minorBidi" w:cstheme="minorBidi"/>
                <w:color w:val="000000"/>
                <w:sz w:val="18"/>
                <w:szCs w:val="18"/>
                <w:lang w:val="fr"/>
              </w:rPr>
              <w:t xml:space="preserve">évaluation des demandes approuvées </w:t>
            </w:r>
          </w:p>
        </w:tc>
        <w:tc>
          <w:tcPr>
            <w:tcW w:w="1275" w:type="dxa"/>
            <w:tcBorders>
              <w:top w:val="nil"/>
              <w:left w:val="single" w:sz="4" w:space="0" w:color="auto"/>
              <w:bottom w:val="single" w:sz="4" w:space="0" w:color="auto"/>
              <w:right w:val="single" w:sz="4" w:space="0" w:color="auto"/>
            </w:tcBorders>
            <w:shd w:val="clear" w:color="auto" w:fill="auto"/>
            <w:vAlign w:val="center"/>
          </w:tcPr>
          <w:p w14:paraId="20B6BAE7" w14:textId="334F3665" w:rsidR="001E5E30" w:rsidRPr="005339C4" w:rsidRDefault="001E5E30" w:rsidP="00D42F6A">
            <w:pPr>
              <w:spacing w:before="60" w:after="60"/>
              <w:jc w:val="center"/>
              <w:rPr>
                <w:rFonts w:asciiTheme="minorBidi" w:hAnsiTheme="minorBidi" w:cstheme="minorBidi"/>
                <w:sz w:val="18"/>
                <w:szCs w:val="18"/>
              </w:rPr>
            </w:pPr>
            <w:r w:rsidRPr="005339C4">
              <w:rPr>
                <w:rFonts w:asciiTheme="minorBidi" w:hAnsiTheme="minorBidi" w:cstheme="minorBidi"/>
                <w:sz w:val="18"/>
                <w:szCs w:val="18"/>
                <w:lang w:val="fr"/>
              </w:rPr>
              <w:t>50</w:t>
            </w:r>
            <w:r w:rsidR="00FC548C" w:rsidRPr="005339C4">
              <w:rPr>
                <w:rFonts w:asciiTheme="minorBidi" w:hAnsiTheme="minorBidi" w:cstheme="minorBidi"/>
                <w:sz w:val="18"/>
                <w:szCs w:val="18"/>
                <w:lang w:val="fr"/>
              </w:rPr>
              <w:t>,</w:t>
            </w:r>
            <w:r w:rsidRPr="005339C4">
              <w:rPr>
                <w:rFonts w:asciiTheme="minorBidi" w:hAnsiTheme="minorBidi" w:cstheme="minorBidi"/>
                <w:sz w:val="18"/>
                <w:szCs w:val="18"/>
                <w:lang w:val="fr"/>
              </w:rPr>
              <w:t>0 %</w:t>
            </w:r>
          </w:p>
        </w:tc>
        <w:tc>
          <w:tcPr>
            <w:tcW w:w="1276" w:type="dxa"/>
            <w:tcBorders>
              <w:top w:val="nil"/>
              <w:left w:val="nil"/>
              <w:bottom w:val="dashed" w:sz="4" w:space="0" w:color="auto"/>
              <w:right w:val="dashed" w:sz="4" w:space="0" w:color="auto"/>
            </w:tcBorders>
            <w:shd w:val="clear" w:color="auto" w:fill="auto"/>
            <w:vAlign w:val="center"/>
            <w:hideMark/>
          </w:tcPr>
          <w:p w14:paraId="1D2CF1C8" w14:textId="55C5B28F" w:rsidR="001E5E30" w:rsidRPr="005339C4" w:rsidRDefault="001E5E30" w:rsidP="00D42F6A">
            <w:pPr>
              <w:spacing w:before="60" w:after="60"/>
              <w:jc w:val="center"/>
              <w:rPr>
                <w:rFonts w:asciiTheme="minorBidi" w:hAnsiTheme="minorBidi" w:cstheme="minorBidi"/>
                <w:color w:val="000000"/>
                <w:sz w:val="18"/>
                <w:szCs w:val="18"/>
              </w:rPr>
            </w:pPr>
            <w:r w:rsidRPr="005339C4">
              <w:rPr>
                <w:rFonts w:asciiTheme="minorBidi" w:hAnsiTheme="minorBidi" w:cstheme="minorBidi"/>
                <w:sz w:val="18"/>
                <w:szCs w:val="18"/>
                <w:lang w:val="fr"/>
              </w:rPr>
              <w:t>50.0 %</w:t>
            </w:r>
          </w:p>
        </w:tc>
      </w:tr>
      <w:tr w:rsidR="001E5E30" w:rsidRPr="005339C4" w14:paraId="6D006AC3" w14:textId="77777777" w:rsidTr="00433ADE">
        <w:trPr>
          <w:trHeight w:val="608"/>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381F132F" w14:textId="77777777" w:rsidR="001E5E30" w:rsidRPr="005339C4" w:rsidRDefault="001E5E30" w:rsidP="00D42F6A">
            <w:pPr>
              <w:spacing w:before="60" w:after="60"/>
              <w:rPr>
                <w:rFonts w:asciiTheme="minorBidi" w:hAnsiTheme="minorBidi" w:cstheme="minorBidi"/>
                <w:color w:val="000000"/>
                <w:sz w:val="18"/>
                <w:szCs w:val="18"/>
              </w:rPr>
            </w:pPr>
            <w:r w:rsidRPr="005339C4">
              <w:rPr>
                <w:rFonts w:asciiTheme="minorBidi" w:hAnsiTheme="minorBidi" w:cstheme="minorBidi"/>
                <w:color w:val="000000"/>
                <w:sz w:val="18"/>
                <w:szCs w:val="18"/>
                <w:lang w:val="fr"/>
              </w:rPr>
              <w:t>1.1</w:t>
            </w:r>
          </w:p>
        </w:tc>
        <w:tc>
          <w:tcPr>
            <w:tcW w:w="6804" w:type="dxa"/>
            <w:tcBorders>
              <w:top w:val="nil"/>
              <w:left w:val="nil"/>
              <w:bottom w:val="single" w:sz="8" w:space="0" w:color="auto"/>
              <w:right w:val="nil"/>
            </w:tcBorders>
            <w:shd w:val="clear" w:color="auto" w:fill="auto"/>
            <w:vAlign w:val="center"/>
            <w:hideMark/>
          </w:tcPr>
          <w:p w14:paraId="1B2FBB82" w14:textId="4D92EEB4" w:rsidR="001E5E30" w:rsidRPr="005339C4" w:rsidRDefault="001E5E30" w:rsidP="00D42F6A">
            <w:pPr>
              <w:spacing w:before="60" w:after="60"/>
              <w:rPr>
                <w:rFonts w:asciiTheme="minorBidi" w:hAnsiTheme="minorBidi" w:cstheme="minorBidi"/>
                <w:color w:val="000000"/>
                <w:sz w:val="18"/>
                <w:szCs w:val="18"/>
              </w:rPr>
            </w:pPr>
            <w:r w:rsidRPr="005339C4">
              <w:rPr>
                <w:rFonts w:asciiTheme="minorBidi" w:hAnsiTheme="minorBidi" w:cstheme="minorBidi"/>
                <w:color w:val="000000"/>
                <w:sz w:val="18"/>
                <w:szCs w:val="18"/>
                <w:lang w:val="fr"/>
              </w:rPr>
              <w:t>Renforcement des ressources humaines pour améliorer la mise en œuvre des mécanismes d</w:t>
            </w:r>
            <w:r w:rsidR="007D1B10">
              <w:rPr>
                <w:rFonts w:asciiTheme="minorBidi" w:hAnsiTheme="minorBidi" w:cstheme="minorBidi"/>
                <w:color w:val="000000"/>
                <w:sz w:val="18"/>
                <w:szCs w:val="18"/>
                <w:lang w:val="fr"/>
              </w:rPr>
              <w:t>’</w:t>
            </w:r>
            <w:r w:rsidRPr="005339C4">
              <w:rPr>
                <w:rFonts w:asciiTheme="minorBidi" w:hAnsiTheme="minorBidi" w:cstheme="minorBidi"/>
                <w:color w:val="000000"/>
                <w:sz w:val="18"/>
                <w:szCs w:val="18"/>
                <w:lang w:val="fr"/>
              </w:rPr>
              <w:t>assistance internationale à travers trois postes à durée déterminée financés à l</w:t>
            </w:r>
            <w:r w:rsidR="007D1B10">
              <w:rPr>
                <w:rFonts w:asciiTheme="minorBidi" w:hAnsiTheme="minorBidi" w:cstheme="minorBidi"/>
                <w:color w:val="000000"/>
                <w:sz w:val="18"/>
                <w:szCs w:val="18"/>
                <w:lang w:val="fr"/>
              </w:rPr>
              <w:t>’</w:t>
            </w:r>
            <w:r w:rsidRPr="005339C4">
              <w:rPr>
                <w:rFonts w:asciiTheme="minorBidi" w:hAnsiTheme="minorBidi" w:cstheme="minorBidi"/>
                <w:color w:val="000000"/>
                <w:sz w:val="18"/>
                <w:szCs w:val="18"/>
                <w:lang w:val="fr"/>
              </w:rPr>
              <w:t xml:space="preserve">aide de fonds extrabudgétaires (un P3, un P2 et un </w:t>
            </w:r>
            <w:r w:rsidR="000F3FDC" w:rsidRPr="005339C4">
              <w:rPr>
                <w:rFonts w:asciiTheme="minorBidi" w:hAnsiTheme="minorBidi" w:cstheme="minorBidi"/>
                <w:color w:val="000000"/>
                <w:sz w:val="18"/>
                <w:szCs w:val="18"/>
                <w:lang w:val="fr"/>
              </w:rPr>
              <w:t>G</w:t>
            </w:r>
            <w:r w:rsidRPr="005339C4">
              <w:rPr>
                <w:rFonts w:asciiTheme="minorBidi" w:hAnsiTheme="minorBidi" w:cstheme="minorBidi"/>
                <w:color w:val="000000"/>
                <w:sz w:val="18"/>
                <w:szCs w:val="18"/>
                <w:lang w:val="fr"/>
              </w:rPr>
              <w:t>5) ;</w:t>
            </w:r>
          </w:p>
        </w:tc>
        <w:tc>
          <w:tcPr>
            <w:tcW w:w="1275" w:type="dxa"/>
            <w:tcBorders>
              <w:top w:val="nil"/>
              <w:left w:val="single" w:sz="4" w:space="0" w:color="auto"/>
              <w:bottom w:val="single" w:sz="4" w:space="0" w:color="auto"/>
              <w:right w:val="single" w:sz="4" w:space="0" w:color="auto"/>
            </w:tcBorders>
            <w:shd w:val="clear" w:color="auto" w:fill="auto"/>
            <w:vAlign w:val="center"/>
          </w:tcPr>
          <w:p w14:paraId="11391E01" w14:textId="221C4AE0" w:rsidR="001E5E30" w:rsidRPr="005339C4" w:rsidRDefault="00EA4E51" w:rsidP="00D42F6A">
            <w:pPr>
              <w:spacing w:before="60" w:after="60"/>
              <w:jc w:val="center"/>
              <w:rPr>
                <w:rFonts w:asciiTheme="minorBidi" w:hAnsiTheme="minorBidi" w:cstheme="minorBidi"/>
                <w:sz w:val="18"/>
                <w:szCs w:val="18"/>
              </w:rPr>
            </w:pPr>
            <w:r w:rsidRPr="005339C4">
              <w:rPr>
                <w:rFonts w:asciiTheme="minorBidi" w:hAnsiTheme="minorBidi" w:cstheme="minorBidi"/>
                <w:sz w:val="18"/>
                <w:szCs w:val="18"/>
                <w:lang w:val="fr"/>
              </w:rPr>
              <w:t>12,3</w:t>
            </w:r>
            <w:r w:rsidR="001E5E30" w:rsidRPr="005339C4">
              <w:rPr>
                <w:rFonts w:asciiTheme="minorBidi" w:hAnsiTheme="minorBidi" w:cstheme="minorBidi"/>
                <w:sz w:val="18"/>
                <w:szCs w:val="18"/>
                <w:lang w:val="fr"/>
              </w:rPr>
              <w:t> %</w:t>
            </w:r>
          </w:p>
        </w:tc>
        <w:tc>
          <w:tcPr>
            <w:tcW w:w="1276" w:type="dxa"/>
            <w:tcBorders>
              <w:top w:val="nil"/>
              <w:left w:val="nil"/>
              <w:bottom w:val="dashed" w:sz="4" w:space="0" w:color="auto"/>
              <w:right w:val="dashed" w:sz="4" w:space="0" w:color="auto"/>
            </w:tcBorders>
            <w:shd w:val="clear" w:color="auto" w:fill="auto"/>
            <w:vAlign w:val="center"/>
            <w:hideMark/>
          </w:tcPr>
          <w:p w14:paraId="5740D38B" w14:textId="1682CB91" w:rsidR="001E5E30" w:rsidRPr="005339C4" w:rsidRDefault="001E5E30" w:rsidP="00D42F6A">
            <w:pPr>
              <w:spacing w:before="60" w:after="60"/>
              <w:jc w:val="center"/>
              <w:rPr>
                <w:rFonts w:asciiTheme="minorBidi" w:hAnsiTheme="minorBidi" w:cstheme="minorBidi"/>
                <w:color w:val="000000"/>
                <w:sz w:val="18"/>
                <w:szCs w:val="18"/>
              </w:rPr>
            </w:pPr>
            <w:r w:rsidRPr="005339C4">
              <w:rPr>
                <w:rFonts w:asciiTheme="minorBidi" w:hAnsiTheme="minorBidi" w:cstheme="minorBidi"/>
                <w:sz w:val="18"/>
                <w:szCs w:val="18"/>
                <w:lang w:val="fr"/>
              </w:rPr>
              <w:t>10,0 %</w:t>
            </w:r>
          </w:p>
        </w:tc>
      </w:tr>
      <w:tr w:rsidR="001E5E30" w:rsidRPr="005339C4" w14:paraId="3E08DCDD" w14:textId="77777777" w:rsidTr="00433ADE">
        <w:trPr>
          <w:trHeight w:val="846"/>
        </w:trPr>
        <w:tc>
          <w:tcPr>
            <w:tcW w:w="416" w:type="dxa"/>
            <w:tcBorders>
              <w:top w:val="nil"/>
              <w:left w:val="single" w:sz="8" w:space="0" w:color="auto"/>
              <w:bottom w:val="single" w:sz="8" w:space="0" w:color="auto"/>
              <w:right w:val="single" w:sz="8" w:space="0" w:color="auto"/>
            </w:tcBorders>
            <w:shd w:val="clear" w:color="000000" w:fill="FFFFFF"/>
            <w:noWrap/>
            <w:vAlign w:val="center"/>
            <w:hideMark/>
          </w:tcPr>
          <w:p w14:paraId="440CB0ED" w14:textId="77777777" w:rsidR="001E5E30" w:rsidRPr="005339C4" w:rsidRDefault="001E5E30" w:rsidP="00D42F6A">
            <w:pPr>
              <w:spacing w:before="60" w:after="60"/>
              <w:rPr>
                <w:rFonts w:asciiTheme="minorBidi" w:hAnsiTheme="minorBidi" w:cstheme="minorBidi"/>
                <w:color w:val="000000"/>
                <w:sz w:val="18"/>
                <w:szCs w:val="18"/>
              </w:rPr>
            </w:pPr>
            <w:r w:rsidRPr="005339C4">
              <w:rPr>
                <w:rFonts w:asciiTheme="minorBidi" w:hAnsiTheme="minorBidi" w:cstheme="minorBidi"/>
                <w:color w:val="000000"/>
                <w:sz w:val="18"/>
                <w:szCs w:val="18"/>
                <w:lang w:val="fr"/>
              </w:rPr>
              <w:t>2.</w:t>
            </w:r>
          </w:p>
        </w:tc>
        <w:tc>
          <w:tcPr>
            <w:tcW w:w="6804" w:type="dxa"/>
            <w:tcBorders>
              <w:top w:val="nil"/>
              <w:left w:val="nil"/>
              <w:bottom w:val="single" w:sz="8" w:space="0" w:color="auto"/>
              <w:right w:val="nil"/>
            </w:tcBorders>
            <w:shd w:val="clear" w:color="000000" w:fill="FFFFFF"/>
            <w:vAlign w:val="center"/>
            <w:hideMark/>
          </w:tcPr>
          <w:p w14:paraId="35EC5821" w14:textId="2D7890CD" w:rsidR="001E5E30" w:rsidRPr="005339C4" w:rsidRDefault="001E5E30" w:rsidP="00D42F6A">
            <w:pPr>
              <w:spacing w:before="60" w:after="60"/>
              <w:rPr>
                <w:rFonts w:asciiTheme="minorBidi" w:hAnsiTheme="minorBidi" w:cstheme="minorBidi"/>
                <w:color w:val="000000"/>
                <w:sz w:val="18"/>
                <w:szCs w:val="18"/>
              </w:rPr>
            </w:pPr>
            <w:r w:rsidRPr="005339C4">
              <w:rPr>
                <w:rFonts w:asciiTheme="minorBidi" w:hAnsiTheme="minorBidi" w:cstheme="minorBidi"/>
                <w:color w:val="000000"/>
                <w:sz w:val="18"/>
                <w:szCs w:val="18"/>
                <w:lang w:val="fr"/>
              </w:rPr>
              <w:t>Assistance préparatoire pour les demande</w:t>
            </w:r>
            <w:r w:rsidR="00EA4E51" w:rsidRPr="005339C4">
              <w:rPr>
                <w:rFonts w:asciiTheme="minorBidi" w:hAnsiTheme="minorBidi" w:cstheme="minorBidi"/>
                <w:color w:val="000000"/>
                <w:sz w:val="18"/>
                <w:szCs w:val="18"/>
                <w:lang w:val="fr"/>
              </w:rPr>
              <w:t>s</w:t>
            </w:r>
            <w:r w:rsidRPr="005339C4">
              <w:rPr>
                <w:rFonts w:asciiTheme="minorBidi" w:hAnsiTheme="minorBidi" w:cstheme="minorBidi"/>
                <w:color w:val="000000"/>
                <w:sz w:val="18"/>
                <w:szCs w:val="18"/>
                <w:lang w:val="fr"/>
              </w:rPr>
              <w:t xml:space="preserve"> d</w:t>
            </w:r>
            <w:r w:rsidR="007D1B10">
              <w:rPr>
                <w:rFonts w:asciiTheme="minorBidi" w:hAnsiTheme="minorBidi" w:cstheme="minorBidi"/>
                <w:color w:val="000000"/>
                <w:sz w:val="18"/>
                <w:szCs w:val="18"/>
                <w:lang w:val="fr"/>
              </w:rPr>
              <w:t>’</w:t>
            </w:r>
            <w:r w:rsidRPr="005339C4">
              <w:rPr>
                <w:rFonts w:asciiTheme="minorBidi" w:hAnsiTheme="minorBidi" w:cstheme="minorBidi"/>
                <w:color w:val="000000"/>
                <w:sz w:val="18"/>
                <w:szCs w:val="18"/>
                <w:lang w:val="fr"/>
              </w:rPr>
              <w:t xml:space="preserve">assistance internationale, les </w:t>
            </w:r>
            <w:r w:rsidRPr="00AF4ABA">
              <w:rPr>
                <w:rFonts w:asciiTheme="minorBidi" w:hAnsiTheme="minorBidi" w:cstheme="minorBidi"/>
                <w:color w:val="000000"/>
                <w:sz w:val="18"/>
                <w:szCs w:val="18"/>
                <w:lang w:val="fr"/>
              </w:rPr>
              <w:t>candidatures et les propositions pour les Listes et le Registre de la Convention</w:t>
            </w:r>
            <w:r w:rsidR="00AF4ABA" w:rsidRPr="00AF4ABA">
              <w:rPr>
                <w:rFonts w:asciiTheme="minorBidi" w:hAnsiTheme="minorBidi" w:cstheme="minorBidi"/>
                <w:color w:val="000000"/>
                <w:sz w:val="18"/>
                <w:szCs w:val="18"/>
                <w:lang w:val="fr"/>
              </w:rPr>
              <w:t> ;</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46FDB045" w14:textId="7F8FF2A1" w:rsidR="001E5E30" w:rsidRPr="005339C4" w:rsidRDefault="00EA4E51" w:rsidP="00D42F6A">
            <w:pPr>
              <w:spacing w:before="60" w:after="60"/>
              <w:jc w:val="center"/>
              <w:rPr>
                <w:rFonts w:asciiTheme="minorBidi" w:hAnsiTheme="minorBidi" w:cstheme="minorBidi"/>
                <w:sz w:val="18"/>
                <w:szCs w:val="18"/>
              </w:rPr>
            </w:pPr>
            <w:r w:rsidRPr="005339C4">
              <w:rPr>
                <w:rFonts w:asciiTheme="minorBidi" w:hAnsiTheme="minorBidi" w:cstheme="minorBidi"/>
                <w:sz w:val="18"/>
                <w:szCs w:val="18"/>
                <w:lang w:val="fr"/>
              </w:rPr>
              <w:t>2,8</w:t>
            </w:r>
            <w:r w:rsidR="001E5E30" w:rsidRPr="005339C4">
              <w:rPr>
                <w:rFonts w:asciiTheme="minorBidi" w:hAnsiTheme="minorBidi" w:cstheme="minorBidi"/>
                <w:sz w:val="18"/>
                <w:szCs w:val="18"/>
                <w:lang w:val="fr"/>
              </w:rPr>
              <w:t> %</w:t>
            </w:r>
          </w:p>
        </w:tc>
        <w:tc>
          <w:tcPr>
            <w:tcW w:w="1276" w:type="dxa"/>
            <w:tcBorders>
              <w:top w:val="nil"/>
              <w:left w:val="nil"/>
              <w:bottom w:val="dashed" w:sz="4" w:space="0" w:color="auto"/>
              <w:right w:val="dashed" w:sz="4" w:space="0" w:color="auto"/>
            </w:tcBorders>
            <w:shd w:val="clear" w:color="000000" w:fill="FFFFFF"/>
            <w:vAlign w:val="center"/>
            <w:hideMark/>
          </w:tcPr>
          <w:p w14:paraId="0D602F72" w14:textId="46C0BF9E" w:rsidR="001E5E30" w:rsidRPr="005339C4" w:rsidRDefault="001E5E30" w:rsidP="00D42F6A">
            <w:pPr>
              <w:spacing w:before="60" w:after="60"/>
              <w:jc w:val="center"/>
              <w:rPr>
                <w:rFonts w:asciiTheme="minorBidi" w:hAnsiTheme="minorBidi" w:cstheme="minorBidi"/>
                <w:color w:val="000000"/>
                <w:sz w:val="18"/>
                <w:szCs w:val="18"/>
              </w:rPr>
            </w:pPr>
            <w:r w:rsidRPr="005339C4">
              <w:rPr>
                <w:rFonts w:asciiTheme="minorBidi" w:hAnsiTheme="minorBidi" w:cstheme="minorBidi"/>
                <w:sz w:val="18"/>
                <w:szCs w:val="18"/>
                <w:lang w:val="fr"/>
              </w:rPr>
              <w:t>2,6 %</w:t>
            </w:r>
          </w:p>
        </w:tc>
      </w:tr>
      <w:tr w:rsidR="001E5E30" w:rsidRPr="005339C4" w14:paraId="2FC130A6" w14:textId="77777777" w:rsidTr="00433ADE">
        <w:trPr>
          <w:trHeight w:val="1373"/>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750DE9D1" w14:textId="77777777" w:rsidR="001E5E30" w:rsidRPr="005339C4" w:rsidRDefault="001E5E30" w:rsidP="00D42F6A">
            <w:pPr>
              <w:spacing w:before="60" w:after="60"/>
              <w:rPr>
                <w:rFonts w:asciiTheme="minorBidi" w:hAnsiTheme="minorBidi" w:cstheme="minorBidi"/>
                <w:color w:val="000000"/>
                <w:sz w:val="18"/>
                <w:szCs w:val="18"/>
              </w:rPr>
            </w:pPr>
            <w:r w:rsidRPr="005339C4">
              <w:rPr>
                <w:rFonts w:asciiTheme="minorBidi" w:hAnsiTheme="minorBidi" w:cstheme="minorBidi"/>
                <w:color w:val="000000"/>
                <w:sz w:val="18"/>
                <w:szCs w:val="18"/>
                <w:lang w:val="fr"/>
              </w:rPr>
              <w:t>3.</w:t>
            </w:r>
          </w:p>
        </w:tc>
        <w:tc>
          <w:tcPr>
            <w:tcW w:w="6804" w:type="dxa"/>
            <w:tcBorders>
              <w:top w:val="nil"/>
              <w:left w:val="nil"/>
              <w:bottom w:val="single" w:sz="8" w:space="0" w:color="auto"/>
              <w:right w:val="nil"/>
            </w:tcBorders>
            <w:shd w:val="clear" w:color="auto" w:fill="auto"/>
            <w:vAlign w:val="center"/>
            <w:hideMark/>
          </w:tcPr>
          <w:p w14:paraId="31CFE778" w14:textId="1146965D" w:rsidR="001E5E30" w:rsidRPr="005339C4" w:rsidRDefault="001E5E30" w:rsidP="00D42F6A">
            <w:pPr>
              <w:spacing w:before="60" w:after="60"/>
              <w:rPr>
                <w:rFonts w:asciiTheme="minorBidi" w:hAnsiTheme="minorBidi" w:cstheme="minorBidi"/>
                <w:color w:val="000000"/>
                <w:sz w:val="18"/>
                <w:szCs w:val="18"/>
              </w:rPr>
            </w:pPr>
            <w:r w:rsidRPr="005339C4">
              <w:rPr>
                <w:rFonts w:asciiTheme="minorBidi" w:hAnsiTheme="minorBidi" w:cstheme="minorBidi"/>
                <w:color w:val="000000"/>
                <w:sz w:val="18"/>
                <w:szCs w:val="18"/>
                <w:lang w:val="fr"/>
              </w:rPr>
              <w:t>Autres fonctions du Comité telles que décrites à l</w:t>
            </w:r>
            <w:r w:rsidR="007D1B10">
              <w:rPr>
                <w:rFonts w:asciiTheme="minorBidi" w:hAnsiTheme="minorBidi" w:cstheme="minorBidi"/>
                <w:color w:val="000000"/>
                <w:sz w:val="18"/>
                <w:szCs w:val="18"/>
                <w:lang w:val="fr"/>
              </w:rPr>
              <w:t>’</w:t>
            </w:r>
            <w:r w:rsidRPr="005339C4">
              <w:rPr>
                <w:rFonts w:asciiTheme="minorBidi" w:hAnsiTheme="minorBidi" w:cstheme="minorBidi"/>
                <w:color w:val="000000"/>
                <w:sz w:val="18"/>
                <w:szCs w:val="18"/>
                <w:lang w:val="fr"/>
              </w:rPr>
              <w:t>article 7 de la Convention, visant à promouvoir les objectifs de la Convention et à encourager et assurer le suivi de sa mise en œuvre, à travers notamment le renforcement des capacités en vue d</w:t>
            </w:r>
            <w:r w:rsidR="007D1B10">
              <w:rPr>
                <w:rFonts w:asciiTheme="minorBidi" w:hAnsiTheme="minorBidi" w:cstheme="minorBidi"/>
                <w:color w:val="000000"/>
                <w:sz w:val="18"/>
                <w:szCs w:val="18"/>
                <w:lang w:val="fr"/>
              </w:rPr>
              <w:t>’</w:t>
            </w:r>
            <w:r w:rsidRPr="005339C4">
              <w:rPr>
                <w:rFonts w:asciiTheme="minorBidi" w:hAnsiTheme="minorBidi" w:cstheme="minorBidi"/>
                <w:color w:val="000000"/>
                <w:sz w:val="18"/>
                <w:szCs w:val="18"/>
                <w:lang w:val="fr"/>
              </w:rPr>
              <w:t xml:space="preserve">une sauvegarde efficace du patrimoine culturel immatériel, </w:t>
            </w:r>
            <w:r w:rsidR="008368DE" w:rsidRPr="005339C4">
              <w:rPr>
                <w:rFonts w:asciiTheme="minorBidi" w:hAnsiTheme="minorBidi" w:cstheme="minorBidi"/>
                <w:color w:val="000000"/>
                <w:sz w:val="18"/>
                <w:szCs w:val="18"/>
                <w:lang w:val="fr"/>
              </w:rPr>
              <w:t>une plus grande</w:t>
            </w:r>
            <w:r w:rsidRPr="005339C4">
              <w:rPr>
                <w:rFonts w:asciiTheme="minorBidi" w:hAnsiTheme="minorBidi" w:cstheme="minorBidi"/>
                <w:color w:val="000000"/>
                <w:sz w:val="18"/>
                <w:szCs w:val="18"/>
                <w:lang w:val="fr"/>
              </w:rPr>
              <w:t xml:space="preserve"> sensibilisation à l</w:t>
            </w:r>
            <w:r w:rsidR="007D1B10">
              <w:rPr>
                <w:rFonts w:asciiTheme="minorBidi" w:hAnsiTheme="minorBidi" w:cstheme="minorBidi"/>
                <w:color w:val="000000"/>
                <w:sz w:val="18"/>
                <w:szCs w:val="18"/>
                <w:lang w:val="fr"/>
              </w:rPr>
              <w:t>’</w:t>
            </w:r>
            <w:r w:rsidRPr="005339C4">
              <w:rPr>
                <w:rFonts w:asciiTheme="minorBidi" w:hAnsiTheme="minorBidi" w:cstheme="minorBidi"/>
                <w:color w:val="000000"/>
                <w:sz w:val="18"/>
                <w:szCs w:val="18"/>
                <w:lang w:val="fr"/>
              </w:rPr>
              <w:t xml:space="preserve">importance de ce patrimoine, </w:t>
            </w:r>
            <w:r w:rsidR="008368DE" w:rsidRPr="005339C4">
              <w:rPr>
                <w:rFonts w:asciiTheme="minorBidi" w:hAnsiTheme="minorBidi" w:cstheme="minorBidi"/>
                <w:color w:val="000000"/>
                <w:sz w:val="18"/>
                <w:szCs w:val="18"/>
                <w:lang w:val="fr"/>
              </w:rPr>
              <w:t>la fourniture de</w:t>
            </w:r>
            <w:r w:rsidRPr="005339C4">
              <w:rPr>
                <w:rFonts w:asciiTheme="minorBidi" w:hAnsiTheme="minorBidi" w:cstheme="minorBidi"/>
                <w:color w:val="000000"/>
                <w:sz w:val="18"/>
                <w:szCs w:val="18"/>
                <w:lang w:val="fr"/>
              </w:rPr>
              <w:t xml:space="preserve"> conseils sur les bonnes pratiques de sauvegarde et la mise à jour et la publication des Listes et du Registre de bonnes pratiques de sauvega</w:t>
            </w:r>
            <w:r w:rsidR="00EA4E51" w:rsidRPr="005339C4">
              <w:rPr>
                <w:rFonts w:asciiTheme="minorBidi" w:hAnsiTheme="minorBidi" w:cstheme="minorBidi"/>
                <w:color w:val="000000"/>
                <w:sz w:val="18"/>
                <w:szCs w:val="18"/>
                <w:lang w:val="fr"/>
              </w:rPr>
              <w:t>r</w:t>
            </w:r>
            <w:r w:rsidRPr="005339C4">
              <w:rPr>
                <w:rFonts w:asciiTheme="minorBidi" w:hAnsiTheme="minorBidi" w:cstheme="minorBidi"/>
                <w:color w:val="000000"/>
                <w:sz w:val="18"/>
                <w:szCs w:val="18"/>
                <w:lang w:val="fr"/>
              </w:rPr>
              <w:t>de</w:t>
            </w:r>
            <w:r w:rsidR="00EA4E51" w:rsidRPr="005339C4">
              <w:rPr>
                <w:rFonts w:asciiTheme="minorBidi" w:hAnsiTheme="minorBidi" w:cstheme="minorBidi"/>
                <w:color w:val="000000"/>
                <w:sz w:val="18"/>
                <w:szCs w:val="18"/>
                <w:lang w:val="fr"/>
              </w:rPr>
              <w:t>.</w:t>
            </w:r>
            <w:r w:rsidRPr="005339C4">
              <w:rPr>
                <w:rFonts w:asciiTheme="minorBidi" w:hAnsiTheme="minorBidi" w:cstheme="minorBidi"/>
                <w:color w:val="000000"/>
                <w:sz w:val="18"/>
                <w:szCs w:val="18"/>
                <w:lang w:val="fr"/>
              </w:rPr>
              <w:t xml:space="preserve"> </w:t>
            </w:r>
          </w:p>
        </w:tc>
        <w:tc>
          <w:tcPr>
            <w:tcW w:w="1275" w:type="dxa"/>
            <w:tcBorders>
              <w:top w:val="nil"/>
              <w:left w:val="single" w:sz="4" w:space="0" w:color="auto"/>
              <w:bottom w:val="single" w:sz="4" w:space="0" w:color="auto"/>
              <w:right w:val="single" w:sz="4" w:space="0" w:color="auto"/>
            </w:tcBorders>
            <w:shd w:val="clear" w:color="auto" w:fill="auto"/>
            <w:vAlign w:val="center"/>
          </w:tcPr>
          <w:p w14:paraId="0FEFB9D8" w14:textId="2F9BE9E1" w:rsidR="001E5E30" w:rsidRPr="005339C4" w:rsidRDefault="001E5E30" w:rsidP="00D42F6A">
            <w:pPr>
              <w:spacing w:before="60" w:after="60"/>
              <w:jc w:val="center"/>
              <w:rPr>
                <w:rFonts w:asciiTheme="minorBidi" w:hAnsiTheme="minorBidi" w:cstheme="minorBidi"/>
                <w:sz w:val="18"/>
                <w:szCs w:val="18"/>
              </w:rPr>
            </w:pPr>
            <w:r w:rsidRPr="005339C4">
              <w:rPr>
                <w:rFonts w:asciiTheme="minorBidi" w:hAnsiTheme="minorBidi" w:cstheme="minorBidi"/>
                <w:sz w:val="18"/>
                <w:szCs w:val="18"/>
                <w:lang w:val="fr"/>
              </w:rPr>
              <w:t>20,0 %</w:t>
            </w:r>
          </w:p>
        </w:tc>
        <w:tc>
          <w:tcPr>
            <w:tcW w:w="1276" w:type="dxa"/>
            <w:tcBorders>
              <w:top w:val="nil"/>
              <w:left w:val="nil"/>
              <w:bottom w:val="dashed" w:sz="4" w:space="0" w:color="auto"/>
              <w:right w:val="dashed" w:sz="4" w:space="0" w:color="auto"/>
            </w:tcBorders>
            <w:shd w:val="clear" w:color="auto" w:fill="auto"/>
            <w:vAlign w:val="center"/>
            <w:hideMark/>
          </w:tcPr>
          <w:p w14:paraId="7AB93F60" w14:textId="4BC07CF7" w:rsidR="001E5E30" w:rsidRPr="005339C4" w:rsidRDefault="001E5E30" w:rsidP="00D42F6A">
            <w:pPr>
              <w:spacing w:before="60" w:after="60"/>
              <w:jc w:val="center"/>
              <w:rPr>
                <w:rFonts w:asciiTheme="minorBidi" w:hAnsiTheme="minorBidi" w:cstheme="minorBidi"/>
                <w:color w:val="000000"/>
                <w:sz w:val="18"/>
                <w:szCs w:val="18"/>
              </w:rPr>
            </w:pPr>
            <w:r w:rsidRPr="005339C4">
              <w:rPr>
                <w:rFonts w:asciiTheme="minorBidi" w:hAnsiTheme="minorBidi" w:cstheme="minorBidi"/>
                <w:sz w:val="18"/>
                <w:szCs w:val="18"/>
                <w:lang w:val="fr"/>
              </w:rPr>
              <w:t>20,0 %</w:t>
            </w:r>
          </w:p>
        </w:tc>
      </w:tr>
      <w:tr w:rsidR="001E5E30" w:rsidRPr="005339C4" w14:paraId="4A48F965" w14:textId="77777777" w:rsidTr="00C76FED">
        <w:trPr>
          <w:trHeight w:val="293"/>
        </w:trPr>
        <w:tc>
          <w:tcPr>
            <w:tcW w:w="416" w:type="dxa"/>
            <w:vMerge w:val="restart"/>
            <w:tcBorders>
              <w:top w:val="nil"/>
              <w:left w:val="single" w:sz="8" w:space="0" w:color="auto"/>
              <w:right w:val="single" w:sz="8" w:space="0" w:color="auto"/>
            </w:tcBorders>
            <w:shd w:val="clear" w:color="000000" w:fill="E7E6E6"/>
            <w:noWrap/>
            <w:vAlign w:val="center"/>
            <w:hideMark/>
          </w:tcPr>
          <w:p w14:paraId="21742400" w14:textId="77777777" w:rsidR="001E5E30" w:rsidRPr="005339C4" w:rsidRDefault="001E5E30" w:rsidP="001E5E30">
            <w:pPr>
              <w:spacing w:before="60" w:after="60"/>
              <w:ind w:firstLineChars="100" w:firstLine="180"/>
              <w:rPr>
                <w:rFonts w:asciiTheme="minorBidi" w:hAnsiTheme="minorBidi" w:cstheme="minorBidi"/>
                <w:i/>
                <w:iCs/>
                <w:color w:val="000000"/>
                <w:sz w:val="18"/>
                <w:szCs w:val="18"/>
              </w:rPr>
            </w:pPr>
            <w:r w:rsidRPr="005339C4">
              <w:rPr>
                <w:rFonts w:asciiTheme="minorBidi" w:hAnsiTheme="minorBidi" w:cstheme="minorBidi"/>
                <w:i/>
                <w:iCs/>
                <w:color w:val="000000"/>
                <w:sz w:val="18"/>
                <w:szCs w:val="18"/>
                <w:lang w:val="fr"/>
              </w:rPr>
              <w:t> </w:t>
            </w:r>
          </w:p>
          <w:p w14:paraId="7F95E9B7" w14:textId="77777777" w:rsidR="001E5E30" w:rsidRPr="005339C4" w:rsidRDefault="001E5E30" w:rsidP="001E5E30">
            <w:pPr>
              <w:spacing w:before="60" w:after="60"/>
              <w:ind w:firstLineChars="100" w:firstLine="180"/>
              <w:rPr>
                <w:rFonts w:asciiTheme="minorBidi" w:hAnsiTheme="minorBidi" w:cstheme="minorBidi"/>
                <w:i/>
                <w:iCs/>
                <w:color w:val="000000"/>
                <w:sz w:val="18"/>
                <w:szCs w:val="18"/>
              </w:rPr>
            </w:pPr>
            <w:r w:rsidRPr="005339C4">
              <w:rPr>
                <w:rFonts w:asciiTheme="minorBidi" w:hAnsiTheme="minorBidi" w:cstheme="minorBidi"/>
                <w:i/>
                <w:iCs/>
                <w:color w:val="000000"/>
                <w:sz w:val="18"/>
                <w:szCs w:val="18"/>
                <w:lang w:val="fr"/>
              </w:rPr>
              <w:t> </w:t>
            </w:r>
          </w:p>
        </w:tc>
        <w:tc>
          <w:tcPr>
            <w:tcW w:w="6804" w:type="dxa"/>
            <w:vMerge w:val="restart"/>
            <w:tcBorders>
              <w:top w:val="nil"/>
              <w:left w:val="nil"/>
              <w:right w:val="nil"/>
            </w:tcBorders>
            <w:shd w:val="clear" w:color="000000" w:fill="E7E6E6"/>
            <w:vAlign w:val="center"/>
            <w:hideMark/>
          </w:tcPr>
          <w:p w14:paraId="286C45C6" w14:textId="546FD522" w:rsidR="001E5E30" w:rsidRPr="00AF4ABA" w:rsidRDefault="001E5E30" w:rsidP="00AF4ABA">
            <w:pPr>
              <w:spacing w:before="60" w:after="60"/>
              <w:ind w:left="67"/>
              <w:rPr>
                <w:rFonts w:asciiTheme="minorBidi" w:hAnsiTheme="minorBidi" w:cstheme="minorBidi"/>
                <w:i/>
                <w:iCs/>
                <w:color w:val="000000"/>
                <w:sz w:val="16"/>
                <w:szCs w:val="16"/>
              </w:rPr>
            </w:pPr>
            <w:r w:rsidRPr="00AF4ABA">
              <w:rPr>
                <w:rFonts w:asciiTheme="minorBidi" w:hAnsiTheme="minorBidi" w:cstheme="minorBidi"/>
                <w:i/>
                <w:iCs/>
                <w:color w:val="000000"/>
                <w:sz w:val="16"/>
                <w:szCs w:val="16"/>
                <w:lang w:val="fr"/>
              </w:rPr>
              <w:t>R</w:t>
            </w:r>
            <w:r w:rsidR="00FC548C" w:rsidRPr="00AF4ABA">
              <w:rPr>
                <w:rFonts w:asciiTheme="minorBidi" w:hAnsiTheme="minorBidi" w:cstheme="minorBidi"/>
                <w:i/>
                <w:iCs/>
                <w:color w:val="000000"/>
                <w:sz w:val="16"/>
                <w:szCs w:val="16"/>
                <w:lang w:val="fr"/>
              </w:rPr>
              <w:t>E</w:t>
            </w:r>
            <w:r w:rsidR="007164BB" w:rsidRPr="00AF4ABA">
              <w:rPr>
                <w:rFonts w:asciiTheme="minorBidi" w:hAnsiTheme="minorBidi" w:cstheme="minorBidi"/>
                <w:i/>
                <w:iCs/>
                <w:color w:val="000000"/>
                <w:sz w:val="16"/>
                <w:szCs w:val="16"/>
                <w:lang w:val="fr"/>
              </w:rPr>
              <w:t> </w:t>
            </w:r>
            <w:r w:rsidRPr="00AF4ABA">
              <w:rPr>
                <w:rFonts w:asciiTheme="minorBidi" w:hAnsiTheme="minorBidi" w:cstheme="minorBidi"/>
                <w:i/>
                <w:iCs/>
                <w:color w:val="000000"/>
                <w:sz w:val="16"/>
                <w:szCs w:val="16"/>
                <w:lang w:val="fr"/>
              </w:rPr>
              <w:t xml:space="preserve"> 1 : Mise en œuvre de la Convention encouragée grâce à un programme renforcé de renforcement des capacités et l</w:t>
            </w:r>
            <w:r w:rsidR="007D1B10" w:rsidRPr="00AF4ABA">
              <w:rPr>
                <w:rFonts w:asciiTheme="minorBidi" w:hAnsiTheme="minorBidi" w:cstheme="minorBidi"/>
                <w:i/>
                <w:iCs/>
                <w:color w:val="000000"/>
                <w:sz w:val="16"/>
                <w:szCs w:val="16"/>
                <w:lang w:val="fr"/>
              </w:rPr>
              <w:t>’</w:t>
            </w:r>
            <w:r w:rsidRPr="00AF4ABA">
              <w:rPr>
                <w:rFonts w:asciiTheme="minorBidi" w:hAnsiTheme="minorBidi" w:cstheme="minorBidi"/>
                <w:i/>
                <w:iCs/>
                <w:color w:val="000000"/>
                <w:sz w:val="16"/>
                <w:szCs w:val="16"/>
                <w:lang w:val="fr"/>
              </w:rPr>
              <w:t>intégration du patrimoine culturel immatériel dans les plans, politiques et programmes de développement</w:t>
            </w:r>
          </w:p>
        </w:tc>
        <w:tc>
          <w:tcPr>
            <w:tcW w:w="1275" w:type="dxa"/>
            <w:tcBorders>
              <w:top w:val="nil"/>
              <w:left w:val="single" w:sz="4" w:space="0" w:color="auto"/>
              <w:bottom w:val="single" w:sz="4" w:space="0" w:color="auto"/>
              <w:right w:val="single" w:sz="4" w:space="0" w:color="auto"/>
            </w:tcBorders>
            <w:shd w:val="clear" w:color="000000" w:fill="E7E6E6"/>
            <w:vAlign w:val="center"/>
          </w:tcPr>
          <w:p w14:paraId="5CBD7D84" w14:textId="47659FFB" w:rsidR="001E5E30" w:rsidRPr="005339C4" w:rsidRDefault="001E5E30" w:rsidP="001E5E30">
            <w:pPr>
              <w:spacing w:before="60" w:after="60"/>
              <w:jc w:val="center"/>
              <w:rPr>
                <w:rFonts w:asciiTheme="minorBidi" w:hAnsiTheme="minorBidi" w:cstheme="minorBidi"/>
                <w:i/>
                <w:iCs/>
                <w:sz w:val="16"/>
                <w:szCs w:val="16"/>
              </w:rPr>
            </w:pPr>
            <w:r w:rsidRPr="005339C4">
              <w:rPr>
                <w:rFonts w:asciiTheme="minorBidi" w:hAnsiTheme="minorBidi" w:cstheme="minorBidi"/>
                <w:i/>
                <w:iCs/>
                <w:sz w:val="16"/>
                <w:szCs w:val="16"/>
                <w:lang w:val="fr"/>
              </w:rPr>
              <w:t>10,4 %</w:t>
            </w:r>
          </w:p>
        </w:tc>
        <w:tc>
          <w:tcPr>
            <w:tcW w:w="1276" w:type="dxa"/>
            <w:tcBorders>
              <w:top w:val="dashed" w:sz="4" w:space="0" w:color="auto"/>
              <w:left w:val="nil"/>
              <w:bottom w:val="dashed" w:sz="4" w:space="0" w:color="auto"/>
              <w:right w:val="dashed" w:sz="4" w:space="0" w:color="auto"/>
            </w:tcBorders>
            <w:shd w:val="clear" w:color="000000" w:fill="E7E6E6"/>
            <w:vAlign w:val="center"/>
            <w:hideMark/>
          </w:tcPr>
          <w:p w14:paraId="6C8520D2" w14:textId="27F82306" w:rsidR="001E5E30" w:rsidRPr="005339C4" w:rsidRDefault="004666AA" w:rsidP="001E5E30">
            <w:pPr>
              <w:spacing w:before="60" w:after="60"/>
              <w:jc w:val="center"/>
              <w:rPr>
                <w:rFonts w:asciiTheme="minorBidi" w:hAnsiTheme="minorBidi" w:cstheme="minorBidi"/>
                <w:i/>
                <w:iCs/>
                <w:color w:val="000000"/>
                <w:sz w:val="16"/>
                <w:szCs w:val="16"/>
              </w:rPr>
            </w:pPr>
            <w:r w:rsidRPr="005339C4">
              <w:rPr>
                <w:rFonts w:asciiTheme="minorBidi" w:hAnsiTheme="minorBidi" w:cstheme="minorBidi"/>
                <w:i/>
                <w:iCs/>
                <w:sz w:val="16"/>
                <w:szCs w:val="16"/>
                <w:lang w:val="fr"/>
              </w:rPr>
              <w:t>10,4 %</w:t>
            </w:r>
          </w:p>
        </w:tc>
      </w:tr>
      <w:tr w:rsidR="001E5E30" w:rsidRPr="005339C4" w14:paraId="736E8742" w14:textId="77777777" w:rsidTr="00C76FED">
        <w:trPr>
          <w:trHeight w:val="463"/>
        </w:trPr>
        <w:tc>
          <w:tcPr>
            <w:tcW w:w="416" w:type="dxa"/>
            <w:vMerge/>
            <w:tcBorders>
              <w:left w:val="single" w:sz="8" w:space="0" w:color="auto"/>
              <w:bottom w:val="single" w:sz="8" w:space="0" w:color="auto"/>
              <w:right w:val="single" w:sz="8" w:space="0" w:color="auto"/>
            </w:tcBorders>
            <w:shd w:val="clear" w:color="000000" w:fill="E7E6E6"/>
            <w:noWrap/>
            <w:vAlign w:val="center"/>
            <w:hideMark/>
          </w:tcPr>
          <w:p w14:paraId="6C94811D" w14:textId="77777777" w:rsidR="001E5E30" w:rsidRPr="005339C4" w:rsidRDefault="001E5E30" w:rsidP="001E5E30">
            <w:pPr>
              <w:spacing w:before="60" w:after="60"/>
              <w:ind w:firstLineChars="100" w:firstLine="180"/>
              <w:rPr>
                <w:rFonts w:asciiTheme="minorBidi" w:hAnsiTheme="minorBidi" w:cstheme="minorBidi"/>
                <w:i/>
                <w:iCs/>
                <w:color w:val="000000"/>
                <w:sz w:val="18"/>
                <w:szCs w:val="18"/>
              </w:rPr>
            </w:pPr>
          </w:p>
        </w:tc>
        <w:tc>
          <w:tcPr>
            <w:tcW w:w="6804" w:type="dxa"/>
            <w:vMerge/>
            <w:tcBorders>
              <w:left w:val="nil"/>
              <w:bottom w:val="single" w:sz="8" w:space="0" w:color="auto"/>
              <w:right w:val="nil"/>
            </w:tcBorders>
            <w:shd w:val="clear" w:color="000000" w:fill="E7E6E6"/>
            <w:hideMark/>
          </w:tcPr>
          <w:p w14:paraId="182A252E" w14:textId="77777777" w:rsidR="001E5E30" w:rsidRPr="00AF4ABA" w:rsidRDefault="001E5E30" w:rsidP="00AF4ABA">
            <w:pPr>
              <w:spacing w:before="60" w:after="60"/>
              <w:ind w:left="67"/>
              <w:rPr>
                <w:rFonts w:asciiTheme="minorBidi" w:hAnsiTheme="minorBidi" w:cstheme="minorBidi"/>
                <w:i/>
                <w:iCs/>
                <w:color w:val="000000"/>
                <w:sz w:val="16"/>
                <w:szCs w:val="16"/>
              </w:rPr>
            </w:pPr>
          </w:p>
        </w:tc>
        <w:tc>
          <w:tcPr>
            <w:tcW w:w="1275" w:type="dxa"/>
            <w:tcBorders>
              <w:top w:val="nil"/>
              <w:left w:val="single" w:sz="4" w:space="0" w:color="auto"/>
              <w:bottom w:val="single" w:sz="4" w:space="0" w:color="auto"/>
              <w:right w:val="single" w:sz="4" w:space="0" w:color="auto"/>
            </w:tcBorders>
            <w:shd w:val="clear" w:color="000000" w:fill="E7E6E6"/>
            <w:vAlign w:val="center"/>
          </w:tcPr>
          <w:p w14:paraId="23E12211" w14:textId="529E767D" w:rsidR="001E5E30" w:rsidRPr="005339C4" w:rsidRDefault="001E5E30" w:rsidP="001E5E30">
            <w:pPr>
              <w:spacing w:before="60" w:after="60"/>
              <w:jc w:val="center"/>
              <w:rPr>
                <w:rFonts w:asciiTheme="minorBidi" w:hAnsiTheme="minorBidi" w:cstheme="minorBidi"/>
                <w:i/>
                <w:iCs/>
                <w:sz w:val="16"/>
                <w:szCs w:val="16"/>
              </w:rPr>
            </w:pPr>
            <w:r w:rsidRPr="005339C4">
              <w:rPr>
                <w:rFonts w:asciiTheme="minorBidi" w:hAnsiTheme="minorBidi" w:cstheme="minorBidi"/>
                <w:i/>
                <w:iCs/>
                <w:sz w:val="16"/>
                <w:szCs w:val="16"/>
                <w:lang w:val="fr"/>
              </w:rPr>
              <w:t>(52 % de la ligne 3)</w:t>
            </w:r>
          </w:p>
        </w:tc>
        <w:tc>
          <w:tcPr>
            <w:tcW w:w="1276" w:type="dxa"/>
            <w:tcBorders>
              <w:top w:val="dashed" w:sz="4" w:space="0" w:color="auto"/>
              <w:left w:val="nil"/>
              <w:bottom w:val="dashed" w:sz="4" w:space="0" w:color="auto"/>
              <w:right w:val="dashed" w:sz="4" w:space="0" w:color="auto"/>
            </w:tcBorders>
            <w:shd w:val="clear" w:color="000000" w:fill="E7E6E6"/>
            <w:vAlign w:val="center"/>
            <w:hideMark/>
          </w:tcPr>
          <w:p w14:paraId="0EE49D2D" w14:textId="0D93A05A" w:rsidR="001E5E30" w:rsidRPr="005339C4" w:rsidRDefault="001E5E30" w:rsidP="001E5E30">
            <w:pPr>
              <w:spacing w:before="60" w:after="60"/>
              <w:jc w:val="center"/>
              <w:rPr>
                <w:rFonts w:asciiTheme="minorBidi" w:hAnsiTheme="minorBidi" w:cstheme="minorBidi"/>
                <w:i/>
                <w:iCs/>
                <w:color w:val="000000"/>
                <w:sz w:val="16"/>
                <w:szCs w:val="16"/>
              </w:rPr>
            </w:pPr>
            <w:r w:rsidRPr="005339C4">
              <w:rPr>
                <w:rFonts w:asciiTheme="minorBidi" w:hAnsiTheme="minorBidi" w:cstheme="minorBidi"/>
                <w:i/>
                <w:iCs/>
                <w:sz w:val="16"/>
                <w:szCs w:val="16"/>
                <w:lang w:val="fr"/>
              </w:rPr>
              <w:t>(52 % de la ligne 3)</w:t>
            </w:r>
          </w:p>
        </w:tc>
      </w:tr>
      <w:tr w:rsidR="001E5E30" w:rsidRPr="005339C4" w14:paraId="7BC860B1" w14:textId="77777777" w:rsidTr="00C76FED">
        <w:trPr>
          <w:trHeight w:val="289"/>
        </w:trPr>
        <w:tc>
          <w:tcPr>
            <w:tcW w:w="416" w:type="dxa"/>
            <w:vMerge w:val="restart"/>
            <w:tcBorders>
              <w:top w:val="nil"/>
              <w:left w:val="single" w:sz="8" w:space="0" w:color="auto"/>
              <w:right w:val="single" w:sz="8" w:space="0" w:color="auto"/>
            </w:tcBorders>
            <w:shd w:val="clear" w:color="000000" w:fill="E7E6E6"/>
            <w:noWrap/>
            <w:vAlign w:val="center"/>
            <w:hideMark/>
          </w:tcPr>
          <w:p w14:paraId="7247ECDA" w14:textId="77777777" w:rsidR="001E5E30" w:rsidRPr="005339C4" w:rsidRDefault="001E5E30" w:rsidP="001E5E30">
            <w:pPr>
              <w:spacing w:before="60" w:after="60"/>
              <w:ind w:firstLineChars="100" w:firstLine="180"/>
              <w:rPr>
                <w:rFonts w:asciiTheme="minorBidi" w:hAnsiTheme="minorBidi" w:cstheme="minorBidi"/>
                <w:i/>
                <w:iCs/>
                <w:color w:val="000000"/>
                <w:sz w:val="18"/>
                <w:szCs w:val="18"/>
              </w:rPr>
            </w:pPr>
            <w:r w:rsidRPr="005339C4">
              <w:rPr>
                <w:rFonts w:asciiTheme="minorBidi" w:hAnsiTheme="minorBidi" w:cstheme="minorBidi"/>
                <w:i/>
                <w:iCs/>
                <w:color w:val="000000"/>
                <w:sz w:val="18"/>
                <w:szCs w:val="18"/>
                <w:lang w:val="fr"/>
              </w:rPr>
              <w:t> </w:t>
            </w:r>
          </w:p>
          <w:p w14:paraId="4C566D64" w14:textId="77777777" w:rsidR="001E5E30" w:rsidRPr="005339C4" w:rsidRDefault="001E5E30" w:rsidP="001E5E30">
            <w:pPr>
              <w:spacing w:before="60" w:after="60"/>
              <w:ind w:firstLineChars="100" w:firstLine="180"/>
              <w:rPr>
                <w:rFonts w:asciiTheme="minorBidi" w:hAnsiTheme="minorBidi" w:cstheme="minorBidi"/>
                <w:i/>
                <w:iCs/>
                <w:color w:val="000000"/>
                <w:sz w:val="18"/>
                <w:szCs w:val="18"/>
              </w:rPr>
            </w:pPr>
            <w:r w:rsidRPr="005339C4">
              <w:rPr>
                <w:rFonts w:asciiTheme="minorBidi" w:hAnsiTheme="minorBidi" w:cstheme="minorBidi"/>
                <w:i/>
                <w:iCs/>
                <w:color w:val="000000"/>
                <w:sz w:val="18"/>
                <w:szCs w:val="18"/>
                <w:lang w:val="fr"/>
              </w:rPr>
              <w:t> </w:t>
            </w:r>
          </w:p>
        </w:tc>
        <w:tc>
          <w:tcPr>
            <w:tcW w:w="6804" w:type="dxa"/>
            <w:vMerge w:val="restart"/>
            <w:tcBorders>
              <w:top w:val="nil"/>
              <w:left w:val="nil"/>
              <w:right w:val="nil"/>
            </w:tcBorders>
            <w:shd w:val="clear" w:color="000000" w:fill="E7E6E6"/>
            <w:vAlign w:val="center"/>
            <w:hideMark/>
          </w:tcPr>
          <w:p w14:paraId="2AAF7B75" w14:textId="61504FBE" w:rsidR="001E5E30" w:rsidRPr="00AF4ABA" w:rsidRDefault="001E5E30" w:rsidP="00AF4ABA">
            <w:pPr>
              <w:spacing w:before="60" w:after="60"/>
              <w:ind w:left="67"/>
              <w:rPr>
                <w:rFonts w:asciiTheme="minorBidi" w:hAnsiTheme="minorBidi" w:cstheme="minorBidi"/>
                <w:i/>
                <w:iCs/>
                <w:color w:val="000000"/>
                <w:sz w:val="16"/>
                <w:szCs w:val="16"/>
              </w:rPr>
            </w:pPr>
            <w:r w:rsidRPr="00AF4ABA">
              <w:rPr>
                <w:rFonts w:asciiTheme="minorBidi" w:hAnsiTheme="minorBidi" w:cstheme="minorBidi"/>
                <w:i/>
                <w:iCs/>
                <w:color w:val="000000"/>
                <w:sz w:val="16"/>
                <w:szCs w:val="16"/>
                <w:lang w:val="fr"/>
              </w:rPr>
              <w:t>R</w:t>
            </w:r>
            <w:r w:rsidR="00FC548C" w:rsidRPr="00AF4ABA">
              <w:rPr>
                <w:rFonts w:asciiTheme="minorBidi" w:hAnsiTheme="minorBidi" w:cstheme="minorBidi"/>
                <w:i/>
                <w:iCs/>
                <w:color w:val="000000"/>
                <w:sz w:val="16"/>
                <w:szCs w:val="16"/>
                <w:lang w:val="fr"/>
              </w:rPr>
              <w:t>E </w:t>
            </w:r>
            <w:r w:rsidRPr="00AF4ABA">
              <w:rPr>
                <w:rFonts w:asciiTheme="minorBidi" w:hAnsiTheme="minorBidi" w:cstheme="minorBidi"/>
                <w:i/>
                <w:iCs/>
                <w:color w:val="000000"/>
                <w:sz w:val="16"/>
                <w:szCs w:val="16"/>
                <w:lang w:val="fr"/>
              </w:rPr>
              <w:t xml:space="preserve">2 : Bonne gouvernance de la Convention facilitée par </w:t>
            </w:r>
            <w:r w:rsidR="008368DE" w:rsidRPr="00AF4ABA">
              <w:rPr>
                <w:rFonts w:asciiTheme="minorBidi" w:hAnsiTheme="minorBidi" w:cstheme="minorBidi"/>
                <w:i/>
                <w:iCs/>
                <w:color w:val="000000"/>
                <w:sz w:val="16"/>
                <w:szCs w:val="16"/>
                <w:lang w:val="fr"/>
              </w:rPr>
              <w:t>l</w:t>
            </w:r>
            <w:r w:rsidR="007D1B10" w:rsidRPr="00AF4ABA">
              <w:rPr>
                <w:rFonts w:asciiTheme="minorBidi" w:hAnsiTheme="minorBidi" w:cstheme="minorBidi"/>
                <w:i/>
                <w:iCs/>
                <w:color w:val="000000"/>
                <w:sz w:val="16"/>
                <w:szCs w:val="16"/>
                <w:lang w:val="fr"/>
              </w:rPr>
              <w:t>’</w:t>
            </w:r>
            <w:r w:rsidR="008368DE" w:rsidRPr="00AF4ABA">
              <w:rPr>
                <w:rFonts w:asciiTheme="minorBidi" w:hAnsiTheme="minorBidi" w:cstheme="minorBidi"/>
                <w:i/>
                <w:iCs/>
                <w:color w:val="000000"/>
                <w:sz w:val="16"/>
                <w:szCs w:val="16"/>
                <w:lang w:val="fr"/>
              </w:rPr>
              <w:t>amélioration d</w:t>
            </w:r>
            <w:r w:rsidRPr="00AF4ABA">
              <w:rPr>
                <w:rFonts w:asciiTheme="minorBidi" w:hAnsiTheme="minorBidi" w:cstheme="minorBidi"/>
                <w:i/>
                <w:iCs/>
                <w:color w:val="000000"/>
                <w:sz w:val="16"/>
                <w:szCs w:val="16"/>
                <w:lang w:val="fr"/>
              </w:rPr>
              <w:t xml:space="preserve">u suivi, des services de gestion des connaissances et </w:t>
            </w:r>
            <w:r w:rsidR="008368DE" w:rsidRPr="00AF4ABA">
              <w:rPr>
                <w:rFonts w:asciiTheme="minorBidi" w:hAnsiTheme="minorBidi" w:cstheme="minorBidi"/>
                <w:i/>
                <w:iCs/>
                <w:color w:val="000000"/>
                <w:sz w:val="16"/>
                <w:szCs w:val="16"/>
                <w:lang w:val="fr"/>
              </w:rPr>
              <w:t>de</w:t>
            </w:r>
            <w:r w:rsidR="007164BB" w:rsidRPr="00AF4ABA">
              <w:rPr>
                <w:rFonts w:asciiTheme="minorBidi" w:hAnsiTheme="minorBidi" w:cstheme="minorBidi"/>
                <w:i/>
                <w:iCs/>
                <w:color w:val="000000"/>
                <w:sz w:val="16"/>
                <w:szCs w:val="16"/>
                <w:lang w:val="fr"/>
              </w:rPr>
              <w:t>s</w:t>
            </w:r>
            <w:r w:rsidRPr="00AF4ABA">
              <w:rPr>
                <w:rFonts w:asciiTheme="minorBidi" w:hAnsiTheme="minorBidi" w:cstheme="minorBidi"/>
                <w:i/>
                <w:iCs/>
                <w:color w:val="000000"/>
                <w:sz w:val="16"/>
                <w:szCs w:val="16"/>
                <w:lang w:val="fr"/>
              </w:rPr>
              <w:t xml:space="preserve"> </w:t>
            </w:r>
            <w:r w:rsidR="007164BB" w:rsidRPr="00AF4ABA">
              <w:rPr>
                <w:rFonts w:asciiTheme="minorBidi" w:hAnsiTheme="minorBidi" w:cstheme="minorBidi"/>
                <w:i/>
                <w:iCs/>
                <w:color w:val="000000"/>
                <w:sz w:val="16"/>
                <w:szCs w:val="16"/>
                <w:lang w:val="fr"/>
              </w:rPr>
              <w:t xml:space="preserve">actions de </w:t>
            </w:r>
            <w:proofErr w:type="gramStart"/>
            <w:r w:rsidRPr="00AF4ABA">
              <w:rPr>
                <w:rFonts w:asciiTheme="minorBidi" w:hAnsiTheme="minorBidi" w:cstheme="minorBidi"/>
                <w:i/>
                <w:iCs/>
                <w:color w:val="000000"/>
                <w:sz w:val="16"/>
                <w:szCs w:val="16"/>
                <w:lang w:val="fr"/>
              </w:rPr>
              <w:t>sensibilisation associé</w:t>
            </w:r>
            <w:r w:rsidR="007164BB" w:rsidRPr="00AF4ABA">
              <w:rPr>
                <w:rFonts w:asciiTheme="minorBidi" w:hAnsiTheme="minorBidi" w:cstheme="minorBidi"/>
                <w:i/>
                <w:iCs/>
                <w:color w:val="000000"/>
                <w:sz w:val="16"/>
                <w:szCs w:val="16"/>
                <w:lang w:val="fr"/>
              </w:rPr>
              <w:t>s</w:t>
            </w:r>
            <w:proofErr w:type="gramEnd"/>
            <w:r w:rsidRPr="00AF4ABA">
              <w:rPr>
                <w:rFonts w:asciiTheme="minorBidi" w:hAnsiTheme="minorBidi" w:cstheme="minorBidi"/>
                <w:i/>
                <w:iCs/>
                <w:color w:val="000000"/>
                <w:sz w:val="16"/>
                <w:szCs w:val="16"/>
                <w:lang w:val="fr"/>
              </w:rPr>
              <w:t xml:space="preserve"> aux mécanismes de coopération internationale</w:t>
            </w:r>
          </w:p>
        </w:tc>
        <w:tc>
          <w:tcPr>
            <w:tcW w:w="1275" w:type="dxa"/>
            <w:tcBorders>
              <w:top w:val="nil"/>
              <w:left w:val="single" w:sz="4" w:space="0" w:color="auto"/>
              <w:bottom w:val="single" w:sz="4" w:space="0" w:color="auto"/>
              <w:right w:val="single" w:sz="4" w:space="0" w:color="auto"/>
            </w:tcBorders>
            <w:shd w:val="clear" w:color="000000" w:fill="E7E6E6"/>
            <w:vAlign w:val="center"/>
          </w:tcPr>
          <w:p w14:paraId="29200116" w14:textId="1CDAAEDB" w:rsidR="001E5E30" w:rsidRPr="005339C4" w:rsidRDefault="004666AA" w:rsidP="001E5E30">
            <w:pPr>
              <w:spacing w:before="60" w:after="60"/>
              <w:jc w:val="center"/>
              <w:rPr>
                <w:rFonts w:asciiTheme="minorBidi" w:hAnsiTheme="minorBidi" w:cstheme="minorBidi"/>
                <w:i/>
                <w:iCs/>
                <w:sz w:val="16"/>
                <w:szCs w:val="16"/>
              </w:rPr>
            </w:pPr>
            <w:r w:rsidRPr="005339C4">
              <w:rPr>
                <w:rFonts w:asciiTheme="minorBidi" w:hAnsiTheme="minorBidi" w:cstheme="minorBidi"/>
                <w:i/>
                <w:iCs/>
                <w:sz w:val="16"/>
                <w:szCs w:val="16"/>
                <w:lang w:val="fr"/>
              </w:rPr>
              <w:t>9,6 %</w:t>
            </w:r>
          </w:p>
        </w:tc>
        <w:tc>
          <w:tcPr>
            <w:tcW w:w="1276" w:type="dxa"/>
            <w:tcBorders>
              <w:top w:val="dashed" w:sz="4" w:space="0" w:color="auto"/>
              <w:left w:val="nil"/>
              <w:bottom w:val="dashed" w:sz="4" w:space="0" w:color="auto"/>
              <w:right w:val="dashed" w:sz="4" w:space="0" w:color="auto"/>
            </w:tcBorders>
            <w:shd w:val="clear" w:color="000000" w:fill="E7E6E6"/>
            <w:vAlign w:val="center"/>
            <w:hideMark/>
          </w:tcPr>
          <w:p w14:paraId="4BD66AB4" w14:textId="08AFBC35" w:rsidR="001E5E30" w:rsidRPr="005339C4" w:rsidRDefault="004666AA" w:rsidP="001E5E30">
            <w:pPr>
              <w:spacing w:before="60" w:after="60"/>
              <w:jc w:val="center"/>
              <w:rPr>
                <w:rFonts w:asciiTheme="minorBidi" w:hAnsiTheme="minorBidi" w:cstheme="minorBidi"/>
                <w:i/>
                <w:iCs/>
                <w:color w:val="000000"/>
                <w:sz w:val="16"/>
                <w:szCs w:val="16"/>
              </w:rPr>
            </w:pPr>
            <w:r w:rsidRPr="005339C4">
              <w:rPr>
                <w:rFonts w:asciiTheme="minorBidi" w:hAnsiTheme="minorBidi" w:cstheme="minorBidi"/>
                <w:i/>
                <w:iCs/>
                <w:sz w:val="16"/>
                <w:szCs w:val="16"/>
                <w:lang w:val="fr"/>
              </w:rPr>
              <w:t>9,6 %</w:t>
            </w:r>
          </w:p>
        </w:tc>
      </w:tr>
      <w:tr w:rsidR="001E5E30" w:rsidRPr="005339C4" w14:paraId="45EE7D84" w14:textId="77777777" w:rsidTr="00433ADE">
        <w:trPr>
          <w:trHeight w:val="263"/>
        </w:trPr>
        <w:tc>
          <w:tcPr>
            <w:tcW w:w="416" w:type="dxa"/>
            <w:vMerge/>
            <w:tcBorders>
              <w:left w:val="single" w:sz="8" w:space="0" w:color="auto"/>
              <w:bottom w:val="single" w:sz="8" w:space="0" w:color="auto"/>
              <w:right w:val="single" w:sz="8" w:space="0" w:color="auto"/>
            </w:tcBorders>
            <w:shd w:val="clear" w:color="000000" w:fill="E7E6E6"/>
            <w:noWrap/>
            <w:vAlign w:val="center"/>
            <w:hideMark/>
          </w:tcPr>
          <w:p w14:paraId="51325651" w14:textId="77777777" w:rsidR="001E5E30" w:rsidRPr="005339C4" w:rsidRDefault="001E5E30" w:rsidP="001E5E30">
            <w:pPr>
              <w:spacing w:before="60" w:after="60"/>
              <w:ind w:firstLineChars="100" w:firstLine="180"/>
              <w:rPr>
                <w:rFonts w:asciiTheme="minorBidi" w:hAnsiTheme="minorBidi" w:cstheme="minorBidi"/>
                <w:i/>
                <w:iCs/>
                <w:color w:val="000000"/>
                <w:sz w:val="18"/>
                <w:szCs w:val="18"/>
              </w:rPr>
            </w:pPr>
          </w:p>
        </w:tc>
        <w:tc>
          <w:tcPr>
            <w:tcW w:w="6804" w:type="dxa"/>
            <w:vMerge/>
            <w:tcBorders>
              <w:left w:val="nil"/>
              <w:bottom w:val="single" w:sz="8" w:space="0" w:color="auto"/>
              <w:right w:val="nil"/>
            </w:tcBorders>
            <w:shd w:val="clear" w:color="000000" w:fill="E7E6E6"/>
            <w:hideMark/>
          </w:tcPr>
          <w:p w14:paraId="1326508C" w14:textId="77777777" w:rsidR="001E5E30" w:rsidRPr="005339C4" w:rsidRDefault="001E5E30" w:rsidP="001E5E30">
            <w:pPr>
              <w:spacing w:before="60" w:after="60"/>
              <w:ind w:firstLineChars="100" w:firstLine="161"/>
              <w:rPr>
                <w:rFonts w:asciiTheme="minorBidi" w:hAnsiTheme="minorBidi" w:cstheme="minorBidi"/>
                <w:b/>
                <w:bCs/>
                <w:i/>
                <w:iCs/>
                <w:color w:val="000000"/>
                <w:sz w:val="16"/>
                <w:szCs w:val="16"/>
              </w:rPr>
            </w:pPr>
          </w:p>
        </w:tc>
        <w:tc>
          <w:tcPr>
            <w:tcW w:w="1275" w:type="dxa"/>
            <w:tcBorders>
              <w:top w:val="nil"/>
              <w:left w:val="single" w:sz="4" w:space="0" w:color="auto"/>
              <w:bottom w:val="single" w:sz="4" w:space="0" w:color="auto"/>
              <w:right w:val="single" w:sz="4" w:space="0" w:color="auto"/>
            </w:tcBorders>
            <w:shd w:val="clear" w:color="000000" w:fill="E7E6E6"/>
            <w:vAlign w:val="center"/>
          </w:tcPr>
          <w:p w14:paraId="3FECCCA6" w14:textId="7E3DCC8D" w:rsidR="001E5E30" w:rsidRPr="005339C4" w:rsidRDefault="001E5E30" w:rsidP="001E5E30">
            <w:pPr>
              <w:spacing w:before="60" w:after="60"/>
              <w:jc w:val="center"/>
              <w:rPr>
                <w:rFonts w:asciiTheme="minorBidi" w:hAnsiTheme="minorBidi" w:cstheme="minorBidi"/>
                <w:i/>
                <w:iCs/>
                <w:sz w:val="16"/>
                <w:szCs w:val="16"/>
              </w:rPr>
            </w:pPr>
            <w:r w:rsidRPr="005339C4">
              <w:rPr>
                <w:rFonts w:asciiTheme="minorBidi" w:hAnsiTheme="minorBidi" w:cstheme="minorBidi"/>
                <w:i/>
                <w:iCs/>
                <w:sz w:val="16"/>
                <w:szCs w:val="16"/>
                <w:lang w:val="fr"/>
              </w:rPr>
              <w:t>(48 % de la ligne 3)</w:t>
            </w:r>
          </w:p>
        </w:tc>
        <w:tc>
          <w:tcPr>
            <w:tcW w:w="1276" w:type="dxa"/>
            <w:tcBorders>
              <w:top w:val="dashed" w:sz="4" w:space="0" w:color="auto"/>
              <w:left w:val="nil"/>
              <w:bottom w:val="dashed" w:sz="4" w:space="0" w:color="auto"/>
              <w:right w:val="dashed" w:sz="4" w:space="0" w:color="auto"/>
            </w:tcBorders>
            <w:shd w:val="clear" w:color="000000" w:fill="E7E6E6"/>
            <w:vAlign w:val="center"/>
            <w:hideMark/>
          </w:tcPr>
          <w:p w14:paraId="7A73C236" w14:textId="55E5C38C" w:rsidR="001E5E30" w:rsidRPr="005339C4" w:rsidRDefault="001E5E30" w:rsidP="001E5E30">
            <w:pPr>
              <w:spacing w:before="60" w:after="60"/>
              <w:jc w:val="center"/>
              <w:rPr>
                <w:rFonts w:asciiTheme="minorBidi" w:hAnsiTheme="minorBidi" w:cstheme="minorBidi"/>
                <w:i/>
                <w:iCs/>
                <w:color w:val="000000"/>
                <w:sz w:val="16"/>
                <w:szCs w:val="16"/>
              </w:rPr>
            </w:pPr>
            <w:r w:rsidRPr="005339C4">
              <w:rPr>
                <w:rFonts w:asciiTheme="minorBidi" w:hAnsiTheme="minorBidi" w:cstheme="minorBidi"/>
                <w:i/>
                <w:iCs/>
                <w:sz w:val="16"/>
                <w:szCs w:val="16"/>
                <w:lang w:val="fr"/>
              </w:rPr>
              <w:t>(48 % de la ligne 3)</w:t>
            </w:r>
          </w:p>
        </w:tc>
      </w:tr>
      <w:tr w:rsidR="001E5E30" w:rsidRPr="005339C4" w14:paraId="1087CC53" w14:textId="77777777" w:rsidTr="00433ADE">
        <w:trPr>
          <w:trHeight w:val="472"/>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3240F756" w14:textId="77777777" w:rsidR="001E5E30" w:rsidRPr="005339C4" w:rsidRDefault="001E5E30" w:rsidP="001E5E30">
            <w:pPr>
              <w:spacing w:before="60" w:after="60"/>
              <w:rPr>
                <w:rFonts w:asciiTheme="minorBidi" w:hAnsiTheme="minorBidi" w:cstheme="minorBidi"/>
                <w:color w:val="000000"/>
                <w:sz w:val="18"/>
                <w:szCs w:val="18"/>
              </w:rPr>
            </w:pPr>
            <w:r w:rsidRPr="005339C4">
              <w:rPr>
                <w:rFonts w:asciiTheme="minorBidi" w:hAnsiTheme="minorBidi" w:cstheme="minorBidi"/>
                <w:color w:val="000000"/>
                <w:sz w:val="18"/>
                <w:szCs w:val="18"/>
                <w:lang w:val="fr"/>
              </w:rPr>
              <w:t>4.</w:t>
            </w:r>
          </w:p>
        </w:tc>
        <w:tc>
          <w:tcPr>
            <w:tcW w:w="6804" w:type="dxa"/>
            <w:tcBorders>
              <w:top w:val="nil"/>
              <w:left w:val="nil"/>
              <w:bottom w:val="single" w:sz="8" w:space="0" w:color="auto"/>
              <w:right w:val="nil"/>
            </w:tcBorders>
            <w:shd w:val="clear" w:color="auto" w:fill="auto"/>
            <w:vAlign w:val="center"/>
            <w:hideMark/>
          </w:tcPr>
          <w:p w14:paraId="015D5C49" w14:textId="2E14A2AE" w:rsidR="001E5E30" w:rsidRPr="005339C4" w:rsidRDefault="001E5E30" w:rsidP="001E5E30">
            <w:pPr>
              <w:spacing w:before="60" w:after="60"/>
              <w:rPr>
                <w:rFonts w:asciiTheme="minorBidi" w:hAnsiTheme="minorBidi" w:cstheme="minorBidi"/>
                <w:color w:val="000000"/>
                <w:sz w:val="18"/>
                <w:szCs w:val="18"/>
              </w:rPr>
            </w:pPr>
            <w:r w:rsidRPr="005339C4">
              <w:rPr>
                <w:rFonts w:asciiTheme="minorBidi" w:hAnsiTheme="minorBidi" w:cstheme="minorBidi"/>
                <w:color w:val="000000"/>
                <w:sz w:val="18"/>
                <w:szCs w:val="18"/>
                <w:lang w:val="fr"/>
              </w:rPr>
              <w:t>Participation aux sessions du Comité, de son Bureau et de ses organes subsidiaires d</w:t>
            </w:r>
            <w:r w:rsidR="007D1B10">
              <w:rPr>
                <w:rFonts w:asciiTheme="minorBidi" w:hAnsiTheme="minorBidi" w:cstheme="minorBidi"/>
                <w:color w:val="000000"/>
                <w:sz w:val="18"/>
                <w:szCs w:val="18"/>
                <w:lang w:val="fr"/>
              </w:rPr>
              <w:t>’</w:t>
            </w:r>
            <w:r w:rsidRPr="005339C4">
              <w:rPr>
                <w:rFonts w:asciiTheme="minorBidi" w:hAnsiTheme="minorBidi" w:cstheme="minorBidi"/>
                <w:color w:val="000000"/>
                <w:sz w:val="18"/>
                <w:szCs w:val="18"/>
                <w:lang w:val="fr"/>
              </w:rPr>
              <w:t>experts du patrimoine culturel immatériel représentant des pays en développement membres du Comité ;</w:t>
            </w:r>
          </w:p>
        </w:tc>
        <w:tc>
          <w:tcPr>
            <w:tcW w:w="1275" w:type="dxa"/>
            <w:tcBorders>
              <w:top w:val="nil"/>
              <w:left w:val="single" w:sz="4" w:space="0" w:color="auto"/>
              <w:bottom w:val="single" w:sz="4" w:space="0" w:color="auto"/>
              <w:right w:val="single" w:sz="4" w:space="0" w:color="auto"/>
            </w:tcBorders>
            <w:shd w:val="clear" w:color="auto" w:fill="auto"/>
            <w:vAlign w:val="center"/>
          </w:tcPr>
          <w:p w14:paraId="75AA1F47" w14:textId="17CE50BB" w:rsidR="001E5E30" w:rsidRPr="005339C4" w:rsidRDefault="001E5E30" w:rsidP="001E5E30">
            <w:pPr>
              <w:spacing w:before="60" w:after="60"/>
              <w:jc w:val="center"/>
              <w:rPr>
                <w:rFonts w:asciiTheme="minorBidi" w:hAnsiTheme="minorBidi" w:cstheme="minorBidi"/>
                <w:sz w:val="18"/>
                <w:szCs w:val="18"/>
              </w:rPr>
            </w:pPr>
            <w:r w:rsidRPr="005339C4">
              <w:rPr>
                <w:rFonts w:asciiTheme="minorBidi" w:hAnsiTheme="minorBidi" w:cstheme="minorBidi"/>
                <w:sz w:val="18"/>
                <w:szCs w:val="18"/>
                <w:lang w:val="fr"/>
              </w:rPr>
              <w:t>2,</w:t>
            </w:r>
            <w:r w:rsidR="00EA4E51" w:rsidRPr="005339C4">
              <w:rPr>
                <w:rFonts w:asciiTheme="minorBidi" w:hAnsiTheme="minorBidi" w:cstheme="minorBidi"/>
                <w:sz w:val="18"/>
                <w:szCs w:val="18"/>
                <w:lang w:val="fr"/>
              </w:rPr>
              <w:t>5</w:t>
            </w:r>
            <w:r w:rsidRPr="005339C4">
              <w:rPr>
                <w:rFonts w:asciiTheme="minorBidi" w:hAnsiTheme="minorBidi" w:cstheme="minorBidi"/>
                <w:sz w:val="18"/>
                <w:szCs w:val="18"/>
                <w:lang w:val="fr"/>
              </w:rPr>
              <w:t> %</w:t>
            </w:r>
          </w:p>
        </w:tc>
        <w:tc>
          <w:tcPr>
            <w:tcW w:w="1276" w:type="dxa"/>
            <w:tcBorders>
              <w:top w:val="dashed" w:sz="4" w:space="0" w:color="auto"/>
              <w:left w:val="nil"/>
              <w:bottom w:val="dashed" w:sz="4" w:space="0" w:color="auto"/>
              <w:right w:val="dashed" w:sz="4" w:space="0" w:color="auto"/>
            </w:tcBorders>
            <w:shd w:val="clear" w:color="auto" w:fill="auto"/>
            <w:vAlign w:val="center"/>
            <w:hideMark/>
          </w:tcPr>
          <w:p w14:paraId="1A7EE0EE" w14:textId="3EC9E6A2" w:rsidR="001E5E30" w:rsidRPr="005339C4" w:rsidRDefault="001E5E30" w:rsidP="001E5E30">
            <w:pPr>
              <w:spacing w:before="60" w:after="60"/>
              <w:jc w:val="center"/>
              <w:rPr>
                <w:rFonts w:asciiTheme="minorBidi" w:hAnsiTheme="minorBidi" w:cstheme="minorBidi"/>
                <w:color w:val="000000"/>
                <w:sz w:val="18"/>
                <w:szCs w:val="18"/>
              </w:rPr>
            </w:pPr>
            <w:r w:rsidRPr="005339C4">
              <w:rPr>
                <w:rFonts w:asciiTheme="minorBidi" w:hAnsiTheme="minorBidi" w:cstheme="minorBidi"/>
                <w:sz w:val="18"/>
                <w:szCs w:val="18"/>
                <w:lang w:val="fr"/>
              </w:rPr>
              <w:t>3,1 %</w:t>
            </w:r>
          </w:p>
        </w:tc>
      </w:tr>
      <w:tr w:rsidR="001E5E30" w:rsidRPr="005339C4" w14:paraId="30553A4E" w14:textId="77777777" w:rsidTr="00433ADE">
        <w:trPr>
          <w:trHeight w:val="426"/>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44B65907" w14:textId="77777777" w:rsidR="001E5E30" w:rsidRPr="005339C4" w:rsidRDefault="001E5E30" w:rsidP="001E5E30">
            <w:pPr>
              <w:spacing w:before="60" w:after="60"/>
              <w:rPr>
                <w:rFonts w:asciiTheme="minorBidi" w:hAnsiTheme="minorBidi" w:cstheme="minorBidi"/>
                <w:color w:val="000000"/>
                <w:sz w:val="18"/>
                <w:szCs w:val="18"/>
              </w:rPr>
            </w:pPr>
            <w:r w:rsidRPr="005339C4">
              <w:rPr>
                <w:rFonts w:asciiTheme="minorBidi" w:hAnsiTheme="minorBidi" w:cstheme="minorBidi"/>
                <w:color w:val="000000"/>
                <w:sz w:val="18"/>
                <w:szCs w:val="18"/>
                <w:lang w:val="fr"/>
              </w:rPr>
              <w:t>5.</w:t>
            </w:r>
          </w:p>
        </w:tc>
        <w:tc>
          <w:tcPr>
            <w:tcW w:w="6804" w:type="dxa"/>
            <w:tcBorders>
              <w:top w:val="nil"/>
              <w:left w:val="nil"/>
              <w:bottom w:val="single" w:sz="8" w:space="0" w:color="auto"/>
              <w:right w:val="nil"/>
            </w:tcBorders>
            <w:shd w:val="clear" w:color="auto" w:fill="auto"/>
            <w:vAlign w:val="center"/>
            <w:hideMark/>
          </w:tcPr>
          <w:p w14:paraId="22824952" w14:textId="4A1A3DBA" w:rsidR="001E5E30" w:rsidRPr="005339C4" w:rsidRDefault="001E5E30" w:rsidP="001E5E30">
            <w:pPr>
              <w:spacing w:before="60" w:after="60"/>
              <w:rPr>
                <w:rFonts w:asciiTheme="minorBidi" w:hAnsiTheme="minorBidi" w:cstheme="minorBidi"/>
                <w:color w:val="000000"/>
                <w:sz w:val="18"/>
                <w:szCs w:val="18"/>
              </w:rPr>
            </w:pPr>
            <w:r w:rsidRPr="005339C4">
              <w:rPr>
                <w:rFonts w:asciiTheme="minorBidi" w:hAnsiTheme="minorBidi" w:cstheme="minorBidi"/>
                <w:color w:val="000000"/>
                <w:sz w:val="18"/>
                <w:szCs w:val="18"/>
                <w:lang w:val="fr"/>
              </w:rPr>
              <w:t>Participation aux sessions du Comité et de ses organes consultatifs d</w:t>
            </w:r>
            <w:r w:rsidR="007D1B10">
              <w:rPr>
                <w:rFonts w:asciiTheme="minorBidi" w:hAnsiTheme="minorBidi" w:cstheme="minorBidi"/>
                <w:color w:val="000000"/>
                <w:sz w:val="18"/>
                <w:szCs w:val="18"/>
                <w:lang w:val="fr"/>
              </w:rPr>
              <w:t>’</w:t>
            </w:r>
            <w:r w:rsidRPr="005339C4">
              <w:rPr>
                <w:rFonts w:asciiTheme="minorBidi" w:hAnsiTheme="minorBidi" w:cstheme="minorBidi"/>
                <w:color w:val="000000"/>
                <w:sz w:val="18"/>
                <w:szCs w:val="18"/>
                <w:lang w:val="fr"/>
              </w:rPr>
              <w:t xml:space="preserve">experts du patrimoine culturel immatériel représentant des pays en développement parties à la Convention </w:t>
            </w:r>
            <w:r w:rsidR="00EA4E51" w:rsidRPr="005339C4">
              <w:rPr>
                <w:rFonts w:asciiTheme="minorBidi" w:hAnsiTheme="minorBidi" w:cstheme="minorBidi"/>
                <w:color w:val="000000"/>
                <w:sz w:val="18"/>
                <w:szCs w:val="18"/>
                <w:lang w:val="fr"/>
              </w:rPr>
              <w:t>non</w:t>
            </w:r>
            <w:r w:rsidR="00C76FED">
              <w:rPr>
                <w:rFonts w:asciiTheme="minorBidi" w:hAnsiTheme="minorBidi" w:cstheme="minorBidi"/>
                <w:color w:val="000000"/>
                <w:sz w:val="18"/>
                <w:szCs w:val="18"/>
                <w:lang w:val="fr"/>
              </w:rPr>
              <w:t xml:space="preserve"> </w:t>
            </w:r>
            <w:r w:rsidR="00EA4E51" w:rsidRPr="005339C4">
              <w:rPr>
                <w:rFonts w:asciiTheme="minorBidi" w:hAnsiTheme="minorBidi" w:cstheme="minorBidi"/>
                <w:color w:val="000000"/>
                <w:sz w:val="18"/>
                <w:szCs w:val="18"/>
                <w:lang w:val="fr"/>
              </w:rPr>
              <w:t>membres</w:t>
            </w:r>
            <w:r w:rsidRPr="005339C4">
              <w:rPr>
                <w:rFonts w:asciiTheme="minorBidi" w:hAnsiTheme="minorBidi" w:cstheme="minorBidi"/>
                <w:color w:val="000000"/>
                <w:sz w:val="18"/>
                <w:szCs w:val="18"/>
                <w:lang w:val="fr"/>
              </w:rPr>
              <w:t xml:space="preserve"> du Comité ;</w:t>
            </w:r>
          </w:p>
        </w:tc>
        <w:tc>
          <w:tcPr>
            <w:tcW w:w="1275" w:type="dxa"/>
            <w:tcBorders>
              <w:top w:val="nil"/>
              <w:left w:val="single" w:sz="4" w:space="0" w:color="auto"/>
              <w:bottom w:val="single" w:sz="4" w:space="0" w:color="auto"/>
              <w:right w:val="single" w:sz="4" w:space="0" w:color="auto"/>
            </w:tcBorders>
            <w:shd w:val="clear" w:color="auto" w:fill="auto"/>
            <w:vAlign w:val="center"/>
          </w:tcPr>
          <w:p w14:paraId="7B439837" w14:textId="5891EF72" w:rsidR="001E5E30" w:rsidRPr="005339C4" w:rsidRDefault="001E5E30" w:rsidP="001E5E30">
            <w:pPr>
              <w:spacing w:before="60" w:after="60"/>
              <w:jc w:val="center"/>
              <w:rPr>
                <w:rFonts w:asciiTheme="minorBidi" w:hAnsiTheme="minorBidi" w:cstheme="minorBidi"/>
                <w:sz w:val="18"/>
                <w:szCs w:val="18"/>
              </w:rPr>
            </w:pPr>
            <w:r w:rsidRPr="005339C4">
              <w:rPr>
                <w:rFonts w:asciiTheme="minorBidi" w:hAnsiTheme="minorBidi" w:cstheme="minorBidi"/>
                <w:sz w:val="18"/>
                <w:szCs w:val="18"/>
                <w:lang w:val="fr"/>
              </w:rPr>
              <w:t>2,</w:t>
            </w:r>
            <w:r w:rsidR="00EA4E51" w:rsidRPr="005339C4">
              <w:rPr>
                <w:rFonts w:asciiTheme="minorBidi" w:hAnsiTheme="minorBidi" w:cstheme="minorBidi"/>
                <w:sz w:val="18"/>
                <w:szCs w:val="18"/>
                <w:lang w:val="fr"/>
              </w:rPr>
              <w:t>7</w:t>
            </w:r>
            <w:r w:rsidRPr="005339C4">
              <w:rPr>
                <w:rFonts w:asciiTheme="minorBidi" w:hAnsiTheme="minorBidi" w:cstheme="minorBidi"/>
                <w:sz w:val="18"/>
                <w:szCs w:val="18"/>
                <w:lang w:val="fr"/>
              </w:rPr>
              <w:t> %</w:t>
            </w:r>
          </w:p>
        </w:tc>
        <w:tc>
          <w:tcPr>
            <w:tcW w:w="1276" w:type="dxa"/>
            <w:tcBorders>
              <w:top w:val="nil"/>
              <w:left w:val="nil"/>
              <w:bottom w:val="dashed" w:sz="4" w:space="0" w:color="auto"/>
              <w:right w:val="dashed" w:sz="4" w:space="0" w:color="auto"/>
            </w:tcBorders>
            <w:shd w:val="clear" w:color="auto" w:fill="auto"/>
            <w:vAlign w:val="center"/>
            <w:hideMark/>
          </w:tcPr>
          <w:p w14:paraId="6B33767B" w14:textId="173BC973" w:rsidR="001E5E30" w:rsidRPr="005339C4" w:rsidRDefault="001E5E30" w:rsidP="001E5E30">
            <w:pPr>
              <w:spacing w:before="60" w:after="60"/>
              <w:jc w:val="center"/>
              <w:rPr>
                <w:rFonts w:asciiTheme="minorBidi" w:hAnsiTheme="minorBidi" w:cstheme="minorBidi"/>
                <w:color w:val="000000"/>
                <w:sz w:val="18"/>
                <w:szCs w:val="18"/>
              </w:rPr>
            </w:pPr>
            <w:r w:rsidRPr="005339C4">
              <w:rPr>
                <w:rFonts w:asciiTheme="minorBidi" w:hAnsiTheme="minorBidi" w:cstheme="minorBidi"/>
                <w:sz w:val="18"/>
                <w:szCs w:val="18"/>
                <w:lang w:val="fr"/>
              </w:rPr>
              <w:t>3,3 %</w:t>
            </w:r>
          </w:p>
        </w:tc>
      </w:tr>
      <w:tr w:rsidR="001E5E30" w:rsidRPr="005339C4" w14:paraId="09A4DDBB" w14:textId="77777777" w:rsidTr="00433ADE">
        <w:trPr>
          <w:trHeight w:val="806"/>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50AA9249" w14:textId="77777777" w:rsidR="001E5E30" w:rsidRPr="005339C4" w:rsidRDefault="001E5E30" w:rsidP="001E5E30">
            <w:pPr>
              <w:spacing w:before="60" w:after="60"/>
              <w:rPr>
                <w:rFonts w:asciiTheme="minorBidi" w:hAnsiTheme="minorBidi" w:cstheme="minorBidi"/>
                <w:color w:val="000000"/>
                <w:sz w:val="18"/>
                <w:szCs w:val="18"/>
              </w:rPr>
            </w:pPr>
            <w:r w:rsidRPr="005339C4">
              <w:rPr>
                <w:rFonts w:asciiTheme="minorBidi" w:hAnsiTheme="minorBidi" w:cstheme="minorBidi"/>
                <w:color w:val="000000"/>
                <w:sz w:val="18"/>
                <w:szCs w:val="18"/>
                <w:lang w:val="fr"/>
              </w:rPr>
              <w:t>6.</w:t>
            </w:r>
          </w:p>
        </w:tc>
        <w:tc>
          <w:tcPr>
            <w:tcW w:w="6804" w:type="dxa"/>
            <w:tcBorders>
              <w:top w:val="nil"/>
              <w:left w:val="nil"/>
              <w:bottom w:val="single" w:sz="8" w:space="0" w:color="auto"/>
              <w:right w:val="nil"/>
            </w:tcBorders>
            <w:shd w:val="clear" w:color="auto" w:fill="auto"/>
            <w:vAlign w:val="center"/>
            <w:hideMark/>
          </w:tcPr>
          <w:p w14:paraId="3ABACD17" w14:textId="49365E73" w:rsidR="001E5E30" w:rsidRPr="005339C4" w:rsidRDefault="001E5E30" w:rsidP="001E5E30">
            <w:pPr>
              <w:spacing w:before="60" w:after="60"/>
              <w:rPr>
                <w:rFonts w:asciiTheme="minorBidi" w:hAnsiTheme="minorBidi" w:cstheme="minorBidi"/>
                <w:color w:val="000000"/>
                <w:sz w:val="18"/>
                <w:szCs w:val="18"/>
              </w:rPr>
            </w:pPr>
            <w:r w:rsidRPr="005339C4">
              <w:rPr>
                <w:rFonts w:asciiTheme="minorBidi" w:hAnsiTheme="minorBidi" w:cstheme="minorBidi"/>
                <w:color w:val="000000"/>
                <w:sz w:val="18"/>
                <w:szCs w:val="18"/>
                <w:lang w:val="fr"/>
              </w:rPr>
              <w:t>Participation aux sessions du Comité, de son Bureau et de ses organes consultatifs d</w:t>
            </w:r>
            <w:r w:rsidR="007D1B10">
              <w:rPr>
                <w:rFonts w:asciiTheme="minorBidi" w:hAnsiTheme="minorBidi" w:cstheme="minorBidi"/>
                <w:color w:val="000000"/>
                <w:sz w:val="18"/>
                <w:szCs w:val="18"/>
                <w:lang w:val="fr"/>
              </w:rPr>
              <w:t>’</w:t>
            </w:r>
            <w:r w:rsidR="001169E7" w:rsidRPr="005339C4">
              <w:rPr>
                <w:rFonts w:asciiTheme="minorBidi" w:hAnsiTheme="minorBidi" w:cstheme="minorBidi"/>
                <w:color w:val="000000"/>
                <w:sz w:val="18"/>
                <w:szCs w:val="18"/>
                <w:lang w:val="fr"/>
              </w:rPr>
              <w:t>entités</w:t>
            </w:r>
            <w:r w:rsidRPr="005339C4">
              <w:rPr>
                <w:rFonts w:asciiTheme="minorBidi" w:hAnsiTheme="minorBidi" w:cstheme="minorBidi"/>
                <w:color w:val="000000"/>
                <w:sz w:val="18"/>
                <w:szCs w:val="18"/>
                <w:lang w:val="fr"/>
              </w:rPr>
              <w:t xml:space="preserve"> publi</w:t>
            </w:r>
            <w:r w:rsidR="001169E7" w:rsidRPr="005339C4">
              <w:rPr>
                <w:rFonts w:asciiTheme="minorBidi" w:hAnsiTheme="minorBidi" w:cstheme="minorBidi"/>
                <w:color w:val="000000"/>
                <w:sz w:val="18"/>
                <w:szCs w:val="18"/>
                <w:lang w:val="fr"/>
              </w:rPr>
              <w:t>ques</w:t>
            </w:r>
            <w:r w:rsidRPr="005339C4">
              <w:rPr>
                <w:rFonts w:asciiTheme="minorBidi" w:hAnsiTheme="minorBidi" w:cstheme="minorBidi"/>
                <w:color w:val="000000"/>
                <w:sz w:val="18"/>
                <w:szCs w:val="18"/>
                <w:lang w:val="fr"/>
              </w:rPr>
              <w:t xml:space="preserve"> ou privés et de personnes physiques, notamment de membres de communautés ou de groupes, qui ont été invités par le Comité à titre consultatif sur des questions spécifiques, ainsi que d</w:t>
            </w:r>
            <w:r w:rsidR="007D1B10">
              <w:rPr>
                <w:rFonts w:asciiTheme="minorBidi" w:hAnsiTheme="minorBidi" w:cstheme="minorBidi"/>
                <w:color w:val="000000"/>
                <w:sz w:val="18"/>
                <w:szCs w:val="18"/>
                <w:lang w:val="fr"/>
              </w:rPr>
              <w:t>’</w:t>
            </w:r>
            <w:r w:rsidRPr="005339C4">
              <w:rPr>
                <w:rFonts w:asciiTheme="minorBidi" w:hAnsiTheme="minorBidi" w:cstheme="minorBidi"/>
                <w:color w:val="000000"/>
                <w:sz w:val="18"/>
                <w:szCs w:val="18"/>
                <w:lang w:val="fr"/>
              </w:rPr>
              <w:t>experts du patrimoine culturel immatériel représentant des ONG accréditées de pays en développement ;</w:t>
            </w:r>
          </w:p>
        </w:tc>
        <w:tc>
          <w:tcPr>
            <w:tcW w:w="1275" w:type="dxa"/>
            <w:tcBorders>
              <w:top w:val="nil"/>
              <w:left w:val="single" w:sz="4" w:space="0" w:color="auto"/>
              <w:bottom w:val="single" w:sz="4" w:space="0" w:color="auto"/>
              <w:right w:val="single" w:sz="4" w:space="0" w:color="auto"/>
            </w:tcBorders>
            <w:shd w:val="clear" w:color="auto" w:fill="auto"/>
            <w:vAlign w:val="center"/>
          </w:tcPr>
          <w:p w14:paraId="2B5ACBA4" w14:textId="2CA0CC94" w:rsidR="001E5E30" w:rsidRPr="005339C4" w:rsidRDefault="001E5E30" w:rsidP="001E5E30">
            <w:pPr>
              <w:spacing w:before="60" w:after="60"/>
              <w:jc w:val="center"/>
              <w:rPr>
                <w:rFonts w:asciiTheme="minorBidi" w:hAnsiTheme="minorBidi" w:cstheme="minorBidi"/>
                <w:sz w:val="18"/>
                <w:szCs w:val="18"/>
              </w:rPr>
            </w:pPr>
            <w:r w:rsidRPr="005339C4">
              <w:rPr>
                <w:rFonts w:asciiTheme="minorBidi" w:hAnsiTheme="minorBidi" w:cstheme="minorBidi"/>
                <w:sz w:val="18"/>
                <w:szCs w:val="18"/>
                <w:lang w:val="fr"/>
              </w:rPr>
              <w:t>2,</w:t>
            </w:r>
            <w:r w:rsidR="00EA4E51" w:rsidRPr="005339C4">
              <w:rPr>
                <w:rFonts w:asciiTheme="minorBidi" w:hAnsiTheme="minorBidi" w:cstheme="minorBidi"/>
                <w:sz w:val="18"/>
                <w:szCs w:val="18"/>
                <w:lang w:val="fr"/>
              </w:rPr>
              <w:t>7</w:t>
            </w:r>
            <w:r w:rsidRPr="005339C4">
              <w:rPr>
                <w:rFonts w:asciiTheme="minorBidi" w:hAnsiTheme="minorBidi" w:cstheme="minorBidi"/>
                <w:sz w:val="18"/>
                <w:szCs w:val="18"/>
                <w:lang w:val="fr"/>
              </w:rPr>
              <w:t> %</w:t>
            </w:r>
          </w:p>
        </w:tc>
        <w:tc>
          <w:tcPr>
            <w:tcW w:w="1276" w:type="dxa"/>
            <w:tcBorders>
              <w:top w:val="nil"/>
              <w:left w:val="nil"/>
              <w:bottom w:val="dashed" w:sz="4" w:space="0" w:color="auto"/>
              <w:right w:val="dashed" w:sz="4" w:space="0" w:color="auto"/>
            </w:tcBorders>
            <w:shd w:val="clear" w:color="auto" w:fill="auto"/>
            <w:vAlign w:val="center"/>
            <w:hideMark/>
          </w:tcPr>
          <w:p w14:paraId="554315B7" w14:textId="7378F5B2" w:rsidR="001E5E30" w:rsidRPr="005339C4" w:rsidRDefault="001E5E30" w:rsidP="001E5E30">
            <w:pPr>
              <w:spacing w:before="60" w:after="60"/>
              <w:jc w:val="center"/>
              <w:rPr>
                <w:rFonts w:asciiTheme="minorBidi" w:hAnsiTheme="minorBidi" w:cstheme="minorBidi"/>
                <w:color w:val="000000"/>
                <w:sz w:val="18"/>
                <w:szCs w:val="18"/>
              </w:rPr>
            </w:pPr>
            <w:r w:rsidRPr="005339C4">
              <w:rPr>
                <w:rFonts w:asciiTheme="minorBidi" w:hAnsiTheme="minorBidi" w:cstheme="minorBidi"/>
                <w:sz w:val="18"/>
                <w:szCs w:val="18"/>
                <w:lang w:val="fr"/>
              </w:rPr>
              <w:t>3,3 %</w:t>
            </w:r>
          </w:p>
        </w:tc>
      </w:tr>
      <w:tr w:rsidR="001E5E30" w:rsidRPr="005339C4" w14:paraId="3D80DFE5" w14:textId="77777777" w:rsidTr="00433ADE">
        <w:trPr>
          <w:trHeight w:val="894"/>
        </w:trPr>
        <w:tc>
          <w:tcPr>
            <w:tcW w:w="416" w:type="dxa"/>
            <w:tcBorders>
              <w:top w:val="nil"/>
              <w:left w:val="single" w:sz="8" w:space="0" w:color="auto"/>
              <w:bottom w:val="single" w:sz="8" w:space="0" w:color="auto"/>
              <w:right w:val="single" w:sz="8" w:space="0" w:color="auto"/>
            </w:tcBorders>
            <w:shd w:val="clear" w:color="000000" w:fill="FFFFFF"/>
            <w:noWrap/>
            <w:vAlign w:val="center"/>
            <w:hideMark/>
          </w:tcPr>
          <w:p w14:paraId="14DB1704" w14:textId="77777777" w:rsidR="001E5E30" w:rsidRPr="005339C4" w:rsidRDefault="001E5E30" w:rsidP="001E5E30">
            <w:pPr>
              <w:spacing w:before="60" w:after="60"/>
              <w:rPr>
                <w:rFonts w:asciiTheme="minorBidi" w:hAnsiTheme="minorBidi" w:cstheme="minorBidi"/>
                <w:color w:val="000000"/>
                <w:sz w:val="18"/>
                <w:szCs w:val="18"/>
              </w:rPr>
            </w:pPr>
            <w:r w:rsidRPr="005339C4">
              <w:rPr>
                <w:rFonts w:asciiTheme="minorBidi" w:hAnsiTheme="minorBidi" w:cstheme="minorBidi"/>
                <w:color w:val="000000"/>
                <w:sz w:val="18"/>
                <w:szCs w:val="18"/>
                <w:lang w:val="fr"/>
              </w:rPr>
              <w:t>7.</w:t>
            </w:r>
          </w:p>
        </w:tc>
        <w:tc>
          <w:tcPr>
            <w:tcW w:w="6804" w:type="dxa"/>
            <w:tcBorders>
              <w:top w:val="nil"/>
              <w:left w:val="nil"/>
              <w:bottom w:val="single" w:sz="8" w:space="0" w:color="auto"/>
              <w:right w:val="nil"/>
            </w:tcBorders>
            <w:shd w:val="clear" w:color="000000" w:fill="FFFFFF"/>
            <w:vAlign w:val="center"/>
            <w:hideMark/>
          </w:tcPr>
          <w:p w14:paraId="340EC441" w14:textId="28B7397A" w:rsidR="001E5E30" w:rsidRPr="005339C4" w:rsidRDefault="00863C15" w:rsidP="001E5E30">
            <w:pPr>
              <w:spacing w:before="60" w:after="60"/>
              <w:rPr>
                <w:rFonts w:asciiTheme="minorBidi" w:hAnsiTheme="minorBidi" w:cstheme="minorBidi"/>
                <w:color w:val="000000"/>
                <w:sz w:val="18"/>
                <w:szCs w:val="18"/>
              </w:rPr>
            </w:pPr>
            <w:r w:rsidRPr="005339C4">
              <w:rPr>
                <w:rFonts w:asciiTheme="minorBidi" w:hAnsiTheme="minorBidi" w:cstheme="minorBidi"/>
                <w:color w:val="000000"/>
                <w:sz w:val="18"/>
                <w:szCs w:val="18"/>
                <w:lang w:val="fr"/>
              </w:rPr>
              <w:t>Les c</w:t>
            </w:r>
            <w:r w:rsidR="001E5E30" w:rsidRPr="005339C4">
              <w:rPr>
                <w:rFonts w:asciiTheme="minorBidi" w:hAnsiTheme="minorBidi" w:cstheme="minorBidi"/>
                <w:color w:val="000000"/>
                <w:sz w:val="18"/>
                <w:szCs w:val="18"/>
                <w:lang w:val="fr"/>
              </w:rPr>
              <w:t xml:space="preserve">oûts des services consultatifs </w:t>
            </w:r>
            <w:r w:rsidRPr="005339C4">
              <w:rPr>
                <w:rFonts w:asciiTheme="minorBidi" w:hAnsiTheme="minorBidi" w:cstheme="minorBidi"/>
                <w:color w:val="000000"/>
                <w:sz w:val="18"/>
                <w:szCs w:val="18"/>
                <w:lang w:val="fr"/>
              </w:rPr>
              <w:t>à fournir</w:t>
            </w:r>
            <w:r w:rsidR="001E5E30" w:rsidRPr="005339C4">
              <w:rPr>
                <w:rFonts w:asciiTheme="minorBidi" w:hAnsiTheme="minorBidi" w:cstheme="minorBidi"/>
                <w:color w:val="000000"/>
                <w:sz w:val="18"/>
                <w:szCs w:val="18"/>
                <w:lang w:val="fr"/>
              </w:rPr>
              <w:t xml:space="preserve"> à la demande du Comité</w:t>
            </w:r>
            <w:r w:rsidR="00AF4ABA" w:rsidRPr="00AF4ABA">
              <w:rPr>
                <w:rFonts w:asciiTheme="minorBidi" w:hAnsiTheme="minorBidi" w:cstheme="minorBidi"/>
                <w:color w:val="000000"/>
                <w:sz w:val="18"/>
                <w:szCs w:val="18"/>
                <w:lang w:val="fr"/>
              </w:rPr>
              <w:t>.</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358BB640" w14:textId="67A8A9ED" w:rsidR="001E5E30" w:rsidRPr="005339C4" w:rsidRDefault="001E5E30" w:rsidP="001E5E30">
            <w:pPr>
              <w:spacing w:before="60" w:after="60"/>
              <w:jc w:val="center"/>
              <w:rPr>
                <w:rFonts w:asciiTheme="minorBidi" w:hAnsiTheme="minorBidi" w:cstheme="minorBidi"/>
                <w:sz w:val="18"/>
                <w:szCs w:val="18"/>
              </w:rPr>
            </w:pPr>
            <w:r w:rsidRPr="005339C4">
              <w:rPr>
                <w:rFonts w:asciiTheme="minorBidi" w:hAnsiTheme="minorBidi" w:cstheme="minorBidi"/>
                <w:sz w:val="18"/>
                <w:szCs w:val="18"/>
                <w:lang w:val="fr"/>
              </w:rPr>
              <w:t>7 %</w:t>
            </w:r>
          </w:p>
        </w:tc>
        <w:tc>
          <w:tcPr>
            <w:tcW w:w="1276" w:type="dxa"/>
            <w:tcBorders>
              <w:top w:val="nil"/>
              <w:left w:val="nil"/>
              <w:bottom w:val="dashed" w:sz="4" w:space="0" w:color="auto"/>
              <w:right w:val="dashed" w:sz="4" w:space="0" w:color="auto"/>
            </w:tcBorders>
            <w:shd w:val="clear" w:color="000000" w:fill="FFFFFF"/>
            <w:vAlign w:val="center"/>
            <w:hideMark/>
          </w:tcPr>
          <w:p w14:paraId="4BDB7769" w14:textId="19ACE7B2" w:rsidR="001E5E30" w:rsidRPr="005339C4" w:rsidRDefault="001E5E30" w:rsidP="001E5E30">
            <w:pPr>
              <w:spacing w:before="60" w:after="60"/>
              <w:jc w:val="center"/>
              <w:rPr>
                <w:rFonts w:asciiTheme="minorBidi" w:hAnsiTheme="minorBidi" w:cstheme="minorBidi"/>
                <w:color w:val="000000"/>
                <w:sz w:val="18"/>
                <w:szCs w:val="18"/>
              </w:rPr>
            </w:pPr>
            <w:r w:rsidRPr="005339C4">
              <w:rPr>
                <w:rFonts w:asciiTheme="minorBidi" w:hAnsiTheme="minorBidi" w:cstheme="minorBidi"/>
                <w:sz w:val="18"/>
                <w:szCs w:val="18"/>
                <w:lang w:val="fr"/>
              </w:rPr>
              <w:t>7,7 %</w:t>
            </w:r>
          </w:p>
        </w:tc>
      </w:tr>
      <w:tr w:rsidR="001E5E30" w:rsidRPr="005339C4" w14:paraId="35DC80AF" w14:textId="77777777" w:rsidTr="00D42F6A">
        <w:trPr>
          <w:trHeight w:val="315"/>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141A2B7C" w14:textId="77777777" w:rsidR="001E5E30" w:rsidRPr="005339C4" w:rsidRDefault="001E5E30" w:rsidP="00D42F6A">
            <w:pPr>
              <w:spacing w:before="60" w:after="60"/>
              <w:ind w:firstLineChars="100" w:firstLine="181"/>
              <w:rPr>
                <w:rFonts w:asciiTheme="minorBidi" w:hAnsiTheme="minorBidi" w:cstheme="minorBidi"/>
                <w:b/>
                <w:bCs/>
                <w:color w:val="000000"/>
                <w:sz w:val="18"/>
                <w:szCs w:val="18"/>
              </w:rPr>
            </w:pPr>
            <w:r w:rsidRPr="005339C4">
              <w:rPr>
                <w:rFonts w:asciiTheme="minorBidi" w:hAnsiTheme="minorBidi" w:cstheme="minorBidi"/>
                <w:b/>
                <w:bCs/>
                <w:color w:val="000000"/>
                <w:sz w:val="18"/>
                <w:szCs w:val="18"/>
                <w:lang w:val="fr"/>
              </w:rPr>
              <w:t> </w:t>
            </w:r>
          </w:p>
        </w:tc>
        <w:tc>
          <w:tcPr>
            <w:tcW w:w="6804" w:type="dxa"/>
            <w:tcBorders>
              <w:top w:val="nil"/>
              <w:left w:val="nil"/>
              <w:bottom w:val="single" w:sz="8" w:space="0" w:color="auto"/>
              <w:right w:val="nil"/>
            </w:tcBorders>
            <w:shd w:val="clear" w:color="auto" w:fill="auto"/>
            <w:vAlign w:val="center"/>
            <w:hideMark/>
          </w:tcPr>
          <w:p w14:paraId="4B02FEFA" w14:textId="77777777" w:rsidR="001E5E30" w:rsidRPr="005339C4" w:rsidRDefault="001E5E30" w:rsidP="00D42F6A">
            <w:pPr>
              <w:spacing w:before="60" w:after="60"/>
              <w:jc w:val="both"/>
              <w:rPr>
                <w:rFonts w:asciiTheme="minorBidi" w:hAnsiTheme="minorBidi" w:cstheme="minorBidi"/>
                <w:b/>
                <w:bCs/>
                <w:color w:val="000000"/>
                <w:sz w:val="18"/>
                <w:szCs w:val="18"/>
              </w:rPr>
            </w:pPr>
            <w:r w:rsidRPr="005339C4">
              <w:rPr>
                <w:rFonts w:asciiTheme="minorBidi" w:hAnsiTheme="minorBidi" w:cstheme="minorBidi"/>
                <w:b/>
                <w:bCs/>
                <w:color w:val="000000"/>
                <w:sz w:val="18"/>
                <w:szCs w:val="18"/>
                <w:lang w:val="fr"/>
              </w:rPr>
              <w:t>TOTAL</w:t>
            </w:r>
          </w:p>
        </w:tc>
        <w:tc>
          <w:tcPr>
            <w:tcW w:w="1275" w:type="dxa"/>
            <w:tcBorders>
              <w:top w:val="nil"/>
              <w:left w:val="single" w:sz="4" w:space="0" w:color="auto"/>
              <w:bottom w:val="single" w:sz="8" w:space="0" w:color="auto"/>
              <w:right w:val="single" w:sz="4" w:space="0" w:color="auto"/>
            </w:tcBorders>
            <w:shd w:val="clear" w:color="auto" w:fill="auto"/>
            <w:vAlign w:val="center"/>
            <w:hideMark/>
          </w:tcPr>
          <w:p w14:paraId="4CFC88DF" w14:textId="77777777" w:rsidR="001E5E30" w:rsidRPr="005339C4" w:rsidRDefault="001E5E30" w:rsidP="00D42F6A">
            <w:pPr>
              <w:spacing w:before="60" w:after="60"/>
              <w:jc w:val="center"/>
              <w:rPr>
                <w:rFonts w:asciiTheme="minorBidi" w:hAnsiTheme="minorBidi" w:cstheme="minorBidi"/>
                <w:b/>
                <w:bCs/>
                <w:sz w:val="18"/>
                <w:szCs w:val="18"/>
              </w:rPr>
            </w:pPr>
            <w:r w:rsidRPr="005339C4">
              <w:rPr>
                <w:rFonts w:asciiTheme="minorBidi" w:hAnsiTheme="minorBidi" w:cstheme="minorBidi"/>
                <w:b/>
                <w:bCs/>
                <w:sz w:val="18"/>
                <w:szCs w:val="18"/>
                <w:lang w:val="fr"/>
              </w:rPr>
              <w:t>100 %</w:t>
            </w:r>
          </w:p>
        </w:tc>
        <w:tc>
          <w:tcPr>
            <w:tcW w:w="1276" w:type="dxa"/>
            <w:tcBorders>
              <w:top w:val="dashed" w:sz="4" w:space="0" w:color="auto"/>
              <w:left w:val="nil"/>
              <w:bottom w:val="dashed" w:sz="4" w:space="0" w:color="auto"/>
              <w:right w:val="dashed" w:sz="4" w:space="0" w:color="auto"/>
            </w:tcBorders>
            <w:shd w:val="clear" w:color="auto" w:fill="auto"/>
            <w:vAlign w:val="center"/>
            <w:hideMark/>
          </w:tcPr>
          <w:p w14:paraId="0F1BBADE" w14:textId="77777777" w:rsidR="001E5E30" w:rsidRPr="005339C4" w:rsidRDefault="001E5E30" w:rsidP="00D42F6A">
            <w:pPr>
              <w:spacing w:before="60" w:after="60"/>
              <w:jc w:val="center"/>
              <w:rPr>
                <w:rFonts w:asciiTheme="minorBidi" w:hAnsiTheme="minorBidi" w:cstheme="minorBidi"/>
                <w:b/>
                <w:bCs/>
                <w:color w:val="000000"/>
                <w:sz w:val="18"/>
                <w:szCs w:val="18"/>
              </w:rPr>
            </w:pPr>
            <w:r w:rsidRPr="005339C4">
              <w:rPr>
                <w:rFonts w:asciiTheme="minorBidi" w:hAnsiTheme="minorBidi" w:cstheme="minorBidi"/>
                <w:b/>
                <w:bCs/>
                <w:color w:val="000000"/>
                <w:sz w:val="18"/>
                <w:szCs w:val="18"/>
                <w:lang w:val="fr"/>
              </w:rPr>
              <w:t>100 %</w:t>
            </w:r>
          </w:p>
        </w:tc>
      </w:tr>
      <w:tr w:rsidR="001E5E30" w:rsidRPr="00433ADE" w14:paraId="683574AD" w14:textId="77777777" w:rsidTr="00085DDB">
        <w:trPr>
          <w:trHeight w:val="750"/>
        </w:trPr>
        <w:tc>
          <w:tcPr>
            <w:tcW w:w="8495" w:type="dxa"/>
            <w:gridSpan w:val="3"/>
            <w:tcBorders>
              <w:top w:val="single" w:sz="8" w:space="0" w:color="auto"/>
              <w:left w:val="single" w:sz="8" w:space="0" w:color="auto"/>
              <w:bottom w:val="single" w:sz="4" w:space="0" w:color="auto"/>
              <w:right w:val="single" w:sz="8" w:space="0" w:color="auto"/>
            </w:tcBorders>
            <w:shd w:val="clear" w:color="auto" w:fill="auto"/>
            <w:vAlign w:val="center"/>
            <w:hideMark/>
          </w:tcPr>
          <w:p w14:paraId="67418F97" w14:textId="7C47310A" w:rsidR="001E5E30" w:rsidRPr="00433ADE" w:rsidRDefault="001E5E30" w:rsidP="00D42F6A">
            <w:pPr>
              <w:spacing w:before="60" w:after="60"/>
              <w:jc w:val="both"/>
              <w:rPr>
                <w:rFonts w:asciiTheme="minorBidi" w:hAnsiTheme="minorBidi" w:cstheme="minorBidi"/>
                <w:color w:val="000000"/>
                <w:sz w:val="18"/>
                <w:szCs w:val="18"/>
              </w:rPr>
            </w:pPr>
            <w:r w:rsidRPr="005339C4">
              <w:rPr>
                <w:rFonts w:asciiTheme="minorBidi" w:hAnsiTheme="minorBidi" w:cstheme="minorBidi"/>
                <w:color w:val="000000"/>
                <w:sz w:val="18"/>
                <w:szCs w:val="18"/>
                <w:lang w:val="fr"/>
              </w:rPr>
              <w:t xml:space="preserve">Les fonds non engagés à la fin de la période couverte par ce </w:t>
            </w:r>
            <w:r w:rsidR="00863C15" w:rsidRPr="005339C4">
              <w:rPr>
                <w:rFonts w:asciiTheme="minorBidi" w:hAnsiTheme="minorBidi" w:cstheme="minorBidi"/>
                <w:color w:val="000000"/>
                <w:sz w:val="18"/>
                <w:szCs w:val="18"/>
                <w:lang w:val="fr"/>
              </w:rPr>
              <w:t>p</w:t>
            </w:r>
            <w:r w:rsidRPr="005339C4">
              <w:rPr>
                <w:rFonts w:asciiTheme="minorBidi" w:hAnsiTheme="minorBidi" w:cstheme="minorBidi"/>
                <w:color w:val="000000"/>
                <w:sz w:val="18"/>
                <w:szCs w:val="18"/>
                <w:lang w:val="fr"/>
              </w:rPr>
              <w:t>lan sont reportés sur l</w:t>
            </w:r>
            <w:r w:rsidR="007D1B10">
              <w:rPr>
                <w:rFonts w:asciiTheme="minorBidi" w:hAnsiTheme="minorBidi" w:cstheme="minorBidi"/>
                <w:color w:val="000000"/>
                <w:sz w:val="18"/>
                <w:szCs w:val="18"/>
                <w:lang w:val="fr"/>
              </w:rPr>
              <w:t>’</w:t>
            </w:r>
            <w:r w:rsidRPr="005339C4">
              <w:rPr>
                <w:rFonts w:asciiTheme="minorBidi" w:hAnsiTheme="minorBidi" w:cstheme="minorBidi"/>
                <w:color w:val="000000"/>
                <w:sz w:val="18"/>
                <w:szCs w:val="18"/>
                <w:lang w:val="fr"/>
              </w:rPr>
              <w:t xml:space="preserve">exercice financier suivant et doivent être affectés conformément </w:t>
            </w:r>
            <w:proofErr w:type="gramStart"/>
            <w:r w:rsidRPr="005339C4">
              <w:rPr>
                <w:rFonts w:asciiTheme="minorBidi" w:hAnsiTheme="minorBidi" w:cstheme="minorBidi"/>
                <w:color w:val="000000"/>
                <w:sz w:val="18"/>
                <w:szCs w:val="18"/>
                <w:lang w:val="fr"/>
              </w:rPr>
              <w:t>au</w:t>
            </w:r>
            <w:proofErr w:type="gramEnd"/>
            <w:r w:rsidRPr="005339C4">
              <w:rPr>
                <w:rFonts w:asciiTheme="minorBidi" w:hAnsiTheme="minorBidi" w:cstheme="minorBidi"/>
                <w:color w:val="000000"/>
                <w:sz w:val="18"/>
                <w:szCs w:val="18"/>
                <w:lang w:val="fr"/>
              </w:rPr>
              <w:t xml:space="preserve"> </w:t>
            </w:r>
            <w:r w:rsidR="00863C15" w:rsidRPr="005339C4">
              <w:rPr>
                <w:rFonts w:asciiTheme="minorBidi" w:hAnsiTheme="minorBidi" w:cstheme="minorBidi"/>
                <w:color w:val="000000"/>
                <w:sz w:val="18"/>
                <w:szCs w:val="18"/>
                <w:lang w:val="fr"/>
              </w:rPr>
              <w:t>p</w:t>
            </w:r>
            <w:r w:rsidRPr="005339C4">
              <w:rPr>
                <w:rFonts w:asciiTheme="minorBidi" w:hAnsiTheme="minorBidi" w:cstheme="minorBidi"/>
                <w:color w:val="000000"/>
                <w:sz w:val="18"/>
                <w:szCs w:val="18"/>
                <w:lang w:val="fr"/>
              </w:rPr>
              <w:t>lan approuvé par l</w:t>
            </w:r>
            <w:r w:rsidR="007D1B10">
              <w:rPr>
                <w:rFonts w:asciiTheme="minorBidi" w:hAnsiTheme="minorBidi" w:cstheme="minorBidi"/>
                <w:color w:val="000000"/>
                <w:sz w:val="18"/>
                <w:szCs w:val="18"/>
                <w:lang w:val="fr"/>
              </w:rPr>
              <w:t>’</w:t>
            </w:r>
            <w:r w:rsidRPr="005339C4">
              <w:rPr>
                <w:rFonts w:asciiTheme="minorBidi" w:hAnsiTheme="minorBidi" w:cstheme="minorBidi"/>
                <w:color w:val="000000"/>
                <w:sz w:val="18"/>
                <w:szCs w:val="18"/>
                <w:lang w:val="fr"/>
              </w:rPr>
              <w:t>Assemblée générale à ce moment.</w:t>
            </w:r>
          </w:p>
        </w:tc>
        <w:tc>
          <w:tcPr>
            <w:tcW w:w="1276" w:type="dxa"/>
            <w:tcBorders>
              <w:top w:val="dashed" w:sz="4" w:space="0" w:color="auto"/>
              <w:left w:val="single" w:sz="8" w:space="0" w:color="auto"/>
              <w:bottom w:val="dashed" w:sz="4" w:space="0" w:color="auto"/>
              <w:right w:val="dashed" w:sz="4" w:space="0" w:color="auto"/>
            </w:tcBorders>
            <w:shd w:val="clear" w:color="auto" w:fill="auto"/>
            <w:noWrap/>
            <w:vAlign w:val="bottom"/>
            <w:hideMark/>
          </w:tcPr>
          <w:p w14:paraId="592E81C6" w14:textId="77777777" w:rsidR="001E5E30" w:rsidRPr="00433ADE" w:rsidRDefault="001E5E30" w:rsidP="00D42F6A">
            <w:pPr>
              <w:spacing w:before="60" w:after="60"/>
              <w:jc w:val="center"/>
              <w:rPr>
                <w:rFonts w:asciiTheme="minorBidi" w:hAnsiTheme="minorBidi" w:cstheme="minorBidi"/>
                <w:color w:val="000000"/>
                <w:sz w:val="18"/>
                <w:szCs w:val="18"/>
              </w:rPr>
            </w:pPr>
          </w:p>
        </w:tc>
      </w:tr>
    </w:tbl>
    <w:p w14:paraId="65C9F254" w14:textId="77777777" w:rsidR="001E5E30" w:rsidRPr="00433ADE" w:rsidRDefault="001E5E30" w:rsidP="001E5E30"/>
    <w:p w14:paraId="1B08DF9D" w14:textId="77777777" w:rsidR="00190205" w:rsidRPr="00433ADE" w:rsidRDefault="00190205" w:rsidP="00D86BB3">
      <w:pPr>
        <w:rPr>
          <w:rFonts w:ascii="Arial" w:eastAsia="SimSun" w:hAnsi="Arial" w:cs="Arial"/>
          <w:sz w:val="22"/>
          <w:szCs w:val="22"/>
          <w:u w:val="single"/>
        </w:rPr>
      </w:pPr>
    </w:p>
    <w:sectPr w:rsidR="00190205" w:rsidRPr="00433ADE" w:rsidSect="00E45D07">
      <w:headerReference w:type="even" r:id="rId56"/>
      <w:headerReference w:type="default" r:id="rId57"/>
      <w:footerReference w:type="even" r:id="rId58"/>
      <w:footerReference w:type="default" r:id="rId59"/>
      <w:headerReference w:type="first" r:id="rId60"/>
      <w:footerReference w:type="first" r:id="rId61"/>
      <w:pgSz w:w="11906" w:h="16838" w:code="9"/>
      <w:pgMar w:top="1418" w:right="1134" w:bottom="993"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6A7AC" w14:textId="77777777" w:rsidR="00D9280D" w:rsidRDefault="00D9280D" w:rsidP="00655736">
      <w:r>
        <w:separator/>
      </w:r>
    </w:p>
  </w:endnote>
  <w:endnote w:type="continuationSeparator" w:id="0">
    <w:p w14:paraId="481643AB" w14:textId="77777777" w:rsidR="00D9280D" w:rsidRDefault="00D9280D"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92D2" w14:textId="77777777" w:rsidR="00A947C5" w:rsidRDefault="00A947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D065A" w14:textId="77777777" w:rsidR="00A947C5" w:rsidRDefault="00A947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35AE4" w14:textId="77777777" w:rsidR="00A947C5" w:rsidRDefault="00A94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75F02" w14:textId="77777777" w:rsidR="00D9280D" w:rsidRDefault="00D9280D" w:rsidP="00655736">
      <w:r>
        <w:separator/>
      </w:r>
    </w:p>
  </w:footnote>
  <w:footnote w:type="continuationSeparator" w:id="0">
    <w:p w14:paraId="04C338DA" w14:textId="77777777" w:rsidR="00D9280D" w:rsidRDefault="00D9280D" w:rsidP="00655736">
      <w:r>
        <w:continuationSeparator/>
      </w:r>
    </w:p>
  </w:footnote>
  <w:footnote w:id="1">
    <w:p w14:paraId="1AEB6A58" w14:textId="3792E3BC" w:rsidR="00F833D2" w:rsidRPr="00CA50CA" w:rsidRDefault="00F833D2" w:rsidP="00433ADE">
      <w:pPr>
        <w:pStyle w:val="FootnoteText"/>
        <w:spacing w:after="60"/>
        <w:jc w:val="both"/>
        <w:rPr>
          <w:rFonts w:asciiTheme="minorBidi" w:hAnsiTheme="minorBidi" w:cstheme="minorBidi"/>
          <w:sz w:val="18"/>
          <w:szCs w:val="18"/>
        </w:rPr>
      </w:pPr>
      <w:bookmarkStart w:id="1" w:name="_Hlk124351068"/>
      <w:r>
        <w:rPr>
          <w:rStyle w:val="FootnoteReference"/>
          <w:rFonts w:asciiTheme="minorBidi" w:hAnsiTheme="minorBidi" w:cstheme="minorBidi"/>
          <w:sz w:val="18"/>
          <w:szCs w:val="18"/>
          <w:lang w:val="fr"/>
        </w:rPr>
        <w:footnoteRef/>
      </w:r>
      <w:r>
        <w:rPr>
          <w:rFonts w:asciiTheme="minorBidi" w:hAnsiTheme="minorBidi" w:cstheme="minorBidi"/>
          <w:sz w:val="18"/>
          <w:szCs w:val="18"/>
          <w:lang w:val="fr"/>
        </w:rPr>
        <w:t xml:space="preserve"> Cette estimation est basée sur le solde du Fonds au 30 juin 2023 (à l</w:t>
      </w:r>
      <w:r w:rsidR="006C7400">
        <w:rPr>
          <w:rFonts w:asciiTheme="minorBidi" w:hAnsiTheme="minorBidi" w:cstheme="minorBidi" w:hint="eastAsia"/>
          <w:sz w:val="18"/>
          <w:szCs w:val="18"/>
          <w:lang w:val="fr"/>
        </w:rPr>
        <w:t>’</w:t>
      </w:r>
      <w:r>
        <w:rPr>
          <w:rFonts w:asciiTheme="minorBidi" w:hAnsiTheme="minorBidi" w:cstheme="minorBidi"/>
          <w:sz w:val="18"/>
          <w:szCs w:val="18"/>
          <w:lang w:val="fr"/>
        </w:rPr>
        <w:t>exclusion du Fonds de réserve de 1 000 000 </w:t>
      </w:r>
      <w:r w:rsidR="00F6648F" w:rsidRPr="00F6648F">
        <w:rPr>
          <w:rFonts w:asciiTheme="minorBidi" w:hAnsiTheme="minorBidi" w:cstheme="minorBidi"/>
          <w:sz w:val="18"/>
          <w:szCs w:val="18"/>
          <w:lang w:val="fr"/>
        </w:rPr>
        <w:t>dollars des États-Unis</w:t>
      </w:r>
      <w:r>
        <w:rPr>
          <w:rFonts w:asciiTheme="minorBidi" w:hAnsiTheme="minorBidi" w:cstheme="minorBidi"/>
          <w:sz w:val="18"/>
          <w:szCs w:val="18"/>
          <w:lang w:val="fr"/>
        </w:rPr>
        <w:t>) et ne tient pas compte des contributions</w:t>
      </w:r>
      <w:r w:rsidR="00F6648F">
        <w:rPr>
          <w:rFonts w:asciiTheme="minorBidi" w:hAnsiTheme="minorBidi" w:cstheme="minorBidi"/>
          <w:sz w:val="18"/>
          <w:szCs w:val="18"/>
          <w:lang w:val="fr"/>
        </w:rPr>
        <w:t xml:space="preserve"> mises en recouvrement</w:t>
      </w:r>
      <w:r>
        <w:rPr>
          <w:rFonts w:asciiTheme="minorBidi" w:hAnsiTheme="minorBidi" w:cstheme="minorBidi"/>
          <w:sz w:val="18"/>
          <w:szCs w:val="18"/>
          <w:lang w:val="fr"/>
        </w:rPr>
        <w:t xml:space="preserve"> dues pour le 42 C/5.</w:t>
      </w:r>
      <w:bookmarkEnd w:id="1"/>
    </w:p>
  </w:footnote>
  <w:footnote w:id="2">
    <w:p w14:paraId="7D3124AE" w14:textId="67226AA6" w:rsidR="005B6F10" w:rsidRPr="00CA50CA" w:rsidRDefault="005B6F10" w:rsidP="00433ADE">
      <w:pPr>
        <w:pStyle w:val="FootnoteText"/>
        <w:spacing w:after="60"/>
        <w:jc w:val="both"/>
        <w:rPr>
          <w:rFonts w:asciiTheme="minorBidi" w:hAnsiTheme="minorBidi" w:cstheme="minorBidi"/>
          <w:sz w:val="18"/>
          <w:szCs w:val="18"/>
        </w:rPr>
      </w:pPr>
      <w:r>
        <w:rPr>
          <w:rStyle w:val="FootnoteReference"/>
          <w:rFonts w:asciiTheme="minorBidi" w:hAnsiTheme="minorBidi" w:cstheme="minorBidi"/>
          <w:sz w:val="18"/>
          <w:szCs w:val="18"/>
          <w:lang w:val="fr"/>
        </w:rPr>
        <w:footnoteRef/>
      </w:r>
      <w:r>
        <w:rPr>
          <w:rFonts w:asciiTheme="minorBidi" w:hAnsiTheme="minorBidi" w:cstheme="minorBidi"/>
          <w:sz w:val="18"/>
          <w:szCs w:val="18"/>
          <w:lang w:val="fr"/>
        </w:rPr>
        <w:t xml:space="preserve"> Le dernier état des contributions obligatoires est disponible </w:t>
      </w:r>
      <w:r w:rsidR="0081193F">
        <w:rPr>
          <w:rFonts w:asciiTheme="minorBidi" w:hAnsiTheme="minorBidi" w:cstheme="minorBidi"/>
          <w:sz w:val="18"/>
          <w:szCs w:val="18"/>
          <w:lang w:val="fr"/>
        </w:rPr>
        <w:t>sur la page Internet</w:t>
      </w:r>
      <w:r>
        <w:rPr>
          <w:rFonts w:asciiTheme="minorBidi" w:hAnsiTheme="minorBidi" w:cstheme="minorBidi"/>
          <w:sz w:val="18"/>
          <w:szCs w:val="18"/>
          <w:lang w:val="fr"/>
        </w:rPr>
        <w:t xml:space="preserve"> suivante : </w:t>
      </w:r>
      <w:hyperlink r:id="rId1" w:history="1">
        <w:r>
          <w:rPr>
            <w:rStyle w:val="Hyperlink"/>
            <w:rFonts w:asciiTheme="minorBidi" w:hAnsiTheme="minorBidi" w:cstheme="minorBidi"/>
            <w:sz w:val="18"/>
            <w:szCs w:val="18"/>
            <w:lang w:val="fr"/>
          </w:rPr>
          <w:t>https://ich.unesco.org/doc/src/61535-FR.pdf</w:t>
        </w:r>
      </w:hyperlink>
      <w:r>
        <w:rPr>
          <w:rFonts w:asciiTheme="minorBidi" w:hAnsiTheme="minorBidi" w:cstheme="minorBidi"/>
          <w:sz w:val="18"/>
          <w:szCs w:val="18"/>
          <w:lang w:val="fr"/>
        </w:rPr>
        <w:t xml:space="preserve"> </w:t>
      </w:r>
    </w:p>
  </w:footnote>
  <w:footnote w:id="3">
    <w:p w14:paraId="4A7A7047" w14:textId="50DD0993" w:rsidR="00DC2F90" w:rsidRPr="00CA50CA" w:rsidRDefault="00DC2F90" w:rsidP="00433ADE">
      <w:pPr>
        <w:pStyle w:val="FootnoteText"/>
        <w:spacing w:after="60"/>
        <w:jc w:val="both"/>
        <w:rPr>
          <w:rFonts w:asciiTheme="minorBidi" w:hAnsiTheme="minorBidi" w:cstheme="minorBidi"/>
          <w:sz w:val="18"/>
          <w:szCs w:val="18"/>
        </w:rPr>
      </w:pPr>
      <w:r>
        <w:rPr>
          <w:rStyle w:val="FootnoteReference"/>
          <w:rFonts w:asciiTheme="minorBidi" w:hAnsiTheme="minorBidi" w:cstheme="minorBidi"/>
          <w:sz w:val="18"/>
          <w:szCs w:val="18"/>
          <w:lang w:val="fr"/>
        </w:rPr>
        <w:footnoteRef/>
      </w:r>
      <w:r>
        <w:rPr>
          <w:rFonts w:asciiTheme="minorBidi" w:hAnsiTheme="minorBidi" w:cstheme="minorBidi"/>
          <w:sz w:val="18"/>
          <w:szCs w:val="18"/>
          <w:lang w:val="fr"/>
        </w:rPr>
        <w:t xml:space="preserve"> L</w:t>
      </w:r>
      <w:r w:rsidR="006C7400">
        <w:rPr>
          <w:rFonts w:asciiTheme="minorBidi" w:hAnsiTheme="minorBidi" w:cstheme="minorBidi" w:hint="eastAsia"/>
          <w:sz w:val="18"/>
          <w:szCs w:val="18"/>
          <w:lang w:val="fr"/>
        </w:rPr>
        <w:t>’</w:t>
      </w:r>
      <w:r>
        <w:rPr>
          <w:rFonts w:asciiTheme="minorBidi" w:hAnsiTheme="minorBidi" w:cstheme="minorBidi"/>
          <w:sz w:val="18"/>
          <w:szCs w:val="18"/>
          <w:lang w:val="fr"/>
        </w:rPr>
        <w:t xml:space="preserve"> « assistance préparatoire » </w:t>
      </w:r>
      <w:r w:rsidR="00D478D5">
        <w:rPr>
          <w:rFonts w:asciiTheme="minorBidi" w:hAnsiTheme="minorBidi" w:cstheme="minorBidi"/>
          <w:sz w:val="18"/>
          <w:szCs w:val="18"/>
          <w:lang w:val="fr"/>
        </w:rPr>
        <w:t>fait référence</w:t>
      </w:r>
      <w:r>
        <w:rPr>
          <w:rFonts w:asciiTheme="minorBidi" w:hAnsiTheme="minorBidi" w:cstheme="minorBidi"/>
          <w:sz w:val="18"/>
          <w:szCs w:val="18"/>
          <w:lang w:val="fr"/>
        </w:rPr>
        <w:t xml:space="preserve"> à l</w:t>
      </w:r>
      <w:r w:rsidR="006C7400">
        <w:rPr>
          <w:rFonts w:asciiTheme="minorBidi" w:hAnsiTheme="minorBidi" w:cstheme="minorBidi" w:hint="eastAsia"/>
          <w:sz w:val="18"/>
          <w:szCs w:val="18"/>
          <w:lang w:val="fr"/>
        </w:rPr>
        <w:t>’</w:t>
      </w:r>
      <w:r w:rsidR="00D478D5">
        <w:rPr>
          <w:rFonts w:asciiTheme="minorBidi" w:hAnsiTheme="minorBidi" w:cstheme="minorBidi"/>
          <w:sz w:val="18"/>
          <w:szCs w:val="18"/>
          <w:lang w:val="fr"/>
        </w:rPr>
        <w:t>assistance</w:t>
      </w:r>
      <w:r>
        <w:rPr>
          <w:rFonts w:asciiTheme="minorBidi" w:hAnsiTheme="minorBidi" w:cstheme="minorBidi"/>
          <w:sz w:val="18"/>
          <w:szCs w:val="18"/>
          <w:lang w:val="fr"/>
        </w:rPr>
        <w:t xml:space="preserve"> que les États parties peuvent demander pour élaborer des candidatures à la Liste du patrimoine culturel immatériel nécessitant une sauvegarde urgente ou des propositions pour le Registre de bonnes pratiques de sauvegarde, pour le transfert d</w:t>
      </w:r>
      <w:r w:rsidR="006C7400">
        <w:rPr>
          <w:rFonts w:asciiTheme="minorBidi" w:hAnsiTheme="minorBidi" w:cstheme="minorBidi" w:hint="eastAsia"/>
          <w:sz w:val="18"/>
          <w:szCs w:val="18"/>
          <w:lang w:val="fr"/>
        </w:rPr>
        <w:t>’</w:t>
      </w:r>
      <w:r>
        <w:rPr>
          <w:rFonts w:asciiTheme="minorBidi" w:hAnsiTheme="minorBidi" w:cstheme="minorBidi"/>
          <w:sz w:val="18"/>
          <w:szCs w:val="18"/>
          <w:lang w:val="fr"/>
        </w:rPr>
        <w:t>éléments entre les Listes et le Registre de la Convention et pour l</w:t>
      </w:r>
      <w:r w:rsidR="006C7400">
        <w:rPr>
          <w:rFonts w:asciiTheme="minorBidi" w:hAnsiTheme="minorBidi" w:cstheme="minorBidi" w:hint="eastAsia"/>
          <w:sz w:val="18"/>
          <w:szCs w:val="18"/>
          <w:lang w:val="fr"/>
        </w:rPr>
        <w:t>’</w:t>
      </w:r>
      <w:r>
        <w:rPr>
          <w:rFonts w:asciiTheme="minorBidi" w:hAnsiTheme="minorBidi" w:cstheme="minorBidi"/>
          <w:sz w:val="18"/>
          <w:szCs w:val="18"/>
          <w:lang w:val="fr"/>
        </w:rPr>
        <w:t>inscription d</w:t>
      </w:r>
      <w:r w:rsidR="006C7400">
        <w:rPr>
          <w:rFonts w:asciiTheme="minorBidi" w:hAnsiTheme="minorBidi" w:cstheme="minorBidi" w:hint="eastAsia"/>
          <w:sz w:val="18"/>
          <w:szCs w:val="18"/>
          <w:lang w:val="fr"/>
        </w:rPr>
        <w:t>’</w:t>
      </w:r>
      <w:r>
        <w:rPr>
          <w:rFonts w:asciiTheme="minorBidi" w:hAnsiTheme="minorBidi" w:cstheme="minorBidi"/>
          <w:sz w:val="18"/>
          <w:szCs w:val="18"/>
          <w:lang w:val="fr"/>
        </w:rPr>
        <w:t xml:space="preserve">éléments sur une base étendue ou réduite (paragraphe 21 des </w:t>
      </w:r>
      <w:hyperlink r:id="rId2" w:history="1">
        <w:r>
          <w:rPr>
            <w:rStyle w:val="Hyperlink"/>
            <w:rFonts w:asciiTheme="minorBidi" w:hAnsiTheme="minorBidi" w:cstheme="minorBidi"/>
            <w:sz w:val="18"/>
            <w:szCs w:val="18"/>
            <w:lang w:val="fr"/>
          </w:rPr>
          <w:t>Directives opérationnelles</w:t>
        </w:r>
      </w:hyperlink>
      <w:r>
        <w:rPr>
          <w:rFonts w:asciiTheme="minorBidi" w:hAnsiTheme="minorBidi" w:cstheme="minorBidi"/>
          <w:sz w:val="18"/>
          <w:szCs w:val="18"/>
          <w:lang w:val="fr"/>
        </w:rPr>
        <w:t>). L</w:t>
      </w:r>
      <w:r w:rsidR="006C7400">
        <w:rPr>
          <w:rFonts w:asciiTheme="minorBidi" w:hAnsiTheme="minorBidi" w:cstheme="minorBidi" w:hint="eastAsia"/>
          <w:sz w:val="18"/>
          <w:szCs w:val="18"/>
          <w:lang w:val="fr"/>
        </w:rPr>
        <w:t>’</w:t>
      </w:r>
      <w:r>
        <w:rPr>
          <w:rFonts w:asciiTheme="minorBidi" w:hAnsiTheme="minorBidi" w:cstheme="minorBidi"/>
          <w:sz w:val="18"/>
          <w:szCs w:val="18"/>
          <w:lang w:val="fr"/>
        </w:rPr>
        <w:t> « assistance technique » fait référence à la mise à disposition d</w:t>
      </w:r>
      <w:r w:rsidR="006C7400">
        <w:rPr>
          <w:rFonts w:asciiTheme="minorBidi" w:hAnsiTheme="minorBidi" w:cstheme="minorBidi" w:hint="eastAsia"/>
          <w:sz w:val="18"/>
          <w:szCs w:val="18"/>
          <w:lang w:val="fr"/>
        </w:rPr>
        <w:t>’</w:t>
      </w:r>
      <w:r>
        <w:rPr>
          <w:rFonts w:asciiTheme="minorBidi" w:hAnsiTheme="minorBidi" w:cstheme="minorBidi"/>
          <w:sz w:val="18"/>
          <w:szCs w:val="18"/>
          <w:lang w:val="fr"/>
        </w:rPr>
        <w:t>experts, telle que décrite à l</w:t>
      </w:r>
      <w:r w:rsidR="006C7400">
        <w:rPr>
          <w:rFonts w:asciiTheme="minorBidi" w:hAnsiTheme="minorBidi" w:cstheme="minorBidi" w:hint="eastAsia"/>
          <w:sz w:val="18"/>
          <w:szCs w:val="18"/>
          <w:lang w:val="fr"/>
        </w:rPr>
        <w:t>’</w:t>
      </w:r>
      <w:r>
        <w:rPr>
          <w:rFonts w:asciiTheme="minorBidi" w:hAnsiTheme="minorBidi" w:cstheme="minorBidi"/>
          <w:sz w:val="18"/>
          <w:szCs w:val="18"/>
          <w:lang w:val="fr"/>
        </w:rPr>
        <w:t>article 21 de la Convention, pour les États parties souhaitant élaborer des demandes d</w:t>
      </w:r>
      <w:r w:rsidR="006C7400">
        <w:rPr>
          <w:rFonts w:asciiTheme="minorBidi" w:hAnsiTheme="minorBidi" w:cstheme="minorBidi" w:hint="eastAsia"/>
          <w:sz w:val="18"/>
          <w:szCs w:val="18"/>
          <w:lang w:val="fr"/>
        </w:rPr>
        <w:t>’</w:t>
      </w:r>
      <w:r>
        <w:rPr>
          <w:rFonts w:asciiTheme="minorBidi" w:hAnsiTheme="minorBidi" w:cstheme="minorBidi"/>
          <w:sz w:val="18"/>
          <w:szCs w:val="18"/>
          <w:lang w:val="fr"/>
        </w:rPr>
        <w:t>assistance internationale (</w:t>
      </w:r>
      <w:hyperlink r:id="rId3" w:history="1">
        <w:r>
          <w:rPr>
            <w:rStyle w:val="Hyperlink"/>
            <w:rFonts w:asciiTheme="minorBidi" w:hAnsiTheme="minorBidi" w:cstheme="minorBidi"/>
            <w:sz w:val="18"/>
            <w:szCs w:val="18"/>
            <w:lang w:val="fr"/>
          </w:rPr>
          <w:t>Décision 8.COM 7.c</w:t>
        </w:r>
      </w:hyperlink>
      <w:r>
        <w:rPr>
          <w:rFonts w:asciiTheme="minorBidi" w:hAnsiTheme="minorBidi" w:cstheme="minorBidi"/>
          <w:sz w:val="18"/>
          <w:szCs w:val="18"/>
          <w:lang w:val="fr"/>
        </w:rPr>
        <w:t>).</w:t>
      </w:r>
    </w:p>
  </w:footnote>
  <w:footnote w:id="4">
    <w:p w14:paraId="3BF66FB0" w14:textId="7B392F9E" w:rsidR="002C1DE8" w:rsidRPr="00433ADE" w:rsidRDefault="002C1DE8" w:rsidP="00433ADE">
      <w:pPr>
        <w:pStyle w:val="FootnoteText"/>
        <w:spacing w:after="60"/>
        <w:jc w:val="both"/>
        <w:rPr>
          <w:rFonts w:asciiTheme="minorBidi" w:hAnsiTheme="minorBidi" w:cstheme="minorBidi"/>
          <w:sz w:val="18"/>
          <w:szCs w:val="18"/>
        </w:rPr>
      </w:pPr>
      <w:r>
        <w:rPr>
          <w:rStyle w:val="FootnoteReference"/>
          <w:rFonts w:asciiTheme="minorBidi" w:hAnsiTheme="minorBidi" w:cstheme="minorBidi"/>
          <w:sz w:val="18"/>
          <w:szCs w:val="18"/>
          <w:lang w:val="fr"/>
        </w:rPr>
        <w:footnoteRef/>
      </w:r>
      <w:r>
        <w:rPr>
          <w:rFonts w:asciiTheme="minorBidi" w:hAnsiTheme="minorBidi" w:cstheme="minorBidi"/>
          <w:sz w:val="18"/>
          <w:szCs w:val="18"/>
          <w:lang w:val="fr"/>
        </w:rPr>
        <w:t xml:space="preserve"> Le résultat escompté 1 proposé est aligné sur l</w:t>
      </w:r>
      <w:r w:rsidR="006C7400">
        <w:rPr>
          <w:rFonts w:asciiTheme="minorBidi" w:hAnsiTheme="minorBidi" w:cstheme="minorBidi" w:hint="eastAsia"/>
          <w:sz w:val="18"/>
          <w:szCs w:val="18"/>
          <w:lang w:val="fr"/>
        </w:rPr>
        <w:t>’</w:t>
      </w:r>
      <w:r>
        <w:rPr>
          <w:rFonts w:asciiTheme="minorBidi" w:hAnsiTheme="minorBidi" w:cstheme="minorBidi"/>
          <w:sz w:val="18"/>
          <w:szCs w:val="18"/>
          <w:lang w:val="fr"/>
        </w:rPr>
        <w:t>indicateur de performance 1 « Nombre d</w:t>
      </w:r>
      <w:r w:rsidR="006C7400">
        <w:rPr>
          <w:rFonts w:asciiTheme="minorBidi" w:hAnsiTheme="minorBidi" w:cstheme="minorBidi" w:hint="eastAsia"/>
          <w:sz w:val="18"/>
          <w:szCs w:val="18"/>
          <w:lang w:val="fr"/>
        </w:rPr>
        <w:t>’</w:t>
      </w:r>
      <w:r>
        <w:rPr>
          <w:rFonts w:asciiTheme="minorBidi" w:hAnsiTheme="minorBidi" w:cstheme="minorBidi"/>
          <w:sz w:val="18"/>
          <w:szCs w:val="18"/>
          <w:lang w:val="fr"/>
        </w:rPr>
        <w:t>États membres disposant de politiques, de stratégies et de programmes nouveaux ou révisés pour sauvegarder le patrimoine vivant, notamment dans le contexte de plans et de cadres de développement durable, conformément à la Convention pour la sauvegarde du patrimoine culturel immatériel (2003) » dans le 41 C/5 approuvé et le projet de 42 C/5 pour le Produit 5.CLT4. Il fusionne les RE 2 (« Mise en œuvre de la Convention dans les États membres encouragée par un programme de renforcement des capacités consolidé ») et 3 (« Appui à l</w:t>
      </w:r>
      <w:r w:rsidR="006C7400">
        <w:rPr>
          <w:rFonts w:asciiTheme="minorBidi" w:hAnsiTheme="minorBidi" w:cstheme="minorBidi" w:hint="eastAsia"/>
          <w:sz w:val="18"/>
          <w:szCs w:val="18"/>
          <w:lang w:val="fr"/>
        </w:rPr>
        <w:t>’</w:t>
      </w:r>
      <w:r>
        <w:rPr>
          <w:rFonts w:asciiTheme="minorBidi" w:hAnsiTheme="minorBidi" w:cstheme="minorBidi"/>
          <w:sz w:val="18"/>
          <w:szCs w:val="18"/>
          <w:lang w:val="fr"/>
        </w:rPr>
        <w:t xml:space="preserve">intégration du patrimoine culturel immatériel dans les plans, politiques et programmes de développement ») dans le </w:t>
      </w:r>
      <w:r w:rsidR="003D5349">
        <w:rPr>
          <w:rFonts w:asciiTheme="minorBidi" w:hAnsiTheme="minorBidi" w:cstheme="minorBidi"/>
          <w:sz w:val="18"/>
          <w:szCs w:val="18"/>
          <w:lang w:val="fr"/>
        </w:rPr>
        <w:t>p</w:t>
      </w:r>
      <w:r>
        <w:rPr>
          <w:rFonts w:asciiTheme="minorBidi" w:hAnsiTheme="minorBidi" w:cstheme="minorBidi"/>
          <w:sz w:val="18"/>
          <w:szCs w:val="18"/>
          <w:lang w:val="fr"/>
        </w:rPr>
        <w:t>lan pour 2022 - 2023.</w:t>
      </w:r>
    </w:p>
  </w:footnote>
  <w:footnote w:id="5">
    <w:p w14:paraId="45775066" w14:textId="75F9F9B2" w:rsidR="002C1DE8" w:rsidRPr="00433ADE" w:rsidRDefault="002C1DE8" w:rsidP="00433ADE">
      <w:pPr>
        <w:pStyle w:val="FootnoteText"/>
        <w:spacing w:after="60"/>
        <w:jc w:val="both"/>
        <w:rPr>
          <w:rFonts w:asciiTheme="minorBidi" w:hAnsiTheme="minorBidi" w:cstheme="minorBidi"/>
          <w:sz w:val="18"/>
          <w:szCs w:val="18"/>
        </w:rPr>
      </w:pPr>
      <w:r>
        <w:rPr>
          <w:rStyle w:val="FootnoteReference"/>
          <w:rFonts w:asciiTheme="minorBidi" w:hAnsiTheme="minorBidi" w:cstheme="minorBidi"/>
          <w:sz w:val="18"/>
          <w:szCs w:val="18"/>
          <w:lang w:val="fr"/>
        </w:rPr>
        <w:footnoteRef/>
      </w:r>
      <w:r>
        <w:rPr>
          <w:rFonts w:asciiTheme="minorBidi" w:hAnsiTheme="minorBidi" w:cstheme="minorBidi"/>
          <w:sz w:val="18"/>
          <w:szCs w:val="18"/>
          <w:lang w:val="fr"/>
        </w:rPr>
        <w:t xml:space="preserve"> Le résultat escompté 2 proposé est aligné sur l</w:t>
      </w:r>
      <w:r w:rsidR="006C7400">
        <w:rPr>
          <w:rFonts w:asciiTheme="minorBidi" w:hAnsiTheme="minorBidi" w:cstheme="minorBidi" w:hint="eastAsia"/>
          <w:sz w:val="18"/>
          <w:szCs w:val="18"/>
          <w:lang w:val="fr"/>
        </w:rPr>
        <w:t>’</w:t>
      </w:r>
      <w:r>
        <w:rPr>
          <w:rFonts w:asciiTheme="minorBidi" w:hAnsiTheme="minorBidi" w:cstheme="minorBidi"/>
          <w:sz w:val="18"/>
          <w:szCs w:val="18"/>
          <w:lang w:val="fr"/>
        </w:rPr>
        <w:t>indicateur de performance 2 « Nombre d</w:t>
      </w:r>
      <w:r w:rsidR="006C7400">
        <w:rPr>
          <w:rFonts w:asciiTheme="minorBidi" w:hAnsiTheme="minorBidi" w:cstheme="minorBidi" w:hint="eastAsia"/>
          <w:sz w:val="18"/>
          <w:szCs w:val="18"/>
          <w:lang w:val="fr"/>
        </w:rPr>
        <w:t>’</w:t>
      </w:r>
      <w:r>
        <w:rPr>
          <w:rFonts w:asciiTheme="minorBidi" w:hAnsiTheme="minorBidi" w:cstheme="minorBidi"/>
          <w:sz w:val="18"/>
          <w:szCs w:val="18"/>
          <w:lang w:val="fr"/>
        </w:rPr>
        <w:t>États membres sauvegardant durablement le patrimoine vivant grâce à une coopération internationale renforcée et aux mécanismes d</w:t>
      </w:r>
      <w:r w:rsidR="006C7400">
        <w:rPr>
          <w:rFonts w:asciiTheme="minorBidi" w:hAnsiTheme="minorBidi" w:cstheme="minorBidi" w:hint="eastAsia"/>
          <w:sz w:val="18"/>
          <w:szCs w:val="18"/>
          <w:lang w:val="fr"/>
        </w:rPr>
        <w:t>’</w:t>
      </w:r>
      <w:r>
        <w:rPr>
          <w:rFonts w:asciiTheme="minorBidi" w:hAnsiTheme="minorBidi" w:cstheme="minorBidi"/>
          <w:sz w:val="18"/>
          <w:szCs w:val="18"/>
          <w:lang w:val="fr"/>
        </w:rPr>
        <w:t>assistance de la Convention pour la sauvegarde du patrimoine culturel immatériel (2003) » dans le 41 C/5 approuvé et le projet de 42 C/5 pour le Produit 5.CLT4. Il fusionne les RE 1 (« Bonne gouvernance de la Convention de 2003 facilitée par l</w:t>
      </w:r>
      <w:r w:rsidR="006C7400">
        <w:rPr>
          <w:rFonts w:asciiTheme="minorBidi" w:hAnsiTheme="minorBidi" w:cstheme="minorBidi" w:hint="eastAsia"/>
          <w:sz w:val="18"/>
          <w:szCs w:val="18"/>
          <w:lang w:val="fr"/>
        </w:rPr>
        <w:t>’</w:t>
      </w:r>
      <w:r>
        <w:rPr>
          <w:rFonts w:asciiTheme="minorBidi" w:hAnsiTheme="minorBidi" w:cstheme="minorBidi"/>
          <w:sz w:val="18"/>
          <w:szCs w:val="18"/>
          <w:lang w:val="fr"/>
        </w:rPr>
        <w:t>amélioration du suivi et des services de gestion des connaissances ») et 4 (« Promotion des objectifs de la Convention par des actions de sensibilisation et d</w:t>
      </w:r>
      <w:r w:rsidR="006C7400">
        <w:rPr>
          <w:rFonts w:asciiTheme="minorBidi" w:hAnsiTheme="minorBidi" w:cstheme="minorBidi" w:hint="eastAsia"/>
          <w:sz w:val="18"/>
          <w:szCs w:val="18"/>
          <w:lang w:val="fr"/>
        </w:rPr>
        <w:t>’</w:t>
      </w:r>
      <w:r>
        <w:rPr>
          <w:rFonts w:asciiTheme="minorBidi" w:hAnsiTheme="minorBidi" w:cstheme="minorBidi"/>
          <w:sz w:val="18"/>
          <w:szCs w:val="18"/>
          <w:lang w:val="fr"/>
        </w:rPr>
        <w:t xml:space="preserve">information ») dans le plan pour 2022 - 2023. </w:t>
      </w:r>
    </w:p>
  </w:footnote>
  <w:footnote w:id="6">
    <w:p w14:paraId="00072C73" w14:textId="11ED0BEA" w:rsidR="000B30BF" w:rsidRPr="00433ADE" w:rsidRDefault="000B30BF" w:rsidP="00433ADE">
      <w:pPr>
        <w:pStyle w:val="FootnoteText"/>
        <w:spacing w:after="60"/>
        <w:jc w:val="both"/>
        <w:rPr>
          <w:rFonts w:asciiTheme="minorBidi" w:hAnsiTheme="minorBidi" w:cstheme="minorBidi"/>
          <w:sz w:val="18"/>
          <w:szCs w:val="18"/>
        </w:rPr>
      </w:pPr>
      <w:r>
        <w:rPr>
          <w:rStyle w:val="FootnoteReference"/>
          <w:rFonts w:asciiTheme="minorBidi" w:hAnsiTheme="minorBidi" w:cstheme="minorBidi"/>
          <w:sz w:val="18"/>
          <w:szCs w:val="18"/>
          <w:lang w:val="fr"/>
        </w:rPr>
        <w:footnoteRef/>
      </w:r>
      <w:r>
        <w:rPr>
          <w:rFonts w:asciiTheme="minorBidi" w:hAnsiTheme="minorBidi" w:cstheme="minorBidi"/>
          <w:sz w:val="18"/>
          <w:szCs w:val="18"/>
          <w:lang w:val="fr"/>
        </w:rPr>
        <w:t xml:space="preserve"> Cela correspond également à la proposition faite dans </w:t>
      </w:r>
      <w:r w:rsidR="00A73EB0">
        <w:rPr>
          <w:rFonts w:asciiTheme="minorBidi" w:hAnsiTheme="minorBidi" w:cstheme="minorBidi"/>
          <w:sz w:val="18"/>
          <w:szCs w:val="18"/>
          <w:lang w:val="fr"/>
        </w:rPr>
        <w:t>le</w:t>
      </w:r>
      <w:r>
        <w:rPr>
          <w:rFonts w:asciiTheme="minorBidi" w:hAnsiTheme="minorBidi" w:cstheme="minorBidi"/>
          <w:sz w:val="18"/>
          <w:szCs w:val="18"/>
          <w:lang w:val="fr"/>
        </w:rPr>
        <w:t xml:space="preserve"> </w:t>
      </w:r>
      <w:hyperlink r:id="rId4" w:history="1">
        <w:r w:rsidR="00A73EB0">
          <w:rPr>
            <w:rStyle w:val="Hyperlink"/>
            <w:rFonts w:asciiTheme="minorBidi" w:hAnsiTheme="minorBidi" w:cstheme="minorBidi"/>
            <w:sz w:val="18"/>
            <w:szCs w:val="18"/>
            <w:lang w:val="fr"/>
          </w:rPr>
          <w:t>P</w:t>
        </w:r>
        <w:r>
          <w:rPr>
            <w:rStyle w:val="Hyperlink"/>
            <w:rFonts w:asciiTheme="minorBidi" w:hAnsiTheme="minorBidi" w:cstheme="minorBidi"/>
            <w:sz w:val="18"/>
            <w:szCs w:val="18"/>
            <w:lang w:val="fr"/>
          </w:rPr>
          <w:t>rojet de résolution portant ouverture de crédits pour 2024-2025</w:t>
        </w:r>
      </w:hyperlink>
      <w:r>
        <w:rPr>
          <w:rFonts w:asciiTheme="minorBidi" w:hAnsiTheme="minorBidi" w:cstheme="minorBidi"/>
          <w:sz w:val="18"/>
          <w:szCs w:val="18"/>
          <w:lang w:val="fr"/>
        </w:rPr>
        <w:t xml:space="preserve"> (paragraphe 3, p. 21) qui sera présenté à la quarante-deuxième session de la Conférence générale de l</w:t>
      </w:r>
      <w:r w:rsidR="006C7400">
        <w:rPr>
          <w:rFonts w:asciiTheme="minorBidi" w:hAnsiTheme="minorBidi" w:cstheme="minorBidi" w:hint="eastAsia"/>
          <w:sz w:val="18"/>
          <w:szCs w:val="18"/>
          <w:lang w:val="fr"/>
        </w:rPr>
        <w:t>’</w:t>
      </w:r>
      <w:r>
        <w:rPr>
          <w:rFonts w:asciiTheme="minorBidi" w:hAnsiTheme="minorBidi" w:cstheme="minorBidi"/>
          <w:sz w:val="18"/>
          <w:szCs w:val="18"/>
          <w:lang w:val="fr"/>
        </w:rPr>
        <w:t>UNESCO en novembre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A055" w14:textId="64DCAA39" w:rsidR="00D95C4C" w:rsidRPr="00C23A97" w:rsidRDefault="00C5776D" w:rsidP="00C5776D">
    <w:pPr>
      <w:pStyle w:val="Header"/>
      <w:rPr>
        <w:rFonts w:ascii="Arial" w:hAnsi="Arial" w:cs="Arial"/>
      </w:rPr>
    </w:pPr>
    <w:r>
      <w:rPr>
        <w:rFonts w:ascii="Arial" w:hAnsi="Arial" w:cs="Arial"/>
        <w:sz w:val="20"/>
        <w:szCs w:val="20"/>
        <w:lang w:val="fr"/>
      </w:rPr>
      <w:t xml:space="preserve">LHE/23/18.COM/14 - page </w:t>
    </w:r>
    <w:r>
      <w:rPr>
        <w:rStyle w:val="PageNumber"/>
        <w:rFonts w:ascii="Arial" w:hAnsi="Arial" w:cs="Arial"/>
        <w:sz w:val="20"/>
        <w:szCs w:val="20"/>
        <w:lang w:val="fr"/>
      </w:rPr>
      <w:fldChar w:fldCharType="begin"/>
    </w:r>
    <w:r>
      <w:rPr>
        <w:rStyle w:val="PageNumber"/>
        <w:rFonts w:ascii="Arial" w:hAnsi="Arial" w:cs="Arial"/>
        <w:sz w:val="20"/>
        <w:szCs w:val="20"/>
        <w:lang w:val="fr"/>
      </w:rPr>
      <w:instrText xml:space="preserve"> PAGE </w:instrText>
    </w:r>
    <w:r>
      <w:rPr>
        <w:rStyle w:val="PageNumber"/>
        <w:rFonts w:ascii="Arial" w:hAnsi="Arial" w:cs="Arial"/>
        <w:sz w:val="20"/>
        <w:szCs w:val="20"/>
        <w:lang w:val="fr"/>
      </w:rPr>
      <w:fldChar w:fldCharType="separate"/>
    </w:r>
    <w:r>
      <w:rPr>
        <w:rStyle w:val="PageNumber"/>
        <w:rFonts w:ascii="Arial" w:hAnsi="Arial" w:cs="Arial"/>
        <w:noProof/>
        <w:sz w:val="20"/>
        <w:szCs w:val="20"/>
        <w:lang w:val="fr"/>
      </w:rPr>
      <w:t>2</w:t>
    </w:r>
    <w:r>
      <w:rPr>
        <w:rStyle w:val="PageNumber"/>
        <w:rFonts w:ascii="Arial" w:hAnsi="Arial" w:cs="Arial"/>
        <w:sz w:val="20"/>
        <w:szCs w:val="20"/>
        <w:lang w:val="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31B" w14:textId="0A831D88" w:rsidR="00D95C4C" w:rsidRPr="0063300C" w:rsidRDefault="00C5776D" w:rsidP="00C5776D">
    <w:pPr>
      <w:pStyle w:val="Header"/>
      <w:jc w:val="right"/>
      <w:rPr>
        <w:rFonts w:ascii="Arial" w:hAnsi="Arial" w:cs="Arial"/>
      </w:rPr>
    </w:pPr>
    <w:r>
      <w:rPr>
        <w:rFonts w:ascii="Arial" w:hAnsi="Arial" w:cs="Arial"/>
        <w:sz w:val="20"/>
        <w:szCs w:val="20"/>
        <w:lang w:val="fr"/>
      </w:rPr>
      <w:t xml:space="preserve">LHE/23/18.COM/14 - page </w:t>
    </w:r>
    <w:r>
      <w:rPr>
        <w:rStyle w:val="PageNumber"/>
        <w:rFonts w:ascii="Arial" w:hAnsi="Arial" w:cs="Arial"/>
        <w:sz w:val="20"/>
        <w:szCs w:val="20"/>
        <w:lang w:val="fr"/>
      </w:rPr>
      <w:fldChar w:fldCharType="begin"/>
    </w:r>
    <w:r>
      <w:rPr>
        <w:rStyle w:val="PageNumber"/>
        <w:rFonts w:ascii="Arial" w:hAnsi="Arial" w:cs="Arial"/>
        <w:sz w:val="20"/>
        <w:szCs w:val="20"/>
        <w:lang w:val="fr"/>
      </w:rPr>
      <w:instrText xml:space="preserve"> PAGE </w:instrText>
    </w:r>
    <w:r>
      <w:rPr>
        <w:rStyle w:val="PageNumber"/>
        <w:rFonts w:ascii="Arial" w:hAnsi="Arial" w:cs="Arial"/>
        <w:sz w:val="20"/>
        <w:szCs w:val="20"/>
        <w:lang w:val="fr"/>
      </w:rPr>
      <w:fldChar w:fldCharType="separate"/>
    </w:r>
    <w:r>
      <w:rPr>
        <w:rStyle w:val="PageNumber"/>
        <w:rFonts w:ascii="Arial" w:hAnsi="Arial" w:cs="Arial"/>
        <w:noProof/>
        <w:sz w:val="20"/>
        <w:szCs w:val="20"/>
        <w:lang w:val="fr"/>
      </w:rPr>
      <w:t>3</w:t>
    </w:r>
    <w:r>
      <w:rPr>
        <w:rStyle w:val="PageNumber"/>
        <w:rFonts w:ascii="Arial" w:hAnsi="Arial" w:cs="Arial"/>
        <w:sz w:val="20"/>
        <w:szCs w:val="20"/>
        <w:lang w:val="f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9E0" w14:textId="0BD00770" w:rsidR="00D95C4C" w:rsidRPr="00A947C5" w:rsidRDefault="00A21CC8">
    <w:pPr>
      <w:pStyle w:val="Header"/>
      <w:rPr>
        <w:sz w:val="22"/>
        <w:szCs w:val="22"/>
      </w:rPr>
    </w:pPr>
    <w:r w:rsidRPr="00A947C5">
      <w:rPr>
        <w:rFonts w:ascii="Arial" w:hAnsi="Arial" w:cs="Arial"/>
        <w:b/>
        <w:noProof/>
        <w:sz w:val="44"/>
        <w:szCs w:val="44"/>
        <w:lang w:val="pt-PT"/>
      </w:rPr>
      <w:drawing>
        <wp:anchor distT="0" distB="0" distL="114300" distR="114300" simplePos="0" relativeHeight="251661312" behindDoc="0" locked="0" layoutInCell="1" allowOverlap="1" wp14:anchorId="37923672" wp14:editId="385C533C">
          <wp:simplePos x="0" y="0"/>
          <wp:positionH relativeFrom="margin">
            <wp:align>left</wp:align>
          </wp:positionH>
          <wp:positionV relativeFrom="paragraph">
            <wp:posOffset>121285</wp:posOffset>
          </wp:positionV>
          <wp:extent cx="1631950" cy="1370330"/>
          <wp:effectExtent l="0" t="0" r="6350" b="1270"/>
          <wp:wrapSquare wrapText="bothSides"/>
          <wp:docPr id="1" name="Image 1" descr="Une image contenant texte, Polic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logo, capture d’écran&#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5992" cy="1399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B917" w14:textId="6DF5A864" w:rsidR="00D95C4C" w:rsidRPr="00A947C5" w:rsidRDefault="00337CEB" w:rsidP="00C5776D">
    <w:pPr>
      <w:pStyle w:val="Header"/>
      <w:spacing w:after="520"/>
      <w:jc w:val="right"/>
      <w:rPr>
        <w:rFonts w:ascii="Arial" w:hAnsi="Arial" w:cs="Arial"/>
        <w:b/>
        <w:sz w:val="44"/>
        <w:szCs w:val="44"/>
      </w:rPr>
    </w:pPr>
    <w:r w:rsidRPr="00A947C5">
      <w:rPr>
        <w:rFonts w:ascii="Arial" w:hAnsi="Arial" w:cs="Arial"/>
        <w:b/>
        <w:bCs/>
        <w:sz w:val="44"/>
        <w:szCs w:val="44"/>
        <w:lang w:val="fr"/>
      </w:rPr>
      <w:t>18 COM</w:t>
    </w:r>
  </w:p>
  <w:p w14:paraId="306484B8" w14:textId="5D0FCC0E" w:rsidR="00D95C4C" w:rsidRPr="00A947C5" w:rsidRDefault="00C5776D" w:rsidP="00C5776D">
    <w:pPr>
      <w:jc w:val="right"/>
      <w:rPr>
        <w:rFonts w:ascii="Arial" w:hAnsi="Arial" w:cs="Arial"/>
        <w:b/>
        <w:sz w:val="22"/>
        <w:szCs w:val="22"/>
      </w:rPr>
    </w:pPr>
    <w:r w:rsidRPr="00A947C5">
      <w:rPr>
        <w:rFonts w:ascii="Arial" w:hAnsi="Arial" w:cs="Arial"/>
        <w:b/>
        <w:bCs/>
        <w:sz w:val="22"/>
        <w:szCs w:val="22"/>
        <w:lang w:val="fr"/>
      </w:rPr>
      <w:t>LHE/23/18.COM/14</w:t>
    </w:r>
  </w:p>
  <w:p w14:paraId="1B4446C3" w14:textId="4C0D40BC" w:rsidR="00D95C4C" w:rsidRPr="00A947C5" w:rsidRDefault="00D95C4C" w:rsidP="00655736">
    <w:pPr>
      <w:jc w:val="right"/>
      <w:rPr>
        <w:rFonts w:ascii="Arial" w:eastAsiaTheme="minorEastAsia" w:hAnsi="Arial" w:cs="Arial"/>
        <w:b/>
        <w:sz w:val="22"/>
        <w:szCs w:val="22"/>
      </w:rPr>
    </w:pPr>
    <w:r w:rsidRPr="00A947C5">
      <w:rPr>
        <w:rFonts w:ascii="Arial" w:hAnsi="Arial" w:cs="Arial"/>
        <w:b/>
        <w:bCs/>
        <w:sz w:val="22"/>
        <w:szCs w:val="22"/>
        <w:lang w:val="fr"/>
      </w:rPr>
      <w:t xml:space="preserve">Paris, </w:t>
    </w:r>
    <w:r w:rsidR="005339C4" w:rsidRPr="00A947C5">
      <w:rPr>
        <w:rFonts w:ascii="Arial" w:hAnsi="Arial" w:cs="Arial"/>
        <w:b/>
        <w:bCs/>
        <w:sz w:val="22"/>
        <w:szCs w:val="22"/>
        <w:lang w:val="fr"/>
      </w:rPr>
      <w:t>le 8</w:t>
    </w:r>
    <w:r w:rsidRPr="00A947C5">
      <w:rPr>
        <w:rFonts w:ascii="Arial" w:hAnsi="Arial" w:cs="Arial"/>
        <w:b/>
        <w:bCs/>
        <w:sz w:val="22"/>
        <w:szCs w:val="22"/>
        <w:lang w:val="fr"/>
      </w:rPr>
      <w:t xml:space="preserve"> novembre 2023</w:t>
    </w:r>
  </w:p>
  <w:p w14:paraId="255B57FF" w14:textId="4650B8B3" w:rsidR="00D95C4C" w:rsidRPr="00F32C23" w:rsidRDefault="00D95C4C" w:rsidP="00962034">
    <w:pPr>
      <w:spacing w:after="120"/>
      <w:jc w:val="right"/>
      <w:rPr>
        <w:rFonts w:ascii="Arial" w:hAnsi="Arial" w:cs="Arial"/>
        <w:b/>
        <w:sz w:val="22"/>
        <w:szCs w:val="22"/>
      </w:rPr>
    </w:pPr>
    <w:r w:rsidRPr="00A947C5">
      <w:rPr>
        <w:rFonts w:ascii="Arial" w:hAnsi="Arial" w:cs="Arial"/>
        <w:b/>
        <w:bCs/>
        <w:sz w:val="22"/>
        <w:szCs w:val="22"/>
        <w:lang w:val="fr"/>
      </w:rPr>
      <w:t>Original : anglais</w:t>
    </w:r>
  </w:p>
  <w:p w14:paraId="3C4B8B1B" w14:textId="77777777" w:rsidR="00D95C4C" w:rsidRPr="00E95AE2" w:rsidRDefault="00D95C4C">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7A4"/>
    <w:multiLevelType w:val="hybridMultilevel"/>
    <w:tmpl w:val="014AD836"/>
    <w:lvl w:ilvl="0" w:tplc="4A669414">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5713607"/>
    <w:multiLevelType w:val="hybridMultilevel"/>
    <w:tmpl w:val="D11E195A"/>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 w15:restartNumberingAfterBreak="0">
    <w:nsid w:val="1BA40D70"/>
    <w:multiLevelType w:val="hybridMultilevel"/>
    <w:tmpl w:val="FA48674E"/>
    <w:lvl w:ilvl="0" w:tplc="FFFFFFFF">
      <w:start w:val="1"/>
      <w:numFmt w:val="upperLetter"/>
      <w:lvlText w:val="%1."/>
      <w:lvlJc w:val="left"/>
      <w:pPr>
        <w:ind w:left="502"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ECB0828"/>
    <w:multiLevelType w:val="multilevel"/>
    <w:tmpl w:val="455C37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515124"/>
    <w:multiLevelType w:val="hybridMultilevel"/>
    <w:tmpl w:val="93DAB1A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5F07BFE"/>
    <w:multiLevelType w:val="hybridMultilevel"/>
    <w:tmpl w:val="4BBCF97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6702D60"/>
    <w:multiLevelType w:val="hybridMultilevel"/>
    <w:tmpl w:val="F5AA095E"/>
    <w:lvl w:ilvl="0" w:tplc="0409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0386563"/>
    <w:multiLevelType w:val="hybridMultilevel"/>
    <w:tmpl w:val="31667218"/>
    <w:lvl w:ilvl="0" w:tplc="040C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5"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6" w15:restartNumberingAfterBreak="0">
    <w:nsid w:val="4F872126"/>
    <w:multiLevelType w:val="hybridMultilevel"/>
    <w:tmpl w:val="C2E690EA"/>
    <w:lvl w:ilvl="0" w:tplc="040C0001">
      <w:start w:val="1"/>
      <w:numFmt w:val="bullet"/>
      <w:lvlText w:val=""/>
      <w:lvlJc w:val="left"/>
      <w:pPr>
        <w:ind w:left="1855" w:hanging="360"/>
      </w:pPr>
      <w:rPr>
        <w:rFonts w:ascii="Symbol" w:hAnsi="Symbol" w:hint="default"/>
      </w:rPr>
    </w:lvl>
    <w:lvl w:ilvl="1" w:tplc="040C0003" w:tentative="1">
      <w:start w:val="1"/>
      <w:numFmt w:val="bullet"/>
      <w:lvlText w:val="o"/>
      <w:lvlJc w:val="left"/>
      <w:pPr>
        <w:ind w:left="2575" w:hanging="360"/>
      </w:pPr>
      <w:rPr>
        <w:rFonts w:ascii="Courier New" w:hAnsi="Courier New" w:cs="Courier New" w:hint="default"/>
      </w:rPr>
    </w:lvl>
    <w:lvl w:ilvl="2" w:tplc="040C0005" w:tentative="1">
      <w:start w:val="1"/>
      <w:numFmt w:val="bullet"/>
      <w:lvlText w:val=""/>
      <w:lvlJc w:val="left"/>
      <w:pPr>
        <w:ind w:left="3295" w:hanging="360"/>
      </w:pPr>
      <w:rPr>
        <w:rFonts w:ascii="Wingdings" w:hAnsi="Wingdings" w:hint="default"/>
      </w:rPr>
    </w:lvl>
    <w:lvl w:ilvl="3" w:tplc="040C0001" w:tentative="1">
      <w:start w:val="1"/>
      <w:numFmt w:val="bullet"/>
      <w:lvlText w:val=""/>
      <w:lvlJc w:val="left"/>
      <w:pPr>
        <w:ind w:left="4015" w:hanging="360"/>
      </w:pPr>
      <w:rPr>
        <w:rFonts w:ascii="Symbol" w:hAnsi="Symbol" w:hint="default"/>
      </w:rPr>
    </w:lvl>
    <w:lvl w:ilvl="4" w:tplc="040C0003" w:tentative="1">
      <w:start w:val="1"/>
      <w:numFmt w:val="bullet"/>
      <w:lvlText w:val="o"/>
      <w:lvlJc w:val="left"/>
      <w:pPr>
        <w:ind w:left="4735" w:hanging="360"/>
      </w:pPr>
      <w:rPr>
        <w:rFonts w:ascii="Courier New" w:hAnsi="Courier New" w:cs="Courier New" w:hint="default"/>
      </w:rPr>
    </w:lvl>
    <w:lvl w:ilvl="5" w:tplc="040C0005" w:tentative="1">
      <w:start w:val="1"/>
      <w:numFmt w:val="bullet"/>
      <w:lvlText w:val=""/>
      <w:lvlJc w:val="left"/>
      <w:pPr>
        <w:ind w:left="5455" w:hanging="360"/>
      </w:pPr>
      <w:rPr>
        <w:rFonts w:ascii="Wingdings" w:hAnsi="Wingdings" w:hint="default"/>
      </w:rPr>
    </w:lvl>
    <w:lvl w:ilvl="6" w:tplc="040C0001" w:tentative="1">
      <w:start w:val="1"/>
      <w:numFmt w:val="bullet"/>
      <w:lvlText w:val=""/>
      <w:lvlJc w:val="left"/>
      <w:pPr>
        <w:ind w:left="6175" w:hanging="360"/>
      </w:pPr>
      <w:rPr>
        <w:rFonts w:ascii="Symbol" w:hAnsi="Symbol" w:hint="default"/>
      </w:rPr>
    </w:lvl>
    <w:lvl w:ilvl="7" w:tplc="040C0003" w:tentative="1">
      <w:start w:val="1"/>
      <w:numFmt w:val="bullet"/>
      <w:lvlText w:val="o"/>
      <w:lvlJc w:val="left"/>
      <w:pPr>
        <w:ind w:left="6895" w:hanging="360"/>
      </w:pPr>
      <w:rPr>
        <w:rFonts w:ascii="Courier New" w:hAnsi="Courier New" w:cs="Courier New" w:hint="default"/>
      </w:rPr>
    </w:lvl>
    <w:lvl w:ilvl="8" w:tplc="040C0005" w:tentative="1">
      <w:start w:val="1"/>
      <w:numFmt w:val="bullet"/>
      <w:lvlText w:val=""/>
      <w:lvlJc w:val="left"/>
      <w:pPr>
        <w:ind w:left="7615" w:hanging="360"/>
      </w:pPr>
      <w:rPr>
        <w:rFonts w:ascii="Wingdings" w:hAnsi="Wingdings" w:hint="default"/>
      </w:rPr>
    </w:lvl>
  </w:abstractNum>
  <w:abstractNum w:abstractNumId="17"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8" w15:restartNumberingAfterBreak="0">
    <w:nsid w:val="66563B31"/>
    <w:multiLevelType w:val="hybridMultilevel"/>
    <w:tmpl w:val="0670617A"/>
    <w:lvl w:ilvl="0" w:tplc="D36C7616">
      <w:start w:val="1"/>
      <w:numFmt w:val="decimal"/>
      <w:pStyle w:val="GAPara"/>
      <w:lvlText w:val="%1."/>
      <w:lvlJc w:val="left"/>
      <w:pPr>
        <w:ind w:left="720" w:hanging="360"/>
      </w:pPr>
      <w:rPr>
        <w:rFonts w:ascii="Arial" w:hAnsi="Arial" w:cs="Arial" w:hint="default"/>
        <w:b w:val="0"/>
        <w:bCs w:val="0"/>
        <w:i w:val="0"/>
        <w:iCs w:val="0"/>
        <w:strike w:val="0"/>
        <w:sz w:val="22"/>
        <w:szCs w:val="22"/>
      </w:rPr>
    </w:lvl>
    <w:lvl w:ilvl="1" w:tplc="040C0001">
      <w:start w:val="1"/>
      <w:numFmt w:val="bullet"/>
      <w:lvlText w:val=""/>
      <w:lvlJc w:val="left"/>
      <w:pPr>
        <w:ind w:left="1440" w:hanging="360"/>
      </w:pPr>
      <w:rPr>
        <w:rFonts w:ascii="Symbol" w:hAnsi="Symbol"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B3B55DF"/>
    <w:multiLevelType w:val="hybridMultilevel"/>
    <w:tmpl w:val="4BF44F56"/>
    <w:lvl w:ilvl="0" w:tplc="BC1E59A8">
      <w:start w:val="1"/>
      <w:numFmt w:val="upperRoman"/>
      <w:lvlText w:val="%1."/>
      <w:lvlJc w:val="left"/>
      <w:pPr>
        <w:ind w:left="1080" w:hanging="72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C627CF4"/>
    <w:multiLevelType w:val="hybridMultilevel"/>
    <w:tmpl w:val="FA48674E"/>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822628298">
    <w:abstractNumId w:val="17"/>
  </w:num>
  <w:num w:numId="2" w16cid:durableId="699629408">
    <w:abstractNumId w:val="10"/>
  </w:num>
  <w:num w:numId="3" w16cid:durableId="164177712">
    <w:abstractNumId w:val="4"/>
  </w:num>
  <w:num w:numId="4" w16cid:durableId="1416590798">
    <w:abstractNumId w:val="20"/>
  </w:num>
  <w:num w:numId="5" w16cid:durableId="1762608160">
    <w:abstractNumId w:val="19"/>
  </w:num>
  <w:num w:numId="6" w16cid:durableId="2146270374">
    <w:abstractNumId w:val="1"/>
  </w:num>
  <w:num w:numId="7" w16cid:durableId="1113592211">
    <w:abstractNumId w:val="5"/>
  </w:num>
  <w:num w:numId="8" w16cid:durableId="1920598164">
    <w:abstractNumId w:val="15"/>
  </w:num>
  <w:num w:numId="9" w16cid:durableId="1533764642">
    <w:abstractNumId w:val="8"/>
  </w:num>
  <w:num w:numId="10" w16cid:durableId="1246129">
    <w:abstractNumId w:val="11"/>
  </w:num>
  <w:num w:numId="11" w16cid:durableId="111829808">
    <w:abstractNumId w:val="14"/>
  </w:num>
  <w:num w:numId="12" w16cid:durableId="1088770206">
    <w:abstractNumId w:val="12"/>
  </w:num>
  <w:num w:numId="13" w16cid:durableId="1263951029">
    <w:abstractNumId w:val="22"/>
  </w:num>
  <w:num w:numId="14" w16cid:durableId="395903570">
    <w:abstractNumId w:val="7"/>
  </w:num>
  <w:num w:numId="15" w16cid:durableId="1857570918">
    <w:abstractNumId w:val="8"/>
  </w:num>
  <w:num w:numId="16" w16cid:durableId="248199808">
    <w:abstractNumId w:val="8"/>
  </w:num>
  <w:num w:numId="17" w16cid:durableId="350380342">
    <w:abstractNumId w:val="8"/>
  </w:num>
  <w:num w:numId="18" w16cid:durableId="944581980">
    <w:abstractNumId w:val="8"/>
  </w:num>
  <w:num w:numId="19" w16cid:durableId="772675100">
    <w:abstractNumId w:val="8"/>
  </w:num>
  <w:num w:numId="20" w16cid:durableId="1253010311">
    <w:abstractNumId w:val="8"/>
  </w:num>
  <w:num w:numId="21" w16cid:durableId="540821319">
    <w:abstractNumId w:val="3"/>
  </w:num>
  <w:num w:numId="22" w16cid:durableId="1366951108">
    <w:abstractNumId w:val="21"/>
  </w:num>
  <w:num w:numId="23" w16cid:durableId="671225243">
    <w:abstractNumId w:val="8"/>
  </w:num>
  <w:num w:numId="24" w16cid:durableId="1725056108">
    <w:abstractNumId w:val="8"/>
    <w:lvlOverride w:ilvl="0">
      <w:startOverride w:val="1"/>
    </w:lvlOverride>
  </w:num>
  <w:num w:numId="25" w16cid:durableId="339550507">
    <w:abstractNumId w:val="16"/>
  </w:num>
  <w:num w:numId="26" w16cid:durableId="1101802627">
    <w:abstractNumId w:val="18"/>
  </w:num>
  <w:num w:numId="27" w16cid:durableId="1093673167">
    <w:abstractNumId w:val="18"/>
  </w:num>
  <w:num w:numId="28" w16cid:durableId="1336692374">
    <w:abstractNumId w:val="18"/>
  </w:num>
  <w:num w:numId="29" w16cid:durableId="1695838596">
    <w:abstractNumId w:val="18"/>
  </w:num>
  <w:num w:numId="30" w16cid:durableId="1238125648">
    <w:abstractNumId w:val="8"/>
    <w:lvlOverride w:ilvl="0">
      <w:startOverride w:val="1"/>
    </w:lvlOverride>
  </w:num>
  <w:num w:numId="31" w16cid:durableId="1762331215">
    <w:abstractNumId w:val="9"/>
  </w:num>
  <w:num w:numId="32" w16cid:durableId="92289140">
    <w:abstractNumId w:val="0"/>
  </w:num>
  <w:num w:numId="33" w16cid:durableId="15424529">
    <w:abstractNumId w:val="18"/>
  </w:num>
  <w:num w:numId="34" w16cid:durableId="574508517">
    <w:abstractNumId w:val="6"/>
    <w:lvlOverride w:ilvl="0">
      <w:lvl w:ilvl="0">
        <w:numFmt w:val="decimal"/>
        <w:lvlText w:val="%1."/>
        <w:lvlJc w:val="left"/>
      </w:lvl>
    </w:lvlOverride>
  </w:num>
  <w:num w:numId="35" w16cid:durableId="965962187">
    <w:abstractNumId w:val="13"/>
  </w:num>
  <w:num w:numId="36" w16cid:durableId="809324694">
    <w:abstractNumId w:val="2"/>
  </w:num>
  <w:num w:numId="37" w16cid:durableId="1750618606">
    <w:abstractNumId w:val="8"/>
  </w:num>
  <w:num w:numId="38" w16cid:durableId="2059435156">
    <w:abstractNumId w:val="8"/>
  </w:num>
  <w:num w:numId="39" w16cid:durableId="1837378371">
    <w:abstractNumId w:val="8"/>
  </w:num>
  <w:num w:numId="40" w16cid:durableId="1428304541">
    <w:abstractNumId w:val="8"/>
  </w:num>
  <w:num w:numId="41" w16cid:durableId="1886985628">
    <w:abstractNumId w:val="8"/>
  </w:num>
  <w:num w:numId="42" w16cid:durableId="1192259847">
    <w:abstractNumId w:val="8"/>
    <w:lvlOverride w:ilvl="0">
      <w:startOverride w:val="1"/>
    </w:lvlOverride>
  </w:num>
  <w:num w:numId="43" w16cid:durableId="1134907225">
    <w:abstractNumId w:val="8"/>
  </w:num>
  <w:num w:numId="44" w16cid:durableId="1769110853">
    <w:abstractNumId w:val="8"/>
    <w:lvlOverride w:ilvl="0">
      <w:startOverride w:val="1"/>
    </w:lvlOverride>
  </w:num>
  <w:num w:numId="45" w16cid:durableId="1559130094">
    <w:abstractNumId w:val="8"/>
  </w:num>
  <w:num w:numId="46" w16cid:durableId="512762421">
    <w:abstractNumId w:val="8"/>
  </w:num>
  <w:num w:numId="47" w16cid:durableId="1232086146">
    <w:abstractNumId w:val="8"/>
  </w:num>
  <w:num w:numId="48" w16cid:durableId="551885859">
    <w:abstractNumId w:val="8"/>
  </w:num>
  <w:num w:numId="49" w16cid:durableId="335015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1E56"/>
    <w:rsid w:val="000048ED"/>
    <w:rsid w:val="000105EA"/>
    <w:rsid w:val="00014915"/>
    <w:rsid w:val="00017F1B"/>
    <w:rsid w:val="00041A66"/>
    <w:rsid w:val="00042D88"/>
    <w:rsid w:val="00044353"/>
    <w:rsid w:val="0005176E"/>
    <w:rsid w:val="000521A6"/>
    <w:rsid w:val="00053FDA"/>
    <w:rsid w:val="000566FA"/>
    <w:rsid w:val="00057C3A"/>
    <w:rsid w:val="00057D95"/>
    <w:rsid w:val="000765F7"/>
    <w:rsid w:val="0007725F"/>
    <w:rsid w:val="00077AB7"/>
    <w:rsid w:val="00081CD8"/>
    <w:rsid w:val="00085AD1"/>
    <w:rsid w:val="00085DDB"/>
    <w:rsid w:val="00090622"/>
    <w:rsid w:val="00090BA9"/>
    <w:rsid w:val="000A4D44"/>
    <w:rsid w:val="000A7F0E"/>
    <w:rsid w:val="000B1C8F"/>
    <w:rsid w:val="000B30BF"/>
    <w:rsid w:val="000C0D61"/>
    <w:rsid w:val="000C3482"/>
    <w:rsid w:val="000C7664"/>
    <w:rsid w:val="000C792E"/>
    <w:rsid w:val="000E050C"/>
    <w:rsid w:val="000E3722"/>
    <w:rsid w:val="000E5FC8"/>
    <w:rsid w:val="000E6060"/>
    <w:rsid w:val="000E708B"/>
    <w:rsid w:val="000F3A3F"/>
    <w:rsid w:val="000F3FDC"/>
    <w:rsid w:val="00102557"/>
    <w:rsid w:val="001169E7"/>
    <w:rsid w:val="0014432F"/>
    <w:rsid w:val="00145AAC"/>
    <w:rsid w:val="00147A38"/>
    <w:rsid w:val="00152400"/>
    <w:rsid w:val="0015494B"/>
    <w:rsid w:val="00155A73"/>
    <w:rsid w:val="00164D56"/>
    <w:rsid w:val="00165417"/>
    <w:rsid w:val="00167B10"/>
    <w:rsid w:val="0017402F"/>
    <w:rsid w:val="0018064D"/>
    <w:rsid w:val="00190205"/>
    <w:rsid w:val="0019185A"/>
    <w:rsid w:val="00196C1B"/>
    <w:rsid w:val="001B0F73"/>
    <w:rsid w:val="001B13CC"/>
    <w:rsid w:val="001B5729"/>
    <w:rsid w:val="001C2DB7"/>
    <w:rsid w:val="001C728D"/>
    <w:rsid w:val="001D14FE"/>
    <w:rsid w:val="001D5112"/>
    <w:rsid w:val="001D5C04"/>
    <w:rsid w:val="001D5DF3"/>
    <w:rsid w:val="001E3FA6"/>
    <w:rsid w:val="001E49CB"/>
    <w:rsid w:val="001E5E30"/>
    <w:rsid w:val="001F1CED"/>
    <w:rsid w:val="001F26CF"/>
    <w:rsid w:val="001F38F2"/>
    <w:rsid w:val="001F3CA2"/>
    <w:rsid w:val="001F6FD4"/>
    <w:rsid w:val="00211DEF"/>
    <w:rsid w:val="00213F12"/>
    <w:rsid w:val="00221761"/>
    <w:rsid w:val="00222A2D"/>
    <w:rsid w:val="00223029"/>
    <w:rsid w:val="00226DAF"/>
    <w:rsid w:val="002337DB"/>
    <w:rsid w:val="00234745"/>
    <w:rsid w:val="002351A6"/>
    <w:rsid w:val="002407AF"/>
    <w:rsid w:val="00245501"/>
    <w:rsid w:val="0025151E"/>
    <w:rsid w:val="00254A04"/>
    <w:rsid w:val="00254B26"/>
    <w:rsid w:val="00257AF7"/>
    <w:rsid w:val="0026221A"/>
    <w:rsid w:val="002662A3"/>
    <w:rsid w:val="002701CC"/>
    <w:rsid w:val="0027466B"/>
    <w:rsid w:val="00277326"/>
    <w:rsid w:val="002775EA"/>
    <w:rsid w:val="002814F6"/>
    <w:rsid w:val="002838A5"/>
    <w:rsid w:val="00285B96"/>
    <w:rsid w:val="00285BB4"/>
    <w:rsid w:val="00294EE9"/>
    <w:rsid w:val="002967ED"/>
    <w:rsid w:val="002A318B"/>
    <w:rsid w:val="002A70F8"/>
    <w:rsid w:val="002B4891"/>
    <w:rsid w:val="002C09E3"/>
    <w:rsid w:val="002C1DE8"/>
    <w:rsid w:val="002C2012"/>
    <w:rsid w:val="002C6A2C"/>
    <w:rsid w:val="002C7418"/>
    <w:rsid w:val="002D1244"/>
    <w:rsid w:val="003033EB"/>
    <w:rsid w:val="00304CD9"/>
    <w:rsid w:val="003236D1"/>
    <w:rsid w:val="003264D1"/>
    <w:rsid w:val="003337D4"/>
    <w:rsid w:val="00336F1B"/>
    <w:rsid w:val="00337CEB"/>
    <w:rsid w:val="00337D62"/>
    <w:rsid w:val="00340625"/>
    <w:rsid w:val="00344B58"/>
    <w:rsid w:val="0034539A"/>
    <w:rsid w:val="00345CB4"/>
    <w:rsid w:val="00345E50"/>
    <w:rsid w:val="00351B46"/>
    <w:rsid w:val="00353745"/>
    <w:rsid w:val="00370E80"/>
    <w:rsid w:val="00375D42"/>
    <w:rsid w:val="00376565"/>
    <w:rsid w:val="003836F6"/>
    <w:rsid w:val="00397D99"/>
    <w:rsid w:val="003A066A"/>
    <w:rsid w:val="003B1D7C"/>
    <w:rsid w:val="003B6358"/>
    <w:rsid w:val="003C4BE9"/>
    <w:rsid w:val="003C649A"/>
    <w:rsid w:val="003D069C"/>
    <w:rsid w:val="003D24B0"/>
    <w:rsid w:val="003D2B3B"/>
    <w:rsid w:val="003D4ADE"/>
    <w:rsid w:val="003D5349"/>
    <w:rsid w:val="003D7646"/>
    <w:rsid w:val="003F113A"/>
    <w:rsid w:val="003F1C31"/>
    <w:rsid w:val="003F3E63"/>
    <w:rsid w:val="004017BC"/>
    <w:rsid w:val="00407480"/>
    <w:rsid w:val="00414447"/>
    <w:rsid w:val="00414643"/>
    <w:rsid w:val="0041774A"/>
    <w:rsid w:val="00417FAD"/>
    <w:rsid w:val="00422716"/>
    <w:rsid w:val="004313C4"/>
    <w:rsid w:val="00433ADE"/>
    <w:rsid w:val="004421E5"/>
    <w:rsid w:val="00443770"/>
    <w:rsid w:val="00452284"/>
    <w:rsid w:val="00457C8E"/>
    <w:rsid w:val="004616AA"/>
    <w:rsid w:val="004666AA"/>
    <w:rsid w:val="0047050C"/>
    <w:rsid w:val="00480175"/>
    <w:rsid w:val="004856CA"/>
    <w:rsid w:val="0048762E"/>
    <w:rsid w:val="00487E67"/>
    <w:rsid w:val="004905B0"/>
    <w:rsid w:val="004906B7"/>
    <w:rsid w:val="00492854"/>
    <w:rsid w:val="0049705E"/>
    <w:rsid w:val="004A2875"/>
    <w:rsid w:val="004A34A0"/>
    <w:rsid w:val="004A56FA"/>
    <w:rsid w:val="004B0E5B"/>
    <w:rsid w:val="004C14B0"/>
    <w:rsid w:val="004C2F8D"/>
    <w:rsid w:val="004C7C82"/>
    <w:rsid w:val="005008A8"/>
    <w:rsid w:val="00511C3D"/>
    <w:rsid w:val="00517FD8"/>
    <w:rsid w:val="00526B7B"/>
    <w:rsid w:val="005274D2"/>
    <w:rsid w:val="005308CE"/>
    <w:rsid w:val="00530ADD"/>
    <w:rsid w:val="0053318C"/>
    <w:rsid w:val="005339C4"/>
    <w:rsid w:val="0053567E"/>
    <w:rsid w:val="00535AF4"/>
    <w:rsid w:val="0054041D"/>
    <w:rsid w:val="0054114F"/>
    <w:rsid w:val="00546112"/>
    <w:rsid w:val="00547C21"/>
    <w:rsid w:val="005611F4"/>
    <w:rsid w:val="00573B13"/>
    <w:rsid w:val="0057439C"/>
    <w:rsid w:val="00591B1A"/>
    <w:rsid w:val="005960FA"/>
    <w:rsid w:val="005A6CA0"/>
    <w:rsid w:val="005B0127"/>
    <w:rsid w:val="005B6F10"/>
    <w:rsid w:val="005B7A35"/>
    <w:rsid w:val="005C4B73"/>
    <w:rsid w:val="005C772C"/>
    <w:rsid w:val="005D1833"/>
    <w:rsid w:val="005D286D"/>
    <w:rsid w:val="005D31CA"/>
    <w:rsid w:val="005E1D2B"/>
    <w:rsid w:val="005E3454"/>
    <w:rsid w:val="005E65CC"/>
    <w:rsid w:val="005E7074"/>
    <w:rsid w:val="005F00D3"/>
    <w:rsid w:val="005F2BAF"/>
    <w:rsid w:val="005F5322"/>
    <w:rsid w:val="00600D93"/>
    <w:rsid w:val="00601A0B"/>
    <w:rsid w:val="0060555B"/>
    <w:rsid w:val="006067AB"/>
    <w:rsid w:val="00610FDF"/>
    <w:rsid w:val="00615A11"/>
    <w:rsid w:val="0062497E"/>
    <w:rsid w:val="00626BEA"/>
    <w:rsid w:val="006325AE"/>
    <w:rsid w:val="0063300C"/>
    <w:rsid w:val="00651A5B"/>
    <w:rsid w:val="0065344F"/>
    <w:rsid w:val="00655736"/>
    <w:rsid w:val="00662637"/>
    <w:rsid w:val="00663B8D"/>
    <w:rsid w:val="00681577"/>
    <w:rsid w:val="006823E0"/>
    <w:rsid w:val="00696C8D"/>
    <w:rsid w:val="006A2AC2"/>
    <w:rsid w:val="006A3617"/>
    <w:rsid w:val="006B3D08"/>
    <w:rsid w:val="006B4452"/>
    <w:rsid w:val="006C7400"/>
    <w:rsid w:val="006E46E4"/>
    <w:rsid w:val="006E68E9"/>
    <w:rsid w:val="006E75EB"/>
    <w:rsid w:val="006F03F4"/>
    <w:rsid w:val="006F6367"/>
    <w:rsid w:val="007164BB"/>
    <w:rsid w:val="00717DA5"/>
    <w:rsid w:val="0072062E"/>
    <w:rsid w:val="00722B06"/>
    <w:rsid w:val="00722FEB"/>
    <w:rsid w:val="0072305B"/>
    <w:rsid w:val="007333D0"/>
    <w:rsid w:val="00744484"/>
    <w:rsid w:val="007448FE"/>
    <w:rsid w:val="00747566"/>
    <w:rsid w:val="007523B8"/>
    <w:rsid w:val="0075594E"/>
    <w:rsid w:val="00766064"/>
    <w:rsid w:val="00770CB2"/>
    <w:rsid w:val="00771D10"/>
    <w:rsid w:val="00772D5E"/>
    <w:rsid w:val="00773188"/>
    <w:rsid w:val="00774C52"/>
    <w:rsid w:val="00783782"/>
    <w:rsid w:val="00784524"/>
    <w:rsid w:val="00784B8C"/>
    <w:rsid w:val="007874E5"/>
    <w:rsid w:val="007879E1"/>
    <w:rsid w:val="00790B2F"/>
    <w:rsid w:val="007A3992"/>
    <w:rsid w:val="007B5295"/>
    <w:rsid w:val="007B75D6"/>
    <w:rsid w:val="007C23C2"/>
    <w:rsid w:val="007C5AF4"/>
    <w:rsid w:val="007D1B10"/>
    <w:rsid w:val="007E57AA"/>
    <w:rsid w:val="007E791D"/>
    <w:rsid w:val="007F0BEE"/>
    <w:rsid w:val="008067BC"/>
    <w:rsid w:val="008072E1"/>
    <w:rsid w:val="0081193F"/>
    <w:rsid w:val="00814271"/>
    <w:rsid w:val="008163BF"/>
    <w:rsid w:val="008237A7"/>
    <w:rsid w:val="00823A11"/>
    <w:rsid w:val="00824845"/>
    <w:rsid w:val="00827C35"/>
    <w:rsid w:val="008368DE"/>
    <w:rsid w:val="00844632"/>
    <w:rsid w:val="00852977"/>
    <w:rsid w:val="0085405E"/>
    <w:rsid w:val="0085414A"/>
    <w:rsid w:val="00857EB9"/>
    <w:rsid w:val="0086269D"/>
    <w:rsid w:val="008638F3"/>
    <w:rsid w:val="00863C15"/>
    <w:rsid w:val="0086543A"/>
    <w:rsid w:val="008656BB"/>
    <w:rsid w:val="008724E5"/>
    <w:rsid w:val="008727CD"/>
    <w:rsid w:val="008765C9"/>
    <w:rsid w:val="00884A9D"/>
    <w:rsid w:val="0088512B"/>
    <w:rsid w:val="00895B93"/>
    <w:rsid w:val="008A03D7"/>
    <w:rsid w:val="008A2B2D"/>
    <w:rsid w:val="008A4E1E"/>
    <w:rsid w:val="008A6458"/>
    <w:rsid w:val="008B4BC1"/>
    <w:rsid w:val="008C296C"/>
    <w:rsid w:val="008D4305"/>
    <w:rsid w:val="008E1A85"/>
    <w:rsid w:val="008E344F"/>
    <w:rsid w:val="008E53D2"/>
    <w:rsid w:val="008E7100"/>
    <w:rsid w:val="008F21AB"/>
    <w:rsid w:val="00907664"/>
    <w:rsid w:val="00912E81"/>
    <w:rsid w:val="009139BF"/>
    <w:rsid w:val="00914EB7"/>
    <w:rsid w:val="009163A7"/>
    <w:rsid w:val="00931594"/>
    <w:rsid w:val="00934634"/>
    <w:rsid w:val="00937D53"/>
    <w:rsid w:val="00943924"/>
    <w:rsid w:val="00946D0B"/>
    <w:rsid w:val="009524DE"/>
    <w:rsid w:val="00955877"/>
    <w:rsid w:val="00962034"/>
    <w:rsid w:val="00963612"/>
    <w:rsid w:val="009804CD"/>
    <w:rsid w:val="009A18CD"/>
    <w:rsid w:val="009B678F"/>
    <w:rsid w:val="009C0301"/>
    <w:rsid w:val="009C5EA3"/>
    <w:rsid w:val="009D3FCD"/>
    <w:rsid w:val="009D5428"/>
    <w:rsid w:val="009D5A35"/>
    <w:rsid w:val="009D6257"/>
    <w:rsid w:val="009D7FA0"/>
    <w:rsid w:val="009E371B"/>
    <w:rsid w:val="00A1042B"/>
    <w:rsid w:val="00A12558"/>
    <w:rsid w:val="00A13903"/>
    <w:rsid w:val="00A17B6E"/>
    <w:rsid w:val="00A21B55"/>
    <w:rsid w:val="00A21CC8"/>
    <w:rsid w:val="00A34ED5"/>
    <w:rsid w:val="00A37A66"/>
    <w:rsid w:val="00A43082"/>
    <w:rsid w:val="00A448B1"/>
    <w:rsid w:val="00A45DBF"/>
    <w:rsid w:val="00A66BBB"/>
    <w:rsid w:val="00A725CF"/>
    <w:rsid w:val="00A73EB0"/>
    <w:rsid w:val="00A755A2"/>
    <w:rsid w:val="00A821A3"/>
    <w:rsid w:val="00A859B4"/>
    <w:rsid w:val="00A86C19"/>
    <w:rsid w:val="00A91430"/>
    <w:rsid w:val="00A947C5"/>
    <w:rsid w:val="00AA590D"/>
    <w:rsid w:val="00AA6660"/>
    <w:rsid w:val="00AB133E"/>
    <w:rsid w:val="00AB2C36"/>
    <w:rsid w:val="00AB6DDE"/>
    <w:rsid w:val="00AB70B6"/>
    <w:rsid w:val="00AC1675"/>
    <w:rsid w:val="00AC18C1"/>
    <w:rsid w:val="00AC2D48"/>
    <w:rsid w:val="00AD1A86"/>
    <w:rsid w:val="00AD5C46"/>
    <w:rsid w:val="00AE103E"/>
    <w:rsid w:val="00AE346D"/>
    <w:rsid w:val="00AE4B14"/>
    <w:rsid w:val="00AF0A07"/>
    <w:rsid w:val="00AF4ABA"/>
    <w:rsid w:val="00AF4AEC"/>
    <w:rsid w:val="00AF625E"/>
    <w:rsid w:val="00B07471"/>
    <w:rsid w:val="00B139BE"/>
    <w:rsid w:val="00B15BDD"/>
    <w:rsid w:val="00B206EF"/>
    <w:rsid w:val="00B2172B"/>
    <w:rsid w:val="00B26669"/>
    <w:rsid w:val="00B34428"/>
    <w:rsid w:val="00B4495E"/>
    <w:rsid w:val="00B55A45"/>
    <w:rsid w:val="00B6607F"/>
    <w:rsid w:val="00B80FDF"/>
    <w:rsid w:val="00B917D2"/>
    <w:rsid w:val="00B92474"/>
    <w:rsid w:val="00B97EB3"/>
    <w:rsid w:val="00BA241A"/>
    <w:rsid w:val="00BA5D45"/>
    <w:rsid w:val="00BB04AF"/>
    <w:rsid w:val="00BB3C32"/>
    <w:rsid w:val="00BB639A"/>
    <w:rsid w:val="00BB6EEC"/>
    <w:rsid w:val="00BD52C9"/>
    <w:rsid w:val="00BD5D7B"/>
    <w:rsid w:val="00BE1047"/>
    <w:rsid w:val="00BE4A5A"/>
    <w:rsid w:val="00BE6354"/>
    <w:rsid w:val="00C07DF5"/>
    <w:rsid w:val="00C138D1"/>
    <w:rsid w:val="00C203CB"/>
    <w:rsid w:val="00C23A97"/>
    <w:rsid w:val="00C42A85"/>
    <w:rsid w:val="00C47AB4"/>
    <w:rsid w:val="00C47FAB"/>
    <w:rsid w:val="00C52EBE"/>
    <w:rsid w:val="00C5776D"/>
    <w:rsid w:val="00C64855"/>
    <w:rsid w:val="00C65DF1"/>
    <w:rsid w:val="00C70EA7"/>
    <w:rsid w:val="00C7433F"/>
    <w:rsid w:val="00C7516E"/>
    <w:rsid w:val="00C75770"/>
    <w:rsid w:val="00C76FED"/>
    <w:rsid w:val="00C87541"/>
    <w:rsid w:val="00C92B60"/>
    <w:rsid w:val="00C93756"/>
    <w:rsid w:val="00C93EE4"/>
    <w:rsid w:val="00C942C3"/>
    <w:rsid w:val="00CA2A81"/>
    <w:rsid w:val="00CA36FC"/>
    <w:rsid w:val="00CA4EB3"/>
    <w:rsid w:val="00CA50CA"/>
    <w:rsid w:val="00CA56BB"/>
    <w:rsid w:val="00CB0542"/>
    <w:rsid w:val="00CB38B2"/>
    <w:rsid w:val="00CB501D"/>
    <w:rsid w:val="00CC7306"/>
    <w:rsid w:val="00D00B2B"/>
    <w:rsid w:val="00D02E8C"/>
    <w:rsid w:val="00D05235"/>
    <w:rsid w:val="00D132AD"/>
    <w:rsid w:val="00D22C1B"/>
    <w:rsid w:val="00D24877"/>
    <w:rsid w:val="00D4169A"/>
    <w:rsid w:val="00D478D5"/>
    <w:rsid w:val="00D54D6E"/>
    <w:rsid w:val="00D60A77"/>
    <w:rsid w:val="00D63318"/>
    <w:rsid w:val="00D7105A"/>
    <w:rsid w:val="00D8250F"/>
    <w:rsid w:val="00D84CCC"/>
    <w:rsid w:val="00D8632C"/>
    <w:rsid w:val="00D86BB3"/>
    <w:rsid w:val="00D86D89"/>
    <w:rsid w:val="00D9280D"/>
    <w:rsid w:val="00D9491F"/>
    <w:rsid w:val="00D95C4C"/>
    <w:rsid w:val="00DA36ED"/>
    <w:rsid w:val="00DA55CF"/>
    <w:rsid w:val="00DC2F90"/>
    <w:rsid w:val="00DC3967"/>
    <w:rsid w:val="00DE34F1"/>
    <w:rsid w:val="00DE54DA"/>
    <w:rsid w:val="00DE6160"/>
    <w:rsid w:val="00DF4942"/>
    <w:rsid w:val="00E16F85"/>
    <w:rsid w:val="00E2125F"/>
    <w:rsid w:val="00E22B41"/>
    <w:rsid w:val="00E24457"/>
    <w:rsid w:val="00E244E1"/>
    <w:rsid w:val="00E2603B"/>
    <w:rsid w:val="00E263E6"/>
    <w:rsid w:val="00E409E3"/>
    <w:rsid w:val="00E4150C"/>
    <w:rsid w:val="00E4308B"/>
    <w:rsid w:val="00E45D07"/>
    <w:rsid w:val="00E520EE"/>
    <w:rsid w:val="00E62246"/>
    <w:rsid w:val="00E627B1"/>
    <w:rsid w:val="00E63856"/>
    <w:rsid w:val="00E70169"/>
    <w:rsid w:val="00E9376C"/>
    <w:rsid w:val="00E95AE2"/>
    <w:rsid w:val="00E96231"/>
    <w:rsid w:val="00E96C7B"/>
    <w:rsid w:val="00EA335E"/>
    <w:rsid w:val="00EA3FEE"/>
    <w:rsid w:val="00EA4E51"/>
    <w:rsid w:val="00EA528C"/>
    <w:rsid w:val="00EA580C"/>
    <w:rsid w:val="00EC6F8D"/>
    <w:rsid w:val="00ED39B2"/>
    <w:rsid w:val="00ED5016"/>
    <w:rsid w:val="00EE3B62"/>
    <w:rsid w:val="00EE49F4"/>
    <w:rsid w:val="00EF34E2"/>
    <w:rsid w:val="00EF4510"/>
    <w:rsid w:val="00F00BE2"/>
    <w:rsid w:val="00F10684"/>
    <w:rsid w:val="00F12274"/>
    <w:rsid w:val="00F23BF1"/>
    <w:rsid w:val="00F25E48"/>
    <w:rsid w:val="00F30DC6"/>
    <w:rsid w:val="00F31F96"/>
    <w:rsid w:val="00F32C23"/>
    <w:rsid w:val="00F53DE9"/>
    <w:rsid w:val="00F55778"/>
    <w:rsid w:val="00F564E5"/>
    <w:rsid w:val="00F56624"/>
    <w:rsid w:val="00F576CB"/>
    <w:rsid w:val="00F62280"/>
    <w:rsid w:val="00F6565A"/>
    <w:rsid w:val="00F6648F"/>
    <w:rsid w:val="00F7035D"/>
    <w:rsid w:val="00F70CC5"/>
    <w:rsid w:val="00F71A02"/>
    <w:rsid w:val="00F737BF"/>
    <w:rsid w:val="00F833D2"/>
    <w:rsid w:val="00F94E20"/>
    <w:rsid w:val="00FA0D63"/>
    <w:rsid w:val="00FA217A"/>
    <w:rsid w:val="00FB399E"/>
    <w:rsid w:val="00FC3F3D"/>
    <w:rsid w:val="00FC548C"/>
    <w:rsid w:val="00FD1226"/>
    <w:rsid w:val="00FD4BC8"/>
    <w:rsid w:val="00FE3929"/>
    <w:rsid w:val="00FE578A"/>
    <w:rsid w:val="00FF1C84"/>
    <w:rsid w:val="00FF4830"/>
    <w:rsid w:val="00FF53DC"/>
    <w:rsid w:val="00FF7921"/>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rsid w:val="004A2875"/>
    <w:pPr>
      <w:ind w:left="720"/>
      <w:contextualSpacing/>
    </w:pPr>
  </w:style>
  <w:style w:type="paragraph" w:styleId="FootnoteText">
    <w:name w:val="footnote text"/>
    <w:basedOn w:val="Normal"/>
    <w:link w:val="FootnoteTextChar"/>
    <w:uiPriority w:val="99"/>
    <w:unhideWhenUsed/>
    <w:rsid w:val="004313C4"/>
    <w:rPr>
      <w:sz w:val="20"/>
      <w:szCs w:val="20"/>
    </w:rPr>
  </w:style>
  <w:style w:type="character" w:customStyle="1" w:styleId="FootnoteTextChar">
    <w:name w:val="Footnote Text Char"/>
    <w:basedOn w:val="DefaultParagraphFont"/>
    <w:link w:val="FootnoteText"/>
    <w:uiPriority w:val="99"/>
    <w:rsid w:val="004313C4"/>
    <w:rPr>
      <w:rFonts w:ascii="Times New Roman" w:eastAsia="Times New Roman" w:hAnsi="Times New Roman"/>
    </w:rPr>
  </w:style>
  <w:style w:type="character" w:styleId="FootnoteReference">
    <w:name w:val="footnote reference"/>
    <w:basedOn w:val="DefaultParagraphFont"/>
    <w:uiPriority w:val="99"/>
    <w:unhideWhenUsed/>
    <w:rsid w:val="004313C4"/>
    <w:rPr>
      <w:vertAlign w:val="superscript"/>
    </w:rPr>
  </w:style>
  <w:style w:type="character" w:styleId="Hyperlink">
    <w:name w:val="Hyperlink"/>
    <w:basedOn w:val="DefaultParagraphFont"/>
    <w:unhideWhenUsed/>
    <w:rsid w:val="00F833D2"/>
    <w:rPr>
      <w:color w:val="0000FF" w:themeColor="hyperlink"/>
      <w:u w:val="single"/>
    </w:rPr>
  </w:style>
  <w:style w:type="character" w:styleId="UnresolvedMention">
    <w:name w:val="Unresolved Mention"/>
    <w:basedOn w:val="DefaultParagraphFont"/>
    <w:uiPriority w:val="99"/>
    <w:semiHidden/>
    <w:unhideWhenUsed/>
    <w:rsid w:val="00BE1047"/>
    <w:rPr>
      <w:color w:val="605E5C"/>
      <w:shd w:val="clear" w:color="auto" w:fill="E1DFDD"/>
    </w:rPr>
  </w:style>
  <w:style w:type="character" w:styleId="FollowedHyperlink">
    <w:name w:val="FollowedHyperlink"/>
    <w:basedOn w:val="DefaultParagraphFont"/>
    <w:uiPriority w:val="99"/>
    <w:semiHidden/>
    <w:unhideWhenUsed/>
    <w:rsid w:val="00BE1047"/>
    <w:rPr>
      <w:color w:val="800080" w:themeColor="followedHyperlink"/>
      <w:u w:val="single"/>
    </w:rPr>
  </w:style>
  <w:style w:type="paragraph" w:customStyle="1" w:styleId="Annex">
    <w:name w:val="Annex"/>
    <w:basedOn w:val="Normal"/>
    <w:next w:val="Normal"/>
    <w:rsid w:val="00C93756"/>
    <w:pPr>
      <w:pageBreakBefore/>
      <w:autoSpaceDE w:val="0"/>
      <w:autoSpaceDN w:val="0"/>
      <w:adjustRightInd w:val="0"/>
      <w:spacing w:before="360" w:after="240"/>
      <w:jc w:val="center"/>
      <w:outlineLvl w:val="0"/>
    </w:pPr>
    <w:rPr>
      <w:rFonts w:ascii="Arial" w:eastAsia="SimSun" w:hAnsi="Arial" w:cs="Arial"/>
      <w:b/>
      <w:bCs/>
      <w:sz w:val="22"/>
      <w:szCs w:val="22"/>
      <w:lang w:val="en-GB" w:eastAsia="zh-CN"/>
    </w:rPr>
  </w:style>
  <w:style w:type="character" w:styleId="CommentReference">
    <w:name w:val="annotation reference"/>
    <w:basedOn w:val="DefaultParagraphFont"/>
    <w:unhideWhenUsed/>
    <w:rsid w:val="0019185A"/>
    <w:rPr>
      <w:sz w:val="16"/>
      <w:szCs w:val="16"/>
    </w:rPr>
  </w:style>
  <w:style w:type="paragraph" w:styleId="CommentText">
    <w:name w:val="annotation text"/>
    <w:basedOn w:val="Normal"/>
    <w:link w:val="CommentTextChar"/>
    <w:unhideWhenUsed/>
    <w:rsid w:val="0019185A"/>
    <w:rPr>
      <w:sz w:val="20"/>
      <w:szCs w:val="20"/>
    </w:rPr>
  </w:style>
  <w:style w:type="character" w:customStyle="1" w:styleId="CommentTextChar">
    <w:name w:val="Comment Text Char"/>
    <w:basedOn w:val="DefaultParagraphFont"/>
    <w:link w:val="CommentText"/>
    <w:rsid w:val="0019185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9185A"/>
    <w:rPr>
      <w:b/>
      <w:bCs/>
    </w:rPr>
  </w:style>
  <w:style w:type="character" w:customStyle="1" w:styleId="CommentSubjectChar">
    <w:name w:val="Comment Subject Char"/>
    <w:basedOn w:val="CommentTextChar"/>
    <w:link w:val="CommentSubject"/>
    <w:uiPriority w:val="99"/>
    <w:semiHidden/>
    <w:rsid w:val="0019185A"/>
    <w:rPr>
      <w:rFonts w:ascii="Times New Roman" w:eastAsia="Times New Roman" w:hAnsi="Times New Roman"/>
      <w:b/>
      <w:bCs/>
    </w:rPr>
  </w:style>
  <w:style w:type="paragraph" w:customStyle="1" w:styleId="GAPara">
    <w:name w:val="GA Para"/>
    <w:qFormat/>
    <w:rsid w:val="00370E80"/>
    <w:pPr>
      <w:numPr>
        <w:numId w:val="26"/>
      </w:numPr>
      <w:spacing w:after="120"/>
    </w:pPr>
    <w:rPr>
      <w:rFonts w:ascii="Arial" w:eastAsia="Times New Roman" w:hAnsi="Arial" w:cs="Arial"/>
      <w:snapToGrid w:val="0"/>
      <w:sz w:val="22"/>
      <w:szCs w:val="22"/>
      <w:lang w:val="en-GB" w:eastAsia="en-US"/>
    </w:rPr>
  </w:style>
  <w:style w:type="character" w:customStyle="1" w:styleId="ui-provider">
    <w:name w:val="ui-provider"/>
    <w:basedOn w:val="DefaultParagraphFont"/>
    <w:rsid w:val="003B6358"/>
  </w:style>
  <w:style w:type="paragraph" w:customStyle="1" w:styleId="1GAPara">
    <w:name w:val="1. GA Para"/>
    <w:qFormat/>
    <w:rsid w:val="00422716"/>
    <w:pPr>
      <w:spacing w:after="120"/>
      <w:ind w:left="720" w:hanging="360"/>
    </w:pPr>
    <w:rPr>
      <w:rFonts w:ascii="Arial" w:eastAsia="Times New Roman" w:hAnsi="Arial" w:cs="Arial"/>
      <w:snapToGrid w:val="0"/>
      <w:sz w:val="22"/>
      <w:szCs w:val="22"/>
      <w:lang w:val="en-GB" w:eastAsia="en-US"/>
    </w:rPr>
  </w:style>
  <w:style w:type="paragraph" w:styleId="EndnoteText">
    <w:name w:val="endnote text"/>
    <w:basedOn w:val="Normal"/>
    <w:link w:val="EndnoteTextChar"/>
    <w:uiPriority w:val="99"/>
    <w:semiHidden/>
    <w:unhideWhenUsed/>
    <w:rsid w:val="00774C52"/>
    <w:rPr>
      <w:sz w:val="20"/>
      <w:szCs w:val="20"/>
    </w:rPr>
  </w:style>
  <w:style w:type="character" w:customStyle="1" w:styleId="EndnoteTextChar">
    <w:name w:val="Endnote Text Char"/>
    <w:basedOn w:val="DefaultParagraphFont"/>
    <w:link w:val="EndnoteText"/>
    <w:uiPriority w:val="99"/>
    <w:semiHidden/>
    <w:rsid w:val="00774C52"/>
    <w:rPr>
      <w:rFonts w:ascii="Times New Roman" w:eastAsia="Times New Roman" w:hAnsi="Times New Roman"/>
    </w:rPr>
  </w:style>
  <w:style w:type="character" w:styleId="EndnoteReference">
    <w:name w:val="endnote reference"/>
    <w:basedOn w:val="DefaultParagraphFont"/>
    <w:uiPriority w:val="99"/>
    <w:semiHidden/>
    <w:unhideWhenUsed/>
    <w:rsid w:val="00774C52"/>
    <w:rPr>
      <w:vertAlign w:val="superscript"/>
    </w:rPr>
  </w:style>
  <w:style w:type="character" w:customStyle="1" w:styleId="hps">
    <w:name w:val="hps"/>
    <w:rsid w:val="00340625"/>
  </w:style>
  <w:style w:type="paragraph" w:styleId="Revision">
    <w:name w:val="Revision"/>
    <w:hidden/>
    <w:uiPriority w:val="99"/>
    <w:semiHidden/>
    <w:rsid w:val="00E2445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97895">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848299664">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1930460785">
      <w:bodyDiv w:val="1"/>
      <w:marLeft w:val="0"/>
      <w:marRight w:val="0"/>
      <w:marTop w:val="0"/>
      <w:marBottom w:val="0"/>
      <w:divBdr>
        <w:top w:val="none" w:sz="0" w:space="0" w:color="auto"/>
        <w:left w:val="none" w:sz="0" w:space="0" w:color="auto"/>
        <w:bottom w:val="none" w:sz="0" w:space="0" w:color="auto"/>
        <w:right w:val="none" w:sz="0" w:space="0" w:color="auto"/>
      </w:divBdr>
    </w:div>
    <w:div w:id="1966081121">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ch.unesco.org/doc/src/LHE-23-18.COM-INF.14_FR.docx" TargetMode="External"/><Relationship Id="rId18" Type="http://schemas.openxmlformats.org/officeDocument/2006/relationships/hyperlink" Target="https://ich.unesco.org/doc/src/61535-FR.pdf" TargetMode="External"/><Relationship Id="rId26" Type="http://schemas.openxmlformats.org/officeDocument/2006/relationships/hyperlink" Target="http://ich.unesco.org/fr/Resolutions/9.GA/10" TargetMode="External"/><Relationship Id="rId39" Type="http://schemas.openxmlformats.org/officeDocument/2006/relationships/hyperlink" Target="https://ich.unesco.org/doc/src/LHE-21-16.COM-INF.10_Rev.-FR.pdf" TargetMode="External"/><Relationship Id="rId21" Type="http://schemas.openxmlformats.org/officeDocument/2006/relationships/hyperlink" Target="https://ich.unesco.org/doc/src/LHE-23-18.COM-10_FR.docx" TargetMode="External"/><Relationship Id="rId34" Type="http://schemas.openxmlformats.org/officeDocument/2006/relationships/hyperlink" Target="https://ich.unesco.org/fr/decisions/16.COM/13" TargetMode="External"/><Relationship Id="rId42" Type="http://schemas.openxmlformats.org/officeDocument/2006/relationships/hyperlink" Target="https://ich.unesco.org/fr/situations-d-urgence-01117" TargetMode="External"/><Relationship Id="rId47" Type="http://schemas.openxmlformats.org/officeDocument/2006/relationships/hyperlink" Target="https://ich.unesco.org/fr/anniversaire" TargetMode="External"/><Relationship Id="rId50" Type="http://schemas.openxmlformats.org/officeDocument/2006/relationships/hyperlink" Target="https://ich.unesco.org/doc/src/LHE-23-18.COM_WG_ART18-4_REV_FR.docx" TargetMode="External"/><Relationship Id="rId55" Type="http://schemas.openxmlformats.org/officeDocument/2006/relationships/hyperlink" Target="https://unesdoc.unesco.org/ark:/48223/pf0000380399_fre"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ich.unesco.org/doc/src/LHE-23-18.COM-INF.14_FR.docx" TargetMode="External"/><Relationship Id="rId29" Type="http://schemas.openxmlformats.org/officeDocument/2006/relationships/hyperlink" Target="https://ich.unesco.org/fr/decisions/17.COM/7" TargetMode="External"/><Relationship Id="rId41" Type="http://schemas.openxmlformats.org/officeDocument/2006/relationships/hyperlink" Target="https://ich.unesco.org/doc/src/LHE-23-18.COM-12_FR.docx" TargetMode="External"/><Relationship Id="rId54" Type="http://schemas.openxmlformats.org/officeDocument/2006/relationships/hyperlink" Target="https://ich.unesco.org/fr/Decisions/16.COM/13"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src/LHE-21-16.COM-13-FR.docx" TargetMode="External"/><Relationship Id="rId24" Type="http://schemas.openxmlformats.org/officeDocument/2006/relationships/hyperlink" Target="https://ich.unesco.org/doc/src/LHE-21-16.COM-INF.10_Rev.-FR.pdf" TargetMode="External"/><Relationship Id="rId32" Type="http://schemas.openxmlformats.org/officeDocument/2006/relationships/hyperlink" Target="https://unesdoc.unesco.org/ark:/48223/pf0000380868_fre" TargetMode="External"/><Relationship Id="rId37" Type="http://schemas.openxmlformats.org/officeDocument/2006/relationships/hyperlink" Target="https://www.unesco.org/fr/articles/conference-mondiale-de-lunesco-sur-les-politiques-culturelles-et-le-developpement-durable-mondiacult" TargetMode="External"/><Relationship Id="rId40" Type="http://schemas.openxmlformats.org/officeDocument/2006/relationships/hyperlink" Target="https://ich.unesco.org/fr/moyens-de-subsistance-01315" TargetMode="External"/><Relationship Id="rId45" Type="http://schemas.openxmlformats.org/officeDocument/2006/relationships/hyperlink" Target="https://ich.unesco.org/doc/src/LHE-23-18.COM-10_FR.docx" TargetMode="External"/><Relationship Id="rId53" Type="http://schemas.openxmlformats.org/officeDocument/2006/relationships/hyperlink" Target="https://ich.unesco.org/fr/decisions/9.GA/10"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ch.unesco.org/fr/decisions/9.GA/10" TargetMode="External"/><Relationship Id="rId23" Type="http://schemas.openxmlformats.org/officeDocument/2006/relationships/hyperlink" Target="https://ich.unesco.org/fr/decisions/9.GA/10" TargetMode="External"/><Relationship Id="rId28" Type="http://schemas.openxmlformats.org/officeDocument/2006/relationships/hyperlink" Target="https://ich.unesco.org/fr/Decisions/7.GA/8" TargetMode="External"/><Relationship Id="rId36" Type="http://schemas.openxmlformats.org/officeDocument/2006/relationships/hyperlink" Target="https://ich.unesco.org/doc/src/61291-FR.pdf" TargetMode="External"/><Relationship Id="rId49" Type="http://schemas.openxmlformats.org/officeDocument/2006/relationships/hyperlink" Target="https://ich.unesco.org/doc/src/LHE-23-18.COM-11_FR.docx" TargetMode="External"/><Relationship Id="rId57" Type="http://schemas.openxmlformats.org/officeDocument/2006/relationships/header" Target="header2.xml"/><Relationship Id="rId61" Type="http://schemas.openxmlformats.org/officeDocument/2006/relationships/footer" Target="footer3.xml"/><Relationship Id="rId10" Type="http://schemas.openxmlformats.org/officeDocument/2006/relationships/hyperlink" Target="https://ich.unesco.org/fr/decisions/9.GA/10" TargetMode="External"/><Relationship Id="rId19" Type="http://schemas.openxmlformats.org/officeDocument/2006/relationships/image" Target="media/image2.png"/><Relationship Id="rId31" Type="http://schemas.openxmlformats.org/officeDocument/2006/relationships/hyperlink" Target="https://ich.unesco.org/fr/Decisions/14.COM/7" TargetMode="External"/><Relationship Id="rId44" Type="http://schemas.openxmlformats.org/officeDocument/2006/relationships/hyperlink" Target="https://ich.unesco.org/doc/src/LHE-21-16.COM-INF.10_Rev.-FR.pdf" TargetMode="External"/><Relationship Id="rId52" Type="http://schemas.openxmlformats.org/officeDocument/2006/relationships/hyperlink" Target="https://ich.unesco.org/doc/src/LHE-23-18.COM-INF.14_FR.docx" TargetMode="External"/><Relationship Id="rId6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ich.unesco.org/doc/src/LHE-22-9.GA-10-FR.docx" TargetMode="External"/><Relationship Id="rId14" Type="http://schemas.openxmlformats.org/officeDocument/2006/relationships/hyperlink" Target="https://ich.unesco.org/doc/src/LHE-23-18.COM-5_FR.docx" TargetMode="External"/><Relationship Id="rId22" Type="http://schemas.openxmlformats.org/officeDocument/2006/relationships/image" Target="media/image3.png"/><Relationship Id="rId27" Type="http://schemas.openxmlformats.org/officeDocument/2006/relationships/hyperlink" Target="https://ich.unesco.org/doc/src/LHE-23-18.COM-10_FR.docx" TargetMode="External"/><Relationship Id="rId30" Type="http://schemas.openxmlformats.org/officeDocument/2006/relationships/hyperlink" Target="https://ich.unesco.org/doc/src/LHE-23-18.COM-10_FR.docx" TargetMode="External"/><Relationship Id="rId35" Type="http://schemas.openxmlformats.org/officeDocument/2006/relationships/hyperlink" Target="https://unesdoc.unesco.org/ark:/48223/pf0000380399_fre/PDF/380399fre.pdf.multi" TargetMode="External"/><Relationship Id="rId43" Type="http://schemas.openxmlformats.org/officeDocument/2006/relationships/hyperlink" Target="https://ich.unesco.org/fr/education-01017" TargetMode="External"/><Relationship Id="rId48" Type="http://schemas.openxmlformats.org/officeDocument/2006/relationships/hyperlink" Target="https://ich.unesco.org/fr/Decisions/17.COM/15" TargetMode="External"/><Relationship Id="rId56" Type="http://schemas.openxmlformats.org/officeDocument/2006/relationships/header" Target="header1.xml"/><Relationship Id="rId8" Type="http://schemas.openxmlformats.org/officeDocument/2006/relationships/hyperlink" Target="https://ich.unesco.org/fr/directives?ref_paragraph=en-directives" TargetMode="External"/><Relationship Id="rId51" Type="http://schemas.openxmlformats.org/officeDocument/2006/relationships/hyperlink" Target="http://ich.unesco.org/fr/Resolutions/9.GA/10" TargetMode="External"/><Relationship Id="rId3" Type="http://schemas.openxmlformats.org/officeDocument/2006/relationships/styles" Target="styles.xml"/><Relationship Id="rId12" Type="http://schemas.openxmlformats.org/officeDocument/2006/relationships/hyperlink" Target="https://ich.unesco.org/doc/src/LHE-23-18.COM-10_FR.docx" TargetMode="External"/><Relationship Id="rId17" Type="http://schemas.openxmlformats.org/officeDocument/2006/relationships/hyperlink" Target="https://ich.unesco.org/doc/src/LHE-22-9.GA-10-FR.docx" TargetMode="External"/><Relationship Id="rId25" Type="http://schemas.openxmlformats.org/officeDocument/2006/relationships/hyperlink" Target="http://ich.unesco.org/fr/Decisions/16.COM/13" TargetMode="External"/><Relationship Id="rId33" Type="http://schemas.openxmlformats.org/officeDocument/2006/relationships/hyperlink" Target="https://unesdoc.unesco.org/ark:/48223/pf0000385118_fre" TargetMode="External"/><Relationship Id="rId38" Type="http://schemas.openxmlformats.org/officeDocument/2006/relationships/hyperlink" Target="https://ich.unesco.org/doc/src/LHE-21-16.COM-INF.10_Rev.-FR.pdf" TargetMode="External"/><Relationship Id="rId46" Type="http://schemas.openxmlformats.org/officeDocument/2006/relationships/hyperlink" Target="https://ich.unesco.org/doc/src/LHE-21-16.COM-INF.10_Rev.-FR.pdf" TargetMode="External"/><Relationship Id="rId5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ich.unesco.org/fr/decisions/8.COM/7.C" TargetMode="External"/><Relationship Id="rId2" Type="http://schemas.openxmlformats.org/officeDocument/2006/relationships/hyperlink" Target="https://ich.unesco.org/doc/src/2003_Convention_Basic_Texts_2022_version-FR.pdf" TargetMode="External"/><Relationship Id="rId1" Type="http://schemas.openxmlformats.org/officeDocument/2006/relationships/hyperlink" Target="https://ich.unesco.org/doc/src/61535-FR.pdf" TargetMode="External"/><Relationship Id="rId4" Type="http://schemas.openxmlformats.org/officeDocument/2006/relationships/hyperlink" Target="https://unesdoc.unesco.org/ark:/48223/pf0000385118_fr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Template>
  <TotalTime>136</TotalTime>
  <Pages>12</Pages>
  <Words>6454</Words>
  <Characters>35502</Characters>
  <Application>Microsoft Office Word</Application>
  <DocSecurity>0</DocSecurity>
  <Lines>295</Lines>
  <Paragraphs>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41873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Nakata Glenat, Keiichi Julien</cp:lastModifiedBy>
  <cp:revision>19</cp:revision>
  <cp:lastPrinted>2011-08-06T10:22:00Z</cp:lastPrinted>
  <dcterms:created xsi:type="dcterms:W3CDTF">2023-11-08T13:56:00Z</dcterms:created>
  <dcterms:modified xsi:type="dcterms:W3CDTF">2023-11-08T20:37:00Z</dcterms:modified>
</cp:coreProperties>
</file>